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D92BC" w14:textId="0832A87E" w:rsidR="00F367B0" w:rsidRPr="008A74B1" w:rsidRDefault="002F5D03" w:rsidP="00F367B0">
      <w:pPr>
        <w:pStyle w:val="Nzov"/>
        <w:jc w:val="center"/>
        <w:rPr>
          <w:rFonts w:ascii="Times New Roman" w:hAnsi="Times New Roman"/>
          <w:b/>
          <w:sz w:val="24"/>
        </w:rPr>
      </w:pPr>
      <w:r w:rsidRPr="008A74B1">
        <w:rPr>
          <w:rFonts w:ascii="Times New Roman" w:hAnsi="Times New Roman"/>
          <w:b/>
          <w:sz w:val="24"/>
        </w:rPr>
        <w:t xml:space="preserve"> </w:t>
      </w:r>
      <w:r w:rsidR="00F367B0" w:rsidRPr="008A74B1">
        <w:rPr>
          <w:rFonts w:ascii="Times New Roman" w:hAnsi="Times New Roman"/>
          <w:b/>
          <w:sz w:val="24"/>
        </w:rPr>
        <w:t>DÔVODOVÁ SPRÁVA</w:t>
      </w:r>
    </w:p>
    <w:p w14:paraId="3C833454" w14:textId="77777777" w:rsidR="00F367B0" w:rsidRPr="008A74B1" w:rsidRDefault="00F367B0" w:rsidP="00F367B0">
      <w:pPr>
        <w:jc w:val="both"/>
        <w:rPr>
          <w:sz w:val="22"/>
        </w:rPr>
      </w:pPr>
    </w:p>
    <w:p w14:paraId="107B4213" w14:textId="77777777" w:rsidR="00F367B0" w:rsidRPr="008A74B1" w:rsidRDefault="00F367B0" w:rsidP="00F367B0">
      <w:pPr>
        <w:pStyle w:val="Odsekzoznamu1"/>
        <w:numPr>
          <w:ilvl w:val="0"/>
          <w:numId w:val="1"/>
        </w:numPr>
        <w:spacing w:after="0" w:line="240" w:lineRule="auto"/>
        <w:ind w:left="426" w:hanging="426"/>
        <w:jc w:val="both"/>
        <w:rPr>
          <w:rFonts w:ascii="Times New Roman" w:hAnsi="Times New Roman"/>
          <w:b/>
          <w:sz w:val="24"/>
        </w:rPr>
      </w:pPr>
      <w:r w:rsidRPr="008A74B1">
        <w:rPr>
          <w:rFonts w:ascii="Times New Roman" w:hAnsi="Times New Roman"/>
          <w:b/>
          <w:sz w:val="24"/>
        </w:rPr>
        <w:t xml:space="preserve">Všeobecná časť </w:t>
      </w:r>
    </w:p>
    <w:p w14:paraId="63A29849" w14:textId="77777777" w:rsidR="00F367B0" w:rsidRPr="008A74B1" w:rsidRDefault="00F367B0" w:rsidP="00F367B0">
      <w:pPr>
        <w:jc w:val="both"/>
      </w:pPr>
    </w:p>
    <w:p w14:paraId="6FB90A00" w14:textId="0E28BFD9" w:rsidR="00F367B0" w:rsidRPr="008A74B1" w:rsidRDefault="00F367B0" w:rsidP="00F367B0">
      <w:pPr>
        <w:jc w:val="both"/>
      </w:pPr>
      <w:r w:rsidRPr="008A74B1">
        <w:rPr>
          <w:i/>
        </w:rPr>
        <w:t xml:space="preserve">Návrh zákona, </w:t>
      </w:r>
      <w:r w:rsidR="0095724A" w:rsidRPr="008A74B1">
        <w:rPr>
          <w:i/>
        </w:rPr>
        <w:t xml:space="preserve">ktorým sa mení a dopĺňa zákon č. 95/2019 Z. z. o informačných technológiách vo verejnej správe a o zmene a doplnení niektorých zákonov </w:t>
      </w:r>
      <w:r w:rsidR="0000032A" w:rsidRPr="008A74B1">
        <w:rPr>
          <w:i/>
        </w:rPr>
        <w:t xml:space="preserve">v znení neskorších predpisov </w:t>
      </w:r>
      <w:r w:rsidR="0095724A" w:rsidRPr="008A74B1">
        <w:rPr>
          <w:i/>
        </w:rPr>
        <w:t xml:space="preserve">a ktorým sa </w:t>
      </w:r>
      <w:r w:rsidR="00431291">
        <w:rPr>
          <w:i/>
        </w:rPr>
        <w:t xml:space="preserve">menia a </w:t>
      </w:r>
      <w:r w:rsidR="0095724A" w:rsidRPr="008A74B1">
        <w:rPr>
          <w:i/>
        </w:rPr>
        <w:t xml:space="preserve">dopĺňajú niektoré zákony </w:t>
      </w:r>
      <w:r w:rsidRPr="008A74B1">
        <w:t>(ďalej len „návrh zákona“)</w:t>
      </w:r>
      <w:r w:rsidR="00993568" w:rsidRPr="008A74B1">
        <w:t xml:space="preserve"> sa predkladá</w:t>
      </w:r>
      <w:r w:rsidRPr="008A74B1">
        <w:t xml:space="preserve"> </w:t>
      </w:r>
      <w:r w:rsidR="0090504D">
        <w:t xml:space="preserve">na </w:t>
      </w:r>
      <w:r w:rsidRPr="008A74B1">
        <w:t>základe úlohy B.1. z uznesenia vlády Slovenskej republiky č. 340</w:t>
      </w:r>
      <w:r w:rsidR="00993568" w:rsidRPr="008A74B1">
        <w:t xml:space="preserve"> </w:t>
      </w:r>
      <w:r w:rsidRPr="008A74B1">
        <w:t>zo 16. júna 2021.</w:t>
      </w:r>
    </w:p>
    <w:p w14:paraId="5E68FB6B" w14:textId="77777777" w:rsidR="00665894" w:rsidRPr="00C510FC" w:rsidRDefault="00665894" w:rsidP="00FB3DB7">
      <w:pPr>
        <w:jc w:val="both"/>
        <w:rPr>
          <w:highlight w:val="yellow"/>
        </w:rPr>
      </w:pPr>
    </w:p>
    <w:p w14:paraId="257F91CF" w14:textId="2451A37A" w:rsidR="00BF3034" w:rsidRPr="00C510FC" w:rsidRDefault="55EAAE12" w:rsidP="55EAAE12">
      <w:pPr>
        <w:jc w:val="both"/>
      </w:pPr>
      <w:r w:rsidRPr="00C510FC">
        <w:t xml:space="preserve">Cieľom návrhu zákona je </w:t>
      </w:r>
      <w:r w:rsidR="00BF3034" w:rsidRPr="00C510FC">
        <w:t>reagovať na apl</w:t>
      </w:r>
      <w:r w:rsidRPr="00C510FC">
        <w:t xml:space="preserve">ikačné problémy, ktoré sa v praxi objavili v súvislosti s aplikáciou zákona </w:t>
      </w:r>
      <w:r w:rsidR="00350DB1" w:rsidRPr="00C510FC">
        <w:t xml:space="preserve">č. 95/2019 Z. z. </w:t>
      </w:r>
      <w:r w:rsidRPr="00C510FC">
        <w:t>o</w:t>
      </w:r>
      <w:r w:rsidR="00350DB1" w:rsidRPr="00C510FC">
        <w:t xml:space="preserve"> informačných technológiách vo verejnej správe a o zmene a doplnení niektorých zákonov v znení neskorších zákonov (ďalej len „zákon o </w:t>
      </w:r>
      <w:r w:rsidRPr="00C510FC">
        <w:t>ITVS</w:t>
      </w:r>
      <w:r w:rsidR="00350DB1" w:rsidRPr="00C510FC">
        <w:t>“)</w:t>
      </w:r>
      <w:r w:rsidRPr="00C510FC">
        <w:t xml:space="preserve">. </w:t>
      </w:r>
      <w:r w:rsidR="00A95CFF" w:rsidRPr="00C510FC">
        <w:t xml:space="preserve">Návrh zákona preto jasnejšie vymedzuje pôsobnosť zákona o ITVS, aby nedochádzalo k rozdielnym interpretáciám. </w:t>
      </w:r>
      <w:r w:rsidR="00350DB1" w:rsidRPr="00C510FC">
        <w:t xml:space="preserve">Návrhom zákona sa </w:t>
      </w:r>
      <w:r w:rsidR="00A95CFF" w:rsidRPr="00C510FC">
        <w:t xml:space="preserve">precizujú tiež kompetencie vládnej jednotky CSIRT v záujme </w:t>
      </w:r>
      <w:r w:rsidR="00644B59" w:rsidRPr="00C510FC">
        <w:t>objasnenia</w:t>
      </w:r>
      <w:r w:rsidR="00A95CFF" w:rsidRPr="00C510FC">
        <w:t xml:space="preserve"> vzťahov medzi zákonom o ITVS a zákonom </w:t>
      </w:r>
      <w:r w:rsidR="00644B59" w:rsidRPr="00C510FC">
        <w:t xml:space="preserve">č. 69/2018 Z. z. o kybernetickej bezpečnosti a o zmene a doplnení niektorých zákonov v znení neskorších predpisov (ďalej len „zákon </w:t>
      </w:r>
      <w:r w:rsidR="00A95CFF" w:rsidRPr="00C510FC">
        <w:t>o</w:t>
      </w:r>
      <w:r w:rsidR="00644B59" w:rsidRPr="00C510FC">
        <w:t> </w:t>
      </w:r>
      <w:r w:rsidR="00A95CFF" w:rsidRPr="00C510FC">
        <w:t>KB</w:t>
      </w:r>
      <w:r w:rsidR="00644B59" w:rsidRPr="00C510FC">
        <w:t>“)</w:t>
      </w:r>
      <w:r w:rsidR="00A95CFF" w:rsidRPr="00C510FC">
        <w:t xml:space="preserve">. </w:t>
      </w:r>
    </w:p>
    <w:p w14:paraId="5C0ADE5B" w14:textId="4A0C61FF" w:rsidR="00644B59" w:rsidRPr="00C510FC" w:rsidRDefault="00644B59" w:rsidP="003B2E0D">
      <w:pPr>
        <w:jc w:val="both"/>
      </w:pPr>
    </w:p>
    <w:p w14:paraId="4CA65FDB" w14:textId="47A47D5B" w:rsidR="00016847" w:rsidRPr="00C510FC" w:rsidRDefault="00644B59" w:rsidP="00016847">
      <w:pPr>
        <w:jc w:val="both"/>
      </w:pPr>
      <w:r w:rsidRPr="00C510FC">
        <w:t>Návrh zákona upravuje postup riešenia kybernetických bezpečnostných incidentov pre všetkých správcov</w:t>
      </w:r>
      <w:r w:rsidR="006C0752">
        <w:t xml:space="preserve"> informačných technológií verejnej správy</w:t>
      </w:r>
      <w:r w:rsidRPr="00C510FC">
        <w:t>, keďže v súčasnosti táto úprava absentuje</w:t>
      </w:r>
      <w:r w:rsidR="00016847" w:rsidRPr="00C510FC">
        <w:t xml:space="preserve">. </w:t>
      </w:r>
    </w:p>
    <w:p w14:paraId="72DECF9A" w14:textId="4B46F2DD" w:rsidR="00A95CFF" w:rsidRPr="00C510FC" w:rsidRDefault="00A95CFF" w:rsidP="55EAAE12">
      <w:pPr>
        <w:jc w:val="both"/>
      </w:pPr>
    </w:p>
    <w:p w14:paraId="27ABDDED" w14:textId="6EBB605E" w:rsidR="00F367B0" w:rsidRPr="008A74B1" w:rsidRDefault="00016847" w:rsidP="00F367B0">
      <w:pPr>
        <w:jc w:val="both"/>
      </w:pPr>
      <w:r w:rsidRPr="00C510FC">
        <w:t>Návrhom zákona sa zároveň z</w:t>
      </w:r>
      <w:r w:rsidR="55EAAE12" w:rsidRPr="00C510FC">
        <w:t>avádza štandard dizajnového manuálu, ktorého cieľom je zaistiť zjednotenie používateľských rozhraní a spôsobu komunikácie</w:t>
      </w:r>
      <w:r w:rsidR="00C510FC">
        <w:t xml:space="preserve"> orgánov riadenia</w:t>
      </w:r>
      <w:r w:rsidR="55EAAE12" w:rsidRPr="00C510FC">
        <w:t xml:space="preserve"> s používateľmi pri poskytovaní elektronických služieb</w:t>
      </w:r>
      <w:r w:rsidRPr="00C510FC">
        <w:t xml:space="preserve"> najmä vo vzťahu k vyhlášk</w:t>
      </w:r>
      <w:r w:rsidR="00BF3034" w:rsidRPr="00C510FC">
        <w:t>e</w:t>
      </w:r>
      <w:r w:rsidRPr="00C510FC">
        <w:t xml:space="preserve"> </w:t>
      </w:r>
      <w:r w:rsidR="00196294" w:rsidRPr="008A74B1">
        <w:t>Ministerstva investícií, regionálneho rozvoja a informatizácie Slovenskej republiky č. 547/2021 Z. z. o elektronizácii agendy verejnej správy.</w:t>
      </w:r>
      <w:r w:rsidR="00196294" w:rsidRPr="00C510FC">
        <w:t xml:space="preserve"> </w:t>
      </w:r>
      <w:r w:rsidR="6BB4B988" w:rsidRPr="00C510FC">
        <w:t>V návrhu zákona sa tiež spresňujú ustanovenia vyplývajúce z aplikačnej praxe a reflektuje sa ňou na požiadavky vyplývajúce z Národnej koncepcie informatizácie verejnej správy.</w:t>
      </w:r>
    </w:p>
    <w:p w14:paraId="47A26946" w14:textId="77777777" w:rsidR="00EE56B2" w:rsidRPr="008A74B1" w:rsidRDefault="00EE56B2" w:rsidP="00F367B0">
      <w:pPr>
        <w:jc w:val="both"/>
      </w:pPr>
    </w:p>
    <w:p w14:paraId="18CD8FF5" w14:textId="70977BFD" w:rsidR="0042538D" w:rsidRDefault="00F367B0" w:rsidP="00F367B0">
      <w:pPr>
        <w:jc w:val="both"/>
      </w:pPr>
      <w:r w:rsidRPr="008A74B1">
        <w:t>Návrh zákona je v súlade s Ústavou Slovenskej republiky, ústavnými zákonmi</w:t>
      </w:r>
      <w:r w:rsidR="0042538D">
        <w:t xml:space="preserve"> a nálezmi Ústavného súdu Slovenskej republiky, so zákonmi</w:t>
      </w:r>
      <w:r w:rsidRPr="008A74B1">
        <w:t xml:space="preserve"> a ostatnými všeobecne záväznými právnymi predpismi Slovenskej republiky, medzinárodnými zmluvami, ktorými je Slovenská republika viazaná, ako aj s právom Európskej únie. </w:t>
      </w:r>
    </w:p>
    <w:p w14:paraId="2A83E8B8" w14:textId="77777777" w:rsidR="0042538D" w:rsidRDefault="0042538D" w:rsidP="00F367B0">
      <w:pPr>
        <w:jc w:val="both"/>
      </w:pPr>
    </w:p>
    <w:p w14:paraId="14B59658" w14:textId="281AE304" w:rsidR="00F367B0" w:rsidRDefault="00F367B0" w:rsidP="00F367B0">
      <w:pPr>
        <w:jc w:val="both"/>
      </w:pPr>
      <w:r w:rsidRPr="008A74B1">
        <w:t xml:space="preserve">Návrh zákona nie je predmetom vnútrokomunitárneho pripomienkového konania. </w:t>
      </w:r>
    </w:p>
    <w:p w14:paraId="262D7F65" w14:textId="52BD1423" w:rsidR="0010059F" w:rsidRDefault="0010059F" w:rsidP="00F367B0">
      <w:pPr>
        <w:jc w:val="both"/>
      </w:pPr>
    </w:p>
    <w:p w14:paraId="15B15281" w14:textId="244F7D1E" w:rsidR="00577EEB" w:rsidRPr="008A74B1" w:rsidRDefault="00DE0429" w:rsidP="00F367B0">
      <w:pPr>
        <w:jc w:val="both"/>
      </w:pPr>
      <w:r>
        <w:t xml:space="preserve">Návrh zákona bude mať negatívne vplyvy na rozpočet verejnej správy, pozitívny vplyv na služby verejnej správy pre občana a negatívny vplyv na procesy služieb vo verejnej správe a nebude mať vplyvy na podnikateľské prostredie, sociálne vplyvy, vplyvy na životné prostredie, vplyvy na informatizáciu spoločnosti, ani vplyvy na manželstvo, rodičovstvo a rodinu. </w:t>
      </w:r>
    </w:p>
    <w:p w14:paraId="19BED88E" w14:textId="409489C9" w:rsidR="00F367B0" w:rsidRPr="008A74B1" w:rsidRDefault="0010059F" w:rsidP="008E3361">
      <w:pPr>
        <w:jc w:val="both"/>
      </w:pPr>
      <w:r>
        <w:t>Ú</w:t>
      </w:r>
      <w:r w:rsidR="00F367B0" w:rsidRPr="008A74B1">
        <w:t xml:space="preserve">činnosť </w:t>
      </w:r>
      <w:r>
        <w:t xml:space="preserve">návrhu zákona sa navrhuje </w:t>
      </w:r>
      <w:r w:rsidR="00F367B0" w:rsidRPr="008A74B1">
        <w:t xml:space="preserve">1. </w:t>
      </w:r>
      <w:r w:rsidR="00013563">
        <w:t>augusta</w:t>
      </w:r>
      <w:r w:rsidR="00BE6461">
        <w:t xml:space="preserve"> </w:t>
      </w:r>
      <w:r w:rsidR="00F367B0" w:rsidRPr="008A74B1">
        <w:t>202</w:t>
      </w:r>
      <w:r w:rsidR="00EE56B2" w:rsidRPr="008A74B1">
        <w:t>3</w:t>
      </w:r>
      <w:r w:rsidR="00B62432">
        <w:t>.</w:t>
      </w:r>
    </w:p>
    <w:p w14:paraId="498689C4" w14:textId="0A2452BF" w:rsidR="00F367B0" w:rsidRDefault="00F367B0" w:rsidP="00F367B0">
      <w:pPr>
        <w:jc w:val="both"/>
      </w:pPr>
    </w:p>
    <w:p w14:paraId="2E872A5A" w14:textId="06EDBC42" w:rsidR="00653B9A" w:rsidRDefault="00653B9A" w:rsidP="00F367B0">
      <w:pPr>
        <w:jc w:val="both"/>
      </w:pPr>
    </w:p>
    <w:p w14:paraId="695BD60A" w14:textId="1976DB97" w:rsidR="00653B9A" w:rsidRDefault="00653B9A" w:rsidP="00F367B0">
      <w:pPr>
        <w:jc w:val="both"/>
      </w:pPr>
    </w:p>
    <w:p w14:paraId="7FD2EB1F" w14:textId="573AABCE" w:rsidR="00730DCA" w:rsidRDefault="00730DCA" w:rsidP="00F367B0">
      <w:pPr>
        <w:jc w:val="both"/>
      </w:pPr>
    </w:p>
    <w:p w14:paraId="00DDF08E" w14:textId="6669BA5F" w:rsidR="00730DCA" w:rsidRDefault="00730DCA" w:rsidP="00F367B0">
      <w:pPr>
        <w:jc w:val="both"/>
      </w:pPr>
    </w:p>
    <w:p w14:paraId="011FCA73" w14:textId="4B86C14C" w:rsidR="00730DCA" w:rsidRDefault="00730DCA" w:rsidP="00F367B0">
      <w:pPr>
        <w:jc w:val="both"/>
      </w:pPr>
    </w:p>
    <w:p w14:paraId="0BB24B77" w14:textId="77777777" w:rsidR="00434ABE" w:rsidRDefault="00434ABE" w:rsidP="00F367B0">
      <w:pPr>
        <w:jc w:val="both"/>
      </w:pPr>
    </w:p>
    <w:p w14:paraId="52EDC422" w14:textId="0993FD56" w:rsidR="00653B9A" w:rsidRDefault="00653B9A" w:rsidP="00F367B0">
      <w:pPr>
        <w:jc w:val="both"/>
      </w:pPr>
    </w:p>
    <w:p w14:paraId="5AFD2964" w14:textId="77777777" w:rsidR="00653B9A" w:rsidRPr="006045CB" w:rsidRDefault="00653B9A" w:rsidP="00653B9A">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3D29D086" w14:textId="77777777" w:rsidR="00653B9A" w:rsidRPr="00B043B4" w:rsidRDefault="00653B9A" w:rsidP="00653B9A">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53B9A" w:rsidRPr="00B043B4" w14:paraId="6B402379" w14:textId="77777777" w:rsidTr="00363F28">
        <w:tc>
          <w:tcPr>
            <w:tcW w:w="9180" w:type="dxa"/>
            <w:gridSpan w:val="11"/>
            <w:tcBorders>
              <w:bottom w:val="single" w:sz="4" w:space="0" w:color="FFFFFF"/>
            </w:tcBorders>
            <w:shd w:val="clear" w:color="auto" w:fill="E2E2E2"/>
          </w:tcPr>
          <w:p w14:paraId="08316D70" w14:textId="77777777" w:rsidR="00653B9A" w:rsidRPr="00B043B4" w:rsidRDefault="00653B9A" w:rsidP="00E5219E">
            <w:pPr>
              <w:numPr>
                <w:ilvl w:val="0"/>
                <w:numId w:val="2"/>
              </w:numPr>
              <w:ind w:left="426"/>
              <w:contextualSpacing/>
              <w:rPr>
                <w:rFonts w:eastAsia="Calibri"/>
                <w:b/>
              </w:rPr>
            </w:pPr>
            <w:r w:rsidRPr="00B043B4">
              <w:rPr>
                <w:rFonts w:eastAsia="Calibri"/>
                <w:b/>
              </w:rPr>
              <w:t>Základné údaje</w:t>
            </w:r>
          </w:p>
        </w:tc>
      </w:tr>
      <w:tr w:rsidR="00653B9A" w:rsidRPr="00B043B4" w14:paraId="3DA42E0B" w14:textId="77777777" w:rsidTr="00363F28">
        <w:tc>
          <w:tcPr>
            <w:tcW w:w="9180" w:type="dxa"/>
            <w:gridSpan w:val="11"/>
            <w:tcBorders>
              <w:bottom w:val="single" w:sz="4" w:space="0" w:color="FFFFFF"/>
            </w:tcBorders>
            <w:shd w:val="clear" w:color="auto" w:fill="E2E2E2"/>
          </w:tcPr>
          <w:p w14:paraId="169DC53B" w14:textId="77777777" w:rsidR="00653B9A" w:rsidRPr="00B043B4" w:rsidRDefault="00653B9A" w:rsidP="00363F28">
            <w:pPr>
              <w:spacing w:after="200" w:line="276" w:lineRule="auto"/>
              <w:ind w:left="142"/>
              <w:contextualSpacing/>
              <w:rPr>
                <w:rFonts w:eastAsia="Calibri"/>
                <w:b/>
              </w:rPr>
            </w:pPr>
            <w:r w:rsidRPr="00B043B4">
              <w:rPr>
                <w:rFonts w:eastAsia="Calibri"/>
                <w:b/>
              </w:rPr>
              <w:t>Názov materiálu</w:t>
            </w:r>
          </w:p>
        </w:tc>
      </w:tr>
      <w:tr w:rsidR="00653B9A" w:rsidRPr="00B043B4" w14:paraId="02B0955C" w14:textId="77777777" w:rsidTr="00363F28">
        <w:tc>
          <w:tcPr>
            <w:tcW w:w="9180" w:type="dxa"/>
            <w:gridSpan w:val="11"/>
            <w:tcBorders>
              <w:top w:val="single" w:sz="4" w:space="0" w:color="FFFFFF"/>
              <w:bottom w:val="single" w:sz="4" w:space="0" w:color="auto"/>
            </w:tcBorders>
          </w:tcPr>
          <w:p w14:paraId="5E872C05" w14:textId="77777777" w:rsidR="00653B9A" w:rsidRPr="00B043B4" w:rsidRDefault="00653B9A" w:rsidP="00363F28">
            <w:pPr>
              <w:jc w:val="both"/>
              <w:rPr>
                <w:sz w:val="20"/>
                <w:szCs w:val="20"/>
                <w:lang w:eastAsia="sk-SK"/>
              </w:rPr>
            </w:pPr>
            <w:r w:rsidRPr="00661F2C">
              <w:rPr>
                <w:sz w:val="20"/>
                <w:szCs w:val="20"/>
              </w:rPr>
              <w:t>Návrh zákona, ktorým sa mení a dopĺňa zákon č. 95/2019 Z. z. o informačných technológiách vo verejnej správe a o zmene a doplnení niektorých zákonov</w:t>
            </w:r>
            <w:r>
              <w:rPr>
                <w:sz w:val="20"/>
                <w:szCs w:val="20"/>
              </w:rPr>
              <w:t xml:space="preserve"> v znení neskorších predpisov</w:t>
            </w:r>
            <w:r w:rsidRPr="00661F2C">
              <w:rPr>
                <w:sz w:val="20"/>
                <w:szCs w:val="20"/>
              </w:rPr>
              <w:t xml:space="preserve"> a ktorým sa </w:t>
            </w:r>
            <w:r>
              <w:rPr>
                <w:sz w:val="20"/>
                <w:szCs w:val="20"/>
              </w:rPr>
              <w:t xml:space="preserve">menia a </w:t>
            </w:r>
            <w:r w:rsidRPr="00661F2C">
              <w:rPr>
                <w:sz w:val="20"/>
                <w:szCs w:val="20"/>
              </w:rPr>
              <w:t>dopĺňajú niektoré zákony</w:t>
            </w:r>
            <w:r>
              <w:rPr>
                <w:sz w:val="20"/>
                <w:szCs w:val="20"/>
              </w:rPr>
              <w:t>.</w:t>
            </w:r>
          </w:p>
        </w:tc>
      </w:tr>
      <w:tr w:rsidR="00653B9A" w:rsidRPr="00B043B4" w14:paraId="08356E39" w14:textId="77777777" w:rsidTr="00363F28">
        <w:tc>
          <w:tcPr>
            <w:tcW w:w="9180" w:type="dxa"/>
            <w:gridSpan w:val="11"/>
            <w:tcBorders>
              <w:top w:val="single" w:sz="4" w:space="0" w:color="auto"/>
              <w:left w:val="single" w:sz="4" w:space="0" w:color="auto"/>
              <w:bottom w:val="single" w:sz="4" w:space="0" w:color="FFFFFF"/>
            </w:tcBorders>
            <w:shd w:val="clear" w:color="auto" w:fill="E2E2E2"/>
          </w:tcPr>
          <w:p w14:paraId="4B5EA038" w14:textId="77777777" w:rsidR="00653B9A" w:rsidRPr="00B043B4" w:rsidRDefault="00653B9A" w:rsidP="00363F28">
            <w:pPr>
              <w:spacing w:after="200" w:line="276" w:lineRule="auto"/>
              <w:ind w:left="142"/>
              <w:contextualSpacing/>
              <w:rPr>
                <w:rFonts w:eastAsia="Calibri"/>
                <w:b/>
              </w:rPr>
            </w:pPr>
            <w:r w:rsidRPr="00B043B4">
              <w:rPr>
                <w:rFonts w:eastAsia="Calibri"/>
                <w:b/>
              </w:rPr>
              <w:t>Predkladateľ (a spolupredkladateľ)</w:t>
            </w:r>
          </w:p>
        </w:tc>
      </w:tr>
      <w:tr w:rsidR="00653B9A" w:rsidRPr="00B043B4" w14:paraId="05C5D259" w14:textId="77777777" w:rsidTr="00363F28">
        <w:tc>
          <w:tcPr>
            <w:tcW w:w="9180" w:type="dxa"/>
            <w:gridSpan w:val="11"/>
            <w:tcBorders>
              <w:top w:val="single" w:sz="4" w:space="0" w:color="FFFFFF"/>
              <w:left w:val="single" w:sz="4" w:space="0" w:color="auto"/>
              <w:bottom w:val="single" w:sz="4" w:space="0" w:color="auto"/>
            </w:tcBorders>
            <w:shd w:val="clear" w:color="auto" w:fill="FFFFFF"/>
          </w:tcPr>
          <w:p w14:paraId="04D23E14" w14:textId="77777777" w:rsidR="00653B9A" w:rsidRPr="00B043B4" w:rsidRDefault="00653B9A" w:rsidP="00363F28">
            <w:pPr>
              <w:rPr>
                <w:sz w:val="20"/>
                <w:szCs w:val="20"/>
                <w:lang w:eastAsia="sk-SK"/>
              </w:rPr>
            </w:pPr>
            <w:r w:rsidRPr="547861D9">
              <w:rPr>
                <w:sz w:val="20"/>
                <w:szCs w:val="20"/>
                <w:lang w:eastAsia="sk-SK"/>
              </w:rPr>
              <w:t xml:space="preserve">Ministerstvo </w:t>
            </w:r>
            <w:r>
              <w:rPr>
                <w:sz w:val="20"/>
                <w:szCs w:val="20"/>
                <w:lang w:eastAsia="sk-SK"/>
              </w:rPr>
              <w:t>investícii, regionálneho rozvoja a informatizácie Slovenskej republiky</w:t>
            </w:r>
          </w:p>
          <w:p w14:paraId="10A42FAE" w14:textId="77777777" w:rsidR="00653B9A" w:rsidRPr="00B043B4" w:rsidRDefault="00653B9A" w:rsidP="00363F28">
            <w:pPr>
              <w:rPr>
                <w:sz w:val="20"/>
                <w:szCs w:val="20"/>
                <w:lang w:eastAsia="sk-SK"/>
              </w:rPr>
            </w:pPr>
          </w:p>
        </w:tc>
      </w:tr>
      <w:tr w:rsidR="00653B9A" w:rsidRPr="00B043B4" w14:paraId="75DE6539" w14:textId="77777777" w:rsidTr="00363F2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1235349" w14:textId="77777777" w:rsidR="00653B9A" w:rsidRPr="00B043B4" w:rsidRDefault="00653B9A" w:rsidP="00363F28">
            <w:pPr>
              <w:spacing w:after="200" w:line="276" w:lineRule="auto"/>
              <w:ind w:left="142"/>
              <w:contextualSpacing/>
              <w:rPr>
                <w:rFonts w:eastAsia="Calibri"/>
                <w:b/>
              </w:rPr>
            </w:pPr>
            <w:r w:rsidRPr="00B043B4">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33EDEC8"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DF5482A" w14:textId="77777777" w:rsidR="00653B9A" w:rsidRPr="00B043B4" w:rsidRDefault="00653B9A" w:rsidP="00363F28">
            <w:pPr>
              <w:rPr>
                <w:sz w:val="20"/>
                <w:szCs w:val="20"/>
                <w:lang w:eastAsia="sk-SK"/>
              </w:rPr>
            </w:pPr>
            <w:r w:rsidRPr="00B043B4">
              <w:rPr>
                <w:sz w:val="20"/>
                <w:szCs w:val="20"/>
                <w:lang w:eastAsia="sk-SK"/>
              </w:rPr>
              <w:t>Materiál nelegislatívnej povahy</w:t>
            </w:r>
          </w:p>
        </w:tc>
      </w:tr>
      <w:tr w:rsidR="00653B9A" w:rsidRPr="00B043B4" w14:paraId="1B5ACDE4" w14:textId="77777777" w:rsidTr="00363F28">
        <w:tc>
          <w:tcPr>
            <w:tcW w:w="4212" w:type="dxa"/>
            <w:gridSpan w:val="2"/>
            <w:vMerge/>
            <w:tcBorders>
              <w:top w:val="nil"/>
              <w:left w:val="single" w:sz="4" w:space="0" w:color="auto"/>
              <w:bottom w:val="single" w:sz="4" w:space="0" w:color="FFFFFF"/>
            </w:tcBorders>
            <w:shd w:val="clear" w:color="auto" w:fill="E2E2E2"/>
          </w:tcPr>
          <w:p w14:paraId="6FDE202F" w14:textId="77777777" w:rsidR="00653B9A" w:rsidRPr="00B043B4" w:rsidRDefault="00653B9A" w:rsidP="00363F28">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7859B3E"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BA17038" w14:textId="77777777" w:rsidR="00653B9A" w:rsidRPr="00B043B4" w:rsidRDefault="00653B9A" w:rsidP="00363F28">
            <w:pPr>
              <w:ind w:left="175" w:hanging="175"/>
              <w:rPr>
                <w:sz w:val="20"/>
                <w:szCs w:val="20"/>
                <w:lang w:eastAsia="sk-SK"/>
              </w:rPr>
            </w:pPr>
            <w:r w:rsidRPr="00B043B4">
              <w:rPr>
                <w:sz w:val="20"/>
                <w:szCs w:val="20"/>
                <w:lang w:eastAsia="sk-SK"/>
              </w:rPr>
              <w:t>Materiál legislatívnej povahy</w:t>
            </w:r>
          </w:p>
        </w:tc>
      </w:tr>
      <w:tr w:rsidR="00653B9A" w:rsidRPr="00B043B4" w14:paraId="27FB1409" w14:textId="77777777" w:rsidTr="00363F28">
        <w:tc>
          <w:tcPr>
            <w:tcW w:w="4212" w:type="dxa"/>
            <w:gridSpan w:val="2"/>
            <w:vMerge/>
            <w:tcBorders>
              <w:top w:val="nil"/>
              <w:left w:val="single" w:sz="4" w:space="0" w:color="auto"/>
              <w:bottom w:val="single" w:sz="4" w:space="0" w:color="auto"/>
            </w:tcBorders>
            <w:shd w:val="clear" w:color="auto" w:fill="E2E2E2"/>
          </w:tcPr>
          <w:p w14:paraId="05996A7D" w14:textId="77777777" w:rsidR="00653B9A" w:rsidRPr="00B043B4" w:rsidRDefault="00653B9A" w:rsidP="00363F28">
            <w:pPr>
              <w:rPr>
                <w:sz w:val="20"/>
                <w:szCs w:val="20"/>
                <w:lang w:eastAsia="sk-SK"/>
              </w:rPr>
            </w:pPr>
          </w:p>
        </w:tc>
        <w:sdt>
          <w:sdtPr>
            <w:rPr>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996FBE6"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04A9320" w14:textId="77777777" w:rsidR="00653B9A" w:rsidRPr="00B043B4" w:rsidRDefault="00653B9A" w:rsidP="00363F28">
            <w:pPr>
              <w:rPr>
                <w:sz w:val="20"/>
                <w:szCs w:val="20"/>
                <w:lang w:eastAsia="sk-SK"/>
              </w:rPr>
            </w:pPr>
            <w:r w:rsidRPr="00B043B4">
              <w:rPr>
                <w:sz w:val="20"/>
                <w:szCs w:val="20"/>
                <w:lang w:eastAsia="sk-SK"/>
              </w:rPr>
              <w:t>Transpozícia práva EÚ</w:t>
            </w:r>
          </w:p>
        </w:tc>
      </w:tr>
      <w:tr w:rsidR="00653B9A" w:rsidRPr="00B043B4" w14:paraId="67021667" w14:textId="77777777" w:rsidTr="00363F28">
        <w:tc>
          <w:tcPr>
            <w:tcW w:w="9180" w:type="dxa"/>
            <w:gridSpan w:val="11"/>
            <w:tcBorders>
              <w:top w:val="single" w:sz="4" w:space="0" w:color="auto"/>
              <w:left w:val="single" w:sz="4" w:space="0" w:color="auto"/>
              <w:bottom w:val="single" w:sz="4" w:space="0" w:color="FFFFFF"/>
            </w:tcBorders>
            <w:shd w:val="clear" w:color="auto" w:fill="FFFFFF"/>
          </w:tcPr>
          <w:p w14:paraId="663C55D7" w14:textId="77777777" w:rsidR="00653B9A" w:rsidRPr="00B043B4" w:rsidRDefault="00653B9A" w:rsidP="00363F28">
            <w:pPr>
              <w:rPr>
                <w:i/>
                <w:sz w:val="20"/>
                <w:szCs w:val="20"/>
                <w:lang w:eastAsia="sk-SK"/>
              </w:rPr>
            </w:pPr>
            <w:r w:rsidRPr="00B043B4">
              <w:rPr>
                <w:i/>
                <w:sz w:val="20"/>
                <w:szCs w:val="20"/>
                <w:lang w:eastAsia="sk-SK"/>
              </w:rPr>
              <w:t>V prípade transpozície uveďte zoznam transponovaných predpisov:</w:t>
            </w:r>
          </w:p>
          <w:p w14:paraId="33B5F844" w14:textId="77777777" w:rsidR="00653B9A" w:rsidRPr="00B043B4" w:rsidRDefault="00653B9A" w:rsidP="00363F28">
            <w:pPr>
              <w:rPr>
                <w:sz w:val="20"/>
                <w:szCs w:val="20"/>
                <w:lang w:eastAsia="sk-SK"/>
              </w:rPr>
            </w:pPr>
          </w:p>
        </w:tc>
      </w:tr>
      <w:tr w:rsidR="00653B9A" w:rsidRPr="00B043B4" w14:paraId="6A7ABF77" w14:textId="77777777" w:rsidTr="00363F2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622551E" w14:textId="77777777" w:rsidR="00653B9A" w:rsidRPr="00B043B4" w:rsidRDefault="00653B9A" w:rsidP="00363F28">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E2848B8" w14:textId="77777777" w:rsidR="00653B9A" w:rsidRPr="00B043B4" w:rsidRDefault="00653B9A" w:rsidP="00363F28">
            <w:pPr>
              <w:rPr>
                <w:i/>
                <w:sz w:val="20"/>
                <w:szCs w:val="20"/>
                <w:lang w:eastAsia="sk-SK"/>
              </w:rPr>
            </w:pPr>
            <w:r>
              <w:rPr>
                <w:i/>
                <w:sz w:val="20"/>
                <w:szCs w:val="20"/>
                <w:lang w:eastAsia="sk-SK"/>
              </w:rPr>
              <w:t>8.11.2022 - 16.11.2022</w:t>
            </w:r>
          </w:p>
        </w:tc>
      </w:tr>
      <w:tr w:rsidR="00653B9A" w:rsidRPr="00B043B4" w14:paraId="26BB9295" w14:textId="77777777" w:rsidTr="00363F2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210258E" w14:textId="77777777" w:rsidR="00653B9A" w:rsidRPr="00B043B4" w:rsidRDefault="00653B9A" w:rsidP="00363F28">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07D6C96" w14:textId="77777777" w:rsidR="00653B9A" w:rsidRPr="00B043B4" w:rsidRDefault="00653B9A" w:rsidP="00363F28">
            <w:pPr>
              <w:rPr>
                <w:i/>
                <w:sz w:val="20"/>
                <w:szCs w:val="20"/>
                <w:lang w:eastAsia="sk-SK"/>
              </w:rPr>
            </w:pPr>
            <w:r w:rsidRPr="00A01E8B">
              <w:rPr>
                <w:i/>
                <w:sz w:val="20"/>
                <w:szCs w:val="20"/>
                <w:lang w:eastAsia="sk-SK"/>
              </w:rPr>
              <w:t>22.</w:t>
            </w:r>
            <w:r>
              <w:rPr>
                <w:i/>
                <w:sz w:val="20"/>
                <w:szCs w:val="20"/>
                <w:lang w:eastAsia="sk-SK"/>
              </w:rPr>
              <w:t>12.</w:t>
            </w:r>
            <w:r w:rsidRPr="00A01E8B">
              <w:rPr>
                <w:i/>
                <w:sz w:val="20"/>
                <w:szCs w:val="20"/>
                <w:lang w:eastAsia="sk-SK"/>
              </w:rPr>
              <w:t xml:space="preserve">2022 </w:t>
            </w:r>
            <w:r>
              <w:rPr>
                <w:i/>
                <w:sz w:val="20"/>
                <w:szCs w:val="20"/>
                <w:lang w:eastAsia="sk-SK"/>
              </w:rPr>
              <w:t>-</w:t>
            </w:r>
            <w:r w:rsidRPr="00A01E8B">
              <w:rPr>
                <w:i/>
                <w:sz w:val="20"/>
                <w:szCs w:val="20"/>
                <w:lang w:eastAsia="sk-SK"/>
              </w:rPr>
              <w:t xml:space="preserve"> 16.</w:t>
            </w:r>
            <w:r>
              <w:rPr>
                <w:i/>
                <w:sz w:val="20"/>
                <w:szCs w:val="20"/>
                <w:lang w:eastAsia="sk-SK"/>
              </w:rPr>
              <w:t>1.</w:t>
            </w:r>
            <w:r w:rsidRPr="00A01E8B">
              <w:rPr>
                <w:i/>
                <w:sz w:val="20"/>
                <w:szCs w:val="20"/>
                <w:lang w:eastAsia="sk-SK"/>
              </w:rPr>
              <w:t>2023.</w:t>
            </w:r>
          </w:p>
        </w:tc>
      </w:tr>
      <w:tr w:rsidR="00653B9A" w:rsidRPr="00B043B4" w14:paraId="340AD7C7" w14:textId="77777777" w:rsidTr="00363F2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4F331AE" w14:textId="77777777" w:rsidR="00653B9A" w:rsidRPr="00B043B4" w:rsidRDefault="00653B9A" w:rsidP="00363F28">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0C581A2" w14:textId="77777777" w:rsidR="00653B9A" w:rsidRPr="00B043B4" w:rsidRDefault="00653B9A" w:rsidP="00363F28">
            <w:pPr>
              <w:rPr>
                <w:i/>
                <w:sz w:val="20"/>
                <w:szCs w:val="20"/>
                <w:lang w:eastAsia="sk-SK"/>
              </w:rPr>
            </w:pPr>
            <w:r>
              <w:rPr>
                <w:i/>
                <w:sz w:val="20"/>
                <w:szCs w:val="20"/>
                <w:lang w:eastAsia="sk-SK"/>
              </w:rPr>
              <w:t>15.3.2023 - 21.3.2023</w:t>
            </w:r>
          </w:p>
        </w:tc>
      </w:tr>
      <w:tr w:rsidR="00653B9A" w:rsidRPr="00B043B4" w14:paraId="525C2D9B" w14:textId="77777777" w:rsidTr="00363F2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F04C26A" w14:textId="77777777" w:rsidR="00653B9A" w:rsidRPr="00B043B4" w:rsidRDefault="00653B9A" w:rsidP="00363F28">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4A328AD" w14:textId="77777777" w:rsidR="00653B9A" w:rsidRPr="00B043B4" w:rsidRDefault="00653B9A" w:rsidP="00363F28">
            <w:pPr>
              <w:rPr>
                <w:i/>
                <w:sz w:val="20"/>
                <w:szCs w:val="20"/>
                <w:lang w:eastAsia="sk-SK"/>
              </w:rPr>
            </w:pPr>
            <w:r>
              <w:rPr>
                <w:i/>
                <w:sz w:val="20"/>
                <w:szCs w:val="20"/>
                <w:lang w:eastAsia="sk-SK"/>
              </w:rPr>
              <w:t>marec 2023</w:t>
            </w:r>
          </w:p>
        </w:tc>
      </w:tr>
      <w:tr w:rsidR="00653B9A" w:rsidRPr="00B043B4" w14:paraId="1D46A660" w14:textId="77777777" w:rsidTr="00363F28">
        <w:tc>
          <w:tcPr>
            <w:tcW w:w="9180" w:type="dxa"/>
            <w:gridSpan w:val="11"/>
            <w:tcBorders>
              <w:top w:val="single" w:sz="4" w:space="0" w:color="auto"/>
              <w:left w:val="nil"/>
              <w:bottom w:val="single" w:sz="4" w:space="0" w:color="auto"/>
              <w:right w:val="nil"/>
            </w:tcBorders>
            <w:shd w:val="clear" w:color="auto" w:fill="FFFFFF"/>
          </w:tcPr>
          <w:p w14:paraId="354E70B5" w14:textId="77777777" w:rsidR="00653B9A" w:rsidRPr="00B043B4" w:rsidRDefault="00653B9A" w:rsidP="00363F28">
            <w:pPr>
              <w:rPr>
                <w:sz w:val="20"/>
                <w:szCs w:val="20"/>
                <w:lang w:eastAsia="sk-SK"/>
              </w:rPr>
            </w:pPr>
          </w:p>
        </w:tc>
      </w:tr>
      <w:tr w:rsidR="00653B9A" w:rsidRPr="00B043B4" w14:paraId="781923EA" w14:textId="77777777" w:rsidTr="00363F2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A696374" w14:textId="77777777" w:rsidR="00653B9A" w:rsidRPr="00B043B4" w:rsidRDefault="00653B9A" w:rsidP="00E5219E">
            <w:pPr>
              <w:numPr>
                <w:ilvl w:val="0"/>
                <w:numId w:val="2"/>
              </w:numPr>
              <w:ind w:left="426"/>
              <w:contextualSpacing/>
              <w:rPr>
                <w:rFonts w:eastAsia="Calibri"/>
                <w:b/>
              </w:rPr>
            </w:pPr>
            <w:r w:rsidRPr="00B043B4">
              <w:rPr>
                <w:rFonts w:eastAsia="Calibri"/>
                <w:b/>
              </w:rPr>
              <w:t>Definovanie problému</w:t>
            </w:r>
          </w:p>
        </w:tc>
      </w:tr>
      <w:tr w:rsidR="00653B9A" w:rsidRPr="00B043B4" w14:paraId="173CBF01" w14:textId="77777777" w:rsidTr="00363F2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783D2D9" w14:textId="77777777" w:rsidR="00653B9A" w:rsidRPr="00021094" w:rsidRDefault="00653B9A" w:rsidP="00363F28">
            <w:pPr>
              <w:jc w:val="both"/>
              <w:rPr>
                <w:sz w:val="20"/>
              </w:rPr>
            </w:pPr>
            <w:r w:rsidRPr="00CB42BB">
              <w:rPr>
                <w:sz w:val="20"/>
              </w:rPr>
              <w:t>Cieľom návrhu zákona je zabezpečiť úpravy a doplnenia, ktoré vyplynuli z aplikačnej praxe a reflekt</w:t>
            </w:r>
            <w:r w:rsidRPr="00021094">
              <w:rPr>
                <w:sz w:val="20"/>
              </w:rPr>
              <w:t>ovať na požiadavky vyplývajúce z Národnej koncepcie informatizácie verejnej správy, ktorá bola schválená uznesením vlády Slovenskej republiky č. 763 zo 14. decembra 2021 (ďalej ako „Národná koncepcia“) a tiež vymedziť kompetencie vládnej jednotky CSIRT.</w:t>
            </w:r>
          </w:p>
        </w:tc>
      </w:tr>
      <w:tr w:rsidR="00653B9A" w:rsidRPr="00B043B4" w14:paraId="6F4A1B35" w14:textId="77777777" w:rsidTr="00363F28">
        <w:tc>
          <w:tcPr>
            <w:tcW w:w="9180" w:type="dxa"/>
            <w:gridSpan w:val="11"/>
            <w:tcBorders>
              <w:top w:val="single" w:sz="4" w:space="0" w:color="auto"/>
              <w:left w:val="single" w:sz="4" w:space="0" w:color="auto"/>
              <w:bottom w:val="nil"/>
              <w:right w:val="single" w:sz="4" w:space="0" w:color="auto"/>
            </w:tcBorders>
            <w:shd w:val="clear" w:color="auto" w:fill="E2E2E2"/>
          </w:tcPr>
          <w:p w14:paraId="107839B2" w14:textId="77777777" w:rsidR="00653B9A" w:rsidRPr="00CB42BB" w:rsidRDefault="00653B9A" w:rsidP="00E5219E">
            <w:pPr>
              <w:numPr>
                <w:ilvl w:val="0"/>
                <w:numId w:val="2"/>
              </w:numPr>
              <w:ind w:left="426"/>
              <w:contextualSpacing/>
              <w:rPr>
                <w:rFonts w:eastAsia="Calibri"/>
                <w:b/>
              </w:rPr>
            </w:pPr>
            <w:r w:rsidRPr="00CB42BB">
              <w:rPr>
                <w:rFonts w:eastAsia="Calibri"/>
                <w:b/>
              </w:rPr>
              <w:t>Ciele a výsledný stav</w:t>
            </w:r>
          </w:p>
        </w:tc>
      </w:tr>
      <w:tr w:rsidR="00653B9A" w:rsidRPr="00B043B4" w14:paraId="67FB9BDE" w14:textId="77777777" w:rsidTr="00363F2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902AD47" w14:textId="77777777" w:rsidR="00653B9A" w:rsidRPr="00021094" w:rsidRDefault="00653B9A" w:rsidP="00363F28">
            <w:pPr>
              <w:pStyle w:val="Normlnywebov"/>
              <w:spacing w:before="0" w:beforeAutospacing="0" w:after="0" w:afterAutospacing="0"/>
              <w:jc w:val="both"/>
              <w:rPr>
                <w:sz w:val="20"/>
              </w:rPr>
            </w:pPr>
            <w:r w:rsidRPr="00CB42BB">
              <w:rPr>
                <w:sz w:val="20"/>
              </w:rPr>
              <w:t>Návrhom</w:t>
            </w:r>
            <w:r w:rsidRPr="00021094">
              <w:rPr>
                <w:sz w:val="20"/>
              </w:rPr>
              <w:t xml:space="preserve"> zákona sa dopĺňa jednoznačnejšie vymedzenie pre orgány riadenia používať jednotný dizajn manuál, ktorý má za cieľ zjednotiť používateľské rozhrania a spôsob komunikácie s používateľom pri poskytovaní elektronických služieb, a to aj vo vzťahu k vyhláške Ministerstva investícií, regionálneho rozvoja a informatizácie Slovenskej republiky č. 547/2021 Z. z. o elektronizácii agendy verejnej správy.</w:t>
            </w:r>
          </w:p>
          <w:p w14:paraId="46BE3B5C" w14:textId="77777777" w:rsidR="00653B9A" w:rsidRPr="00021094" w:rsidRDefault="00653B9A" w:rsidP="00363F28">
            <w:pPr>
              <w:pStyle w:val="Normlnywebov"/>
              <w:spacing w:before="0" w:beforeAutospacing="0" w:after="0" w:afterAutospacing="0"/>
              <w:jc w:val="both"/>
              <w:rPr>
                <w:sz w:val="20"/>
              </w:rPr>
            </w:pPr>
            <w:r w:rsidRPr="00021094">
              <w:rPr>
                <w:sz w:val="20"/>
              </w:rPr>
              <w:t>Návrhom zákona sa ďalej precizujú kompetencie vládnej jednotky CSIRT a MIRRI SR</w:t>
            </w:r>
            <w:r w:rsidRPr="00CB42BB">
              <w:rPr>
                <w:sz w:val="20"/>
              </w:rPr>
              <w:t xml:space="preserve"> a s tým súvisiaca úprava vzťahov medzi zákonom č</w:t>
            </w:r>
            <w:r w:rsidRPr="00CB42BB">
              <w:rPr>
                <w:sz w:val="20"/>
                <w:szCs w:val="20"/>
              </w:rPr>
              <w:t xml:space="preserve">. 95/2019 Z. z. o informačných technológiách vo verejnej správe a o zmene a doplnení niektorých zákonov v znení neskorších predpisov </w:t>
            </w:r>
            <w:r w:rsidRPr="00021094">
              <w:rPr>
                <w:sz w:val="20"/>
              </w:rPr>
              <w:t xml:space="preserve">a zákonom č. 69/2018 Z. z. o kybernetickej bezpečnosti a o zmene a doplnení niektorých zákonov v znení neskorších predpisov. </w:t>
            </w:r>
            <w:r w:rsidRPr="00CF76D6">
              <w:rPr>
                <w:sz w:val="20"/>
              </w:rPr>
              <w:t>Návrh zákona upravuje postup riešenia kybernetických bezpečnostných incidentov pre všetkých správcov, keďže v súčasnosti predmetná úprava absentuje.</w:t>
            </w:r>
            <w:r>
              <w:rPr>
                <w:sz w:val="20"/>
              </w:rPr>
              <w:t xml:space="preserve"> </w:t>
            </w:r>
          </w:p>
          <w:p w14:paraId="0AF8059A" w14:textId="77777777" w:rsidR="00653B9A" w:rsidRPr="00021094" w:rsidRDefault="00653B9A" w:rsidP="00363F28">
            <w:pPr>
              <w:pStyle w:val="Normlnywebov"/>
              <w:spacing w:before="0" w:beforeAutospacing="0" w:after="0" w:afterAutospacing="0"/>
              <w:jc w:val="both"/>
            </w:pPr>
            <w:r w:rsidRPr="00021094">
              <w:rPr>
                <w:sz w:val="20"/>
              </w:rPr>
              <w:t>V návrhu zákona sa tiež spresňujú ustanovenia vyplývajúce z aplikačnej praxe a reflektuje sa ním na požiadavky vyplývajúce z Národnej koncepcie informatizácie verejnej správy.</w:t>
            </w:r>
          </w:p>
        </w:tc>
      </w:tr>
      <w:tr w:rsidR="00653B9A" w:rsidRPr="00B043B4" w14:paraId="5F21FCA4" w14:textId="77777777" w:rsidTr="00363F28">
        <w:tc>
          <w:tcPr>
            <w:tcW w:w="9180" w:type="dxa"/>
            <w:gridSpan w:val="11"/>
            <w:tcBorders>
              <w:top w:val="single" w:sz="4" w:space="0" w:color="auto"/>
              <w:left w:val="single" w:sz="4" w:space="0" w:color="auto"/>
              <w:bottom w:val="nil"/>
              <w:right w:val="single" w:sz="4" w:space="0" w:color="auto"/>
            </w:tcBorders>
            <w:shd w:val="clear" w:color="auto" w:fill="E2E2E2"/>
          </w:tcPr>
          <w:p w14:paraId="3A9772F5" w14:textId="77777777" w:rsidR="00653B9A" w:rsidRPr="00CB42BB" w:rsidRDefault="00653B9A" w:rsidP="00E5219E">
            <w:pPr>
              <w:numPr>
                <w:ilvl w:val="0"/>
                <w:numId w:val="2"/>
              </w:numPr>
              <w:ind w:left="426"/>
              <w:contextualSpacing/>
              <w:rPr>
                <w:rFonts w:eastAsia="Calibri"/>
                <w:b/>
              </w:rPr>
            </w:pPr>
            <w:r w:rsidRPr="00CB42BB">
              <w:rPr>
                <w:rFonts w:eastAsia="Calibri"/>
                <w:b/>
              </w:rPr>
              <w:t>Dotknuté subjekty</w:t>
            </w:r>
          </w:p>
        </w:tc>
      </w:tr>
      <w:tr w:rsidR="00653B9A" w:rsidRPr="00B043B4" w14:paraId="5375E5D8" w14:textId="77777777" w:rsidTr="00363F28">
        <w:tc>
          <w:tcPr>
            <w:tcW w:w="9180" w:type="dxa"/>
            <w:gridSpan w:val="11"/>
            <w:tcBorders>
              <w:top w:val="nil"/>
              <w:left w:val="single" w:sz="4" w:space="0" w:color="auto"/>
              <w:bottom w:val="single" w:sz="4" w:space="0" w:color="auto"/>
              <w:right w:val="single" w:sz="4" w:space="0" w:color="auto"/>
            </w:tcBorders>
            <w:shd w:val="clear" w:color="auto" w:fill="FFFFFF"/>
          </w:tcPr>
          <w:p w14:paraId="35E5FF0A" w14:textId="77777777" w:rsidR="00653B9A" w:rsidRPr="00021094" w:rsidRDefault="00653B9A" w:rsidP="00363F28">
            <w:pPr>
              <w:rPr>
                <w:i/>
                <w:iCs/>
                <w:sz w:val="20"/>
                <w:szCs w:val="20"/>
                <w:lang w:eastAsia="sk-SK"/>
              </w:rPr>
            </w:pPr>
            <w:r w:rsidRPr="00CB42BB">
              <w:rPr>
                <w:sz w:val="20"/>
                <w:szCs w:val="20"/>
                <w:lang w:eastAsia="sk-SK"/>
              </w:rPr>
              <w:t xml:space="preserve">Orgány riadenia podľa zákona č. 95/2019 Z. z. o informačných technológiách vo verejnej správe </w:t>
            </w:r>
            <w:r w:rsidRPr="00CB42BB">
              <w:rPr>
                <w:sz w:val="20"/>
                <w:szCs w:val="20"/>
              </w:rPr>
              <w:t>a o zmene a doplnení niektorých zákonov</w:t>
            </w:r>
            <w:r w:rsidRPr="00021094">
              <w:rPr>
                <w:sz w:val="20"/>
                <w:szCs w:val="20"/>
              </w:rPr>
              <w:t xml:space="preserve"> v znení neskorších predpisov.</w:t>
            </w:r>
          </w:p>
        </w:tc>
      </w:tr>
      <w:tr w:rsidR="00653B9A" w:rsidRPr="00B043B4" w14:paraId="1D1331E6" w14:textId="77777777" w:rsidTr="00363F28">
        <w:tc>
          <w:tcPr>
            <w:tcW w:w="9180" w:type="dxa"/>
            <w:gridSpan w:val="11"/>
            <w:tcBorders>
              <w:top w:val="single" w:sz="4" w:space="0" w:color="auto"/>
              <w:left w:val="single" w:sz="4" w:space="0" w:color="auto"/>
              <w:bottom w:val="nil"/>
              <w:right w:val="single" w:sz="4" w:space="0" w:color="auto"/>
            </w:tcBorders>
            <w:shd w:val="clear" w:color="auto" w:fill="E2E2E2"/>
          </w:tcPr>
          <w:p w14:paraId="6CFF66AF" w14:textId="77777777" w:rsidR="00653B9A" w:rsidRPr="00CB42BB" w:rsidRDefault="00653B9A" w:rsidP="00E5219E">
            <w:pPr>
              <w:numPr>
                <w:ilvl w:val="0"/>
                <w:numId w:val="2"/>
              </w:numPr>
              <w:ind w:left="426"/>
              <w:contextualSpacing/>
              <w:rPr>
                <w:rFonts w:eastAsia="Calibri"/>
                <w:b/>
              </w:rPr>
            </w:pPr>
            <w:r w:rsidRPr="00CB42BB">
              <w:rPr>
                <w:rFonts w:eastAsia="Calibri"/>
                <w:b/>
              </w:rPr>
              <w:t>Alternatívne riešenia</w:t>
            </w:r>
          </w:p>
        </w:tc>
      </w:tr>
      <w:tr w:rsidR="00653B9A" w:rsidRPr="00B043B4" w14:paraId="1FE1092C" w14:textId="77777777" w:rsidTr="00363F28">
        <w:trPr>
          <w:trHeight w:val="238"/>
        </w:trPr>
        <w:tc>
          <w:tcPr>
            <w:tcW w:w="9180" w:type="dxa"/>
            <w:gridSpan w:val="11"/>
            <w:tcBorders>
              <w:top w:val="nil"/>
              <w:left w:val="single" w:sz="4" w:space="0" w:color="auto"/>
              <w:bottom w:val="single" w:sz="4" w:space="0" w:color="auto"/>
              <w:right w:val="single" w:sz="4" w:space="0" w:color="auto"/>
            </w:tcBorders>
            <w:shd w:val="clear" w:color="auto" w:fill="FFFFFF"/>
          </w:tcPr>
          <w:p w14:paraId="046E14CF" w14:textId="77777777" w:rsidR="00653B9A" w:rsidRPr="00021094" w:rsidRDefault="00653B9A" w:rsidP="00363F28">
            <w:pPr>
              <w:jc w:val="both"/>
              <w:rPr>
                <w:i/>
                <w:sz w:val="20"/>
                <w:szCs w:val="20"/>
                <w:lang w:eastAsia="sk-SK"/>
              </w:rPr>
            </w:pPr>
            <w:r w:rsidRPr="00CB42BB">
              <w:rPr>
                <w:bCs/>
                <w:sz w:val="20"/>
                <w:szCs w:val="20"/>
                <w:lang w:eastAsia="sk-SK"/>
              </w:rPr>
              <w:t>Neboli identifikované žiadne alternatívne riešenia.</w:t>
            </w:r>
            <w:r w:rsidRPr="00CB42BB">
              <w:rPr>
                <w:i/>
                <w:sz w:val="20"/>
                <w:szCs w:val="20"/>
                <w:lang w:eastAsia="sk-SK"/>
              </w:rPr>
              <w:t xml:space="preserve"> </w:t>
            </w:r>
          </w:p>
          <w:p w14:paraId="0E20EAEC" w14:textId="77777777" w:rsidR="00653B9A" w:rsidRPr="00021094" w:rsidRDefault="00653B9A" w:rsidP="00363F28">
            <w:pPr>
              <w:jc w:val="both"/>
              <w:rPr>
                <w:i/>
                <w:sz w:val="20"/>
                <w:szCs w:val="20"/>
                <w:lang w:eastAsia="sk-SK"/>
              </w:rPr>
            </w:pPr>
            <w:r w:rsidRPr="00021094">
              <w:rPr>
                <w:i/>
                <w:sz w:val="20"/>
                <w:szCs w:val="20"/>
                <w:lang w:eastAsia="sk-SK"/>
              </w:rPr>
              <w:t xml:space="preserve">Nulový variant – v prípade, ak by neboli vykonané zmeny, ktoré sú predmetom návrhu, nebolo by možné dosiahnuť ciele, ktoré si stanovila vláda Slovenskej republiky prostredníctvom Národnej koncepcie (napr. zjednotenie používateľských rozhraní a spôsob komunikácie orgánov riadenia s používateľmi pri poskytovaní elektronických služieb). </w:t>
            </w:r>
            <w:r w:rsidRPr="00CF76D6">
              <w:rPr>
                <w:i/>
                <w:sz w:val="20"/>
                <w:szCs w:val="20"/>
                <w:lang w:eastAsia="sk-SK"/>
              </w:rPr>
              <w:t>Taktiež by absentovala úprava postupu pri riešení kybernetických bezpečnostných incidentov pre všetkých správcov</w:t>
            </w:r>
            <w:r>
              <w:rPr>
                <w:i/>
                <w:sz w:val="20"/>
                <w:szCs w:val="20"/>
                <w:lang w:eastAsia="sk-SK"/>
              </w:rPr>
              <w:t>.</w:t>
            </w:r>
          </w:p>
        </w:tc>
      </w:tr>
      <w:tr w:rsidR="00653B9A" w:rsidRPr="00B043B4" w14:paraId="332A12ED" w14:textId="77777777" w:rsidTr="00363F2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729A19F" w14:textId="77777777" w:rsidR="00653B9A" w:rsidRPr="00B043B4" w:rsidRDefault="00653B9A" w:rsidP="00E5219E">
            <w:pPr>
              <w:numPr>
                <w:ilvl w:val="0"/>
                <w:numId w:val="2"/>
              </w:numPr>
              <w:ind w:left="426"/>
              <w:contextualSpacing/>
              <w:rPr>
                <w:rFonts w:eastAsia="Calibri"/>
                <w:b/>
              </w:rPr>
            </w:pPr>
            <w:r w:rsidRPr="00B043B4">
              <w:rPr>
                <w:rFonts w:eastAsia="Calibri"/>
                <w:b/>
              </w:rPr>
              <w:t>Vykonávacie predpisy</w:t>
            </w:r>
          </w:p>
        </w:tc>
      </w:tr>
      <w:tr w:rsidR="00653B9A" w:rsidRPr="00B043B4" w14:paraId="3E9E13B1" w14:textId="77777777" w:rsidTr="00363F28">
        <w:tc>
          <w:tcPr>
            <w:tcW w:w="6203" w:type="dxa"/>
            <w:gridSpan w:val="7"/>
            <w:tcBorders>
              <w:top w:val="single" w:sz="4" w:space="0" w:color="FFFFFF"/>
              <w:left w:val="single" w:sz="4" w:space="0" w:color="auto"/>
              <w:bottom w:val="nil"/>
              <w:right w:val="nil"/>
            </w:tcBorders>
            <w:shd w:val="clear" w:color="auto" w:fill="FFFFFF"/>
          </w:tcPr>
          <w:p w14:paraId="7024D07B" w14:textId="77777777" w:rsidR="00653B9A" w:rsidRPr="00B043B4" w:rsidRDefault="00653B9A" w:rsidP="00363F28">
            <w:pPr>
              <w:rPr>
                <w:i/>
                <w:sz w:val="20"/>
                <w:szCs w:val="20"/>
                <w:lang w:eastAsia="sk-SK"/>
              </w:rPr>
            </w:pPr>
            <w:r w:rsidRPr="00B043B4">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F5EFC56" w14:textId="77777777" w:rsidR="00653B9A" w:rsidRPr="00B043B4" w:rsidRDefault="00193FDA" w:rsidP="00363F28">
            <w:pPr>
              <w:jc w:val="cente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sidRPr="00B043B4">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A03609D" w14:textId="77777777" w:rsidR="00653B9A" w:rsidRPr="00B043B4" w:rsidRDefault="00193FDA" w:rsidP="00363F28">
            <w:pPr>
              <w:jc w:val="center"/>
              <w:rPr>
                <w:b/>
                <w:sz w:val="20"/>
                <w:szCs w:val="20"/>
                <w:lang w:eastAsia="sk-SK"/>
              </w:rPr>
            </w:pPr>
            <w:sdt>
              <w:sdtPr>
                <w:rPr>
                  <w:b/>
                  <w:sz w:val="20"/>
                  <w:szCs w:val="20"/>
                  <w:lang w:eastAsia="sk-SK"/>
                </w:rPr>
                <w:id w:val="-1594626508"/>
                <w14:checkbox>
                  <w14:checked w14:val="0"/>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sidRPr="00B043B4">
              <w:rPr>
                <w:b/>
                <w:sz w:val="20"/>
                <w:szCs w:val="20"/>
                <w:lang w:eastAsia="sk-SK"/>
              </w:rPr>
              <w:t xml:space="preserve">  Nie</w:t>
            </w:r>
          </w:p>
        </w:tc>
      </w:tr>
      <w:tr w:rsidR="00653B9A" w:rsidRPr="00B043B4" w14:paraId="24C745B2" w14:textId="77777777" w:rsidTr="00363F28">
        <w:tc>
          <w:tcPr>
            <w:tcW w:w="9180" w:type="dxa"/>
            <w:gridSpan w:val="11"/>
            <w:tcBorders>
              <w:top w:val="nil"/>
              <w:left w:val="single" w:sz="4" w:space="0" w:color="auto"/>
              <w:bottom w:val="single" w:sz="4" w:space="0" w:color="auto"/>
              <w:right w:val="single" w:sz="4" w:space="0" w:color="auto"/>
            </w:tcBorders>
            <w:shd w:val="clear" w:color="auto" w:fill="FFFFFF"/>
          </w:tcPr>
          <w:p w14:paraId="51665108" w14:textId="77777777" w:rsidR="00653B9A" w:rsidRPr="00B043B4" w:rsidRDefault="00653B9A" w:rsidP="00363F28">
            <w:pPr>
              <w:rPr>
                <w:i/>
                <w:sz w:val="20"/>
                <w:szCs w:val="20"/>
                <w:lang w:eastAsia="sk-SK"/>
              </w:rPr>
            </w:pPr>
            <w:r w:rsidRPr="00B043B4">
              <w:rPr>
                <w:i/>
                <w:sz w:val="20"/>
                <w:szCs w:val="20"/>
                <w:lang w:eastAsia="sk-SK"/>
              </w:rPr>
              <w:t>Ak áno, uveďte ktoré oblasti budú nimi upravené, resp. ktorých vykonávacích predpisov sa zmena dotkne:</w:t>
            </w:r>
          </w:p>
          <w:p w14:paraId="5D3F70AD" w14:textId="77777777" w:rsidR="00653B9A" w:rsidRDefault="00653B9A" w:rsidP="00363F28">
            <w:pPr>
              <w:rPr>
                <w:sz w:val="20"/>
                <w:szCs w:val="20"/>
                <w:lang w:eastAsia="sk-SK"/>
              </w:rPr>
            </w:pPr>
            <w:r>
              <w:rPr>
                <w:sz w:val="20"/>
                <w:szCs w:val="20"/>
                <w:lang w:eastAsia="sk-SK"/>
              </w:rPr>
              <w:t>Vyhláška Úradu podpredsedu vlády Slovenskej republiky pre investície a informatizáciu č. 78/2020 Z. z. o štandardoch pre informačné technológie verejnej správy:</w:t>
            </w:r>
          </w:p>
          <w:p w14:paraId="65D295B4" w14:textId="77777777" w:rsidR="00653B9A" w:rsidRDefault="00653B9A" w:rsidP="00E5219E">
            <w:pPr>
              <w:pStyle w:val="Odsekzoznamu"/>
              <w:numPr>
                <w:ilvl w:val="0"/>
                <w:numId w:val="7"/>
              </w:num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návrhom zákona sa predpokladá vydať štandardy podľa § 24 ods. 1 písm. k) a l):</w:t>
            </w:r>
          </w:p>
          <w:p w14:paraId="5AC61A11" w14:textId="77777777" w:rsidR="00653B9A" w:rsidRDefault="00653B9A" w:rsidP="00363F28">
            <w:pPr>
              <w:rPr>
                <w:sz w:val="20"/>
                <w:szCs w:val="20"/>
                <w:lang w:eastAsia="sk-SK"/>
              </w:rPr>
            </w:pPr>
            <w:r>
              <w:rPr>
                <w:sz w:val="20"/>
                <w:szCs w:val="20"/>
                <w:lang w:eastAsia="sk-SK"/>
              </w:rPr>
              <w:t>k) štandard pre dizajnový manuál,</w:t>
            </w:r>
          </w:p>
          <w:p w14:paraId="7CE2EBCB" w14:textId="77777777" w:rsidR="00653B9A" w:rsidRDefault="00653B9A" w:rsidP="00363F28">
            <w:pPr>
              <w:rPr>
                <w:sz w:val="20"/>
                <w:szCs w:val="20"/>
                <w:lang w:eastAsia="sk-SK"/>
              </w:rPr>
            </w:pPr>
            <w:r>
              <w:rPr>
                <w:sz w:val="20"/>
                <w:szCs w:val="20"/>
                <w:lang w:eastAsia="sk-SK"/>
              </w:rPr>
              <w:t>l) štandard pre kritériá prioritnej elektronickej služby.</w:t>
            </w:r>
          </w:p>
          <w:p w14:paraId="287CC0FC" w14:textId="77777777" w:rsidR="00653B9A" w:rsidRDefault="00653B9A" w:rsidP="00363F28">
            <w:pPr>
              <w:rPr>
                <w:sz w:val="20"/>
                <w:szCs w:val="20"/>
                <w:lang w:eastAsia="sk-SK"/>
              </w:rPr>
            </w:pPr>
          </w:p>
          <w:p w14:paraId="55044F4C" w14:textId="77777777" w:rsidR="00653B9A" w:rsidRDefault="00653B9A" w:rsidP="00363F28">
            <w:pPr>
              <w:rPr>
                <w:sz w:val="20"/>
                <w:szCs w:val="20"/>
                <w:lang w:eastAsia="sk-SK"/>
              </w:rPr>
            </w:pPr>
            <w:r>
              <w:rPr>
                <w:sz w:val="20"/>
                <w:szCs w:val="20"/>
                <w:lang w:eastAsia="sk-SK"/>
              </w:rPr>
              <w:t>Vyhláška Úradu podpredsedu vlády Slovenskej republiky pre investície a informatizáciu č. 179/2020 z. z. ktorou sa ustanovuje spôsob kategorizácie a obsah bezpečnostných opatrení informačných technológií verejnej správy:</w:t>
            </w:r>
          </w:p>
          <w:p w14:paraId="216308F4" w14:textId="77777777" w:rsidR="00653B9A" w:rsidRDefault="00653B9A" w:rsidP="00730DCA">
            <w:pPr>
              <w:pStyle w:val="Odsekzoznamu"/>
              <w:numPr>
                <w:ilvl w:val="0"/>
                <w:numId w:val="7"/>
              </w:num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návrhom zákona rozširuje splnomocňovacie ustanovenie § 31 písm. j), ktoré znie:</w:t>
            </w:r>
          </w:p>
          <w:p w14:paraId="6F5B3328" w14:textId="77777777" w:rsidR="00653B9A" w:rsidRDefault="00653B9A" w:rsidP="00363F28">
            <w:pPr>
              <w:rPr>
                <w:sz w:val="20"/>
                <w:szCs w:val="20"/>
                <w:lang w:eastAsia="sk-SK"/>
              </w:rPr>
            </w:pPr>
            <w:r>
              <w:rPr>
                <w:sz w:val="20"/>
                <w:szCs w:val="20"/>
                <w:lang w:eastAsia="sk-SK"/>
              </w:rPr>
              <w:t>j) na úseku bezpečnosti informačných technológií verejnej správy</w:t>
            </w:r>
          </w:p>
          <w:p w14:paraId="18C6806B" w14:textId="77777777" w:rsidR="00653B9A" w:rsidRDefault="00653B9A" w:rsidP="00363F28">
            <w:pPr>
              <w:rPr>
                <w:sz w:val="20"/>
                <w:szCs w:val="20"/>
                <w:lang w:eastAsia="sk-SK"/>
              </w:rPr>
            </w:pPr>
            <w:r>
              <w:rPr>
                <w:sz w:val="20"/>
                <w:szCs w:val="20"/>
                <w:lang w:eastAsia="sk-SK"/>
              </w:rPr>
              <w:t xml:space="preserve">          1. podrobnosti o bezpečnosti informačných technológií verejnej správy,</w:t>
            </w:r>
          </w:p>
          <w:p w14:paraId="12393827" w14:textId="77777777" w:rsidR="00653B9A" w:rsidRDefault="00653B9A" w:rsidP="00363F28">
            <w:pPr>
              <w:rPr>
                <w:sz w:val="20"/>
                <w:szCs w:val="20"/>
                <w:lang w:eastAsia="sk-SK"/>
              </w:rPr>
            </w:pPr>
            <w:r>
              <w:rPr>
                <w:sz w:val="20"/>
                <w:szCs w:val="20"/>
                <w:lang w:eastAsia="sk-SK"/>
              </w:rPr>
              <w:t xml:space="preserve">          2. bezpečnostné opatrenia,</w:t>
            </w:r>
          </w:p>
          <w:p w14:paraId="382BFB3F" w14:textId="77777777" w:rsidR="00653B9A" w:rsidRDefault="00653B9A" w:rsidP="00363F28">
            <w:pPr>
              <w:ind w:left="731" w:hanging="731"/>
              <w:rPr>
                <w:sz w:val="20"/>
                <w:szCs w:val="20"/>
                <w:lang w:eastAsia="sk-SK"/>
              </w:rPr>
            </w:pPr>
            <w:r>
              <w:rPr>
                <w:sz w:val="20"/>
                <w:szCs w:val="20"/>
                <w:lang w:eastAsia="sk-SK"/>
              </w:rPr>
              <w:t xml:space="preserve">          3. rozsah a spôsob prijímania a realizácie bezpečnostných opatrení v závislosti od klasifikácie informácií a od kategorizácie sietí a informačných systémov, </w:t>
            </w:r>
          </w:p>
          <w:p w14:paraId="0A5279E1" w14:textId="77777777" w:rsidR="00653B9A" w:rsidRDefault="00653B9A" w:rsidP="00363F28">
            <w:pPr>
              <w:rPr>
                <w:sz w:val="20"/>
                <w:szCs w:val="20"/>
                <w:lang w:eastAsia="sk-SK"/>
              </w:rPr>
            </w:pPr>
            <w:r>
              <w:rPr>
                <w:sz w:val="20"/>
                <w:szCs w:val="20"/>
                <w:lang w:eastAsia="sk-SK"/>
              </w:rPr>
              <w:t xml:space="preserve">          4. obsah a štruktúru bezpečnostného projektu, </w:t>
            </w:r>
          </w:p>
          <w:p w14:paraId="191A65FC" w14:textId="77777777" w:rsidR="00653B9A" w:rsidRPr="00B043B4" w:rsidRDefault="00653B9A" w:rsidP="00363F28">
            <w:pPr>
              <w:rPr>
                <w:sz w:val="20"/>
                <w:szCs w:val="20"/>
                <w:lang w:eastAsia="sk-SK"/>
              </w:rPr>
            </w:pPr>
            <w:r>
              <w:rPr>
                <w:sz w:val="20"/>
                <w:szCs w:val="20"/>
                <w:lang w:eastAsia="sk-SK"/>
              </w:rPr>
              <w:t xml:space="preserve">          5. rozsah údajov zasielaných orgánu vedenia a vládnej jednotke CSIRT podľa § 18 až  23a.</w:t>
            </w:r>
          </w:p>
        </w:tc>
      </w:tr>
      <w:tr w:rsidR="00653B9A" w:rsidRPr="00B043B4" w14:paraId="4E253449" w14:textId="77777777" w:rsidTr="00363F2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BC98CA4" w14:textId="77777777" w:rsidR="00653B9A" w:rsidRPr="00B043B4" w:rsidRDefault="00653B9A" w:rsidP="00730DCA">
            <w:pPr>
              <w:numPr>
                <w:ilvl w:val="0"/>
                <w:numId w:val="2"/>
              </w:numPr>
              <w:ind w:left="426"/>
              <w:contextualSpacing/>
              <w:rPr>
                <w:rFonts w:eastAsia="Calibri"/>
                <w:b/>
              </w:rPr>
            </w:pPr>
            <w:r w:rsidRPr="00B043B4">
              <w:rPr>
                <w:rFonts w:eastAsia="Calibri"/>
                <w:b/>
              </w:rPr>
              <w:t xml:space="preserve">Transpozícia práva EÚ </w:t>
            </w:r>
          </w:p>
        </w:tc>
      </w:tr>
      <w:tr w:rsidR="00653B9A" w:rsidRPr="00B043B4" w14:paraId="1C938BB9" w14:textId="77777777" w:rsidTr="00363F28">
        <w:trPr>
          <w:trHeight w:val="157"/>
        </w:trPr>
        <w:tc>
          <w:tcPr>
            <w:tcW w:w="9180" w:type="dxa"/>
            <w:gridSpan w:val="11"/>
            <w:tcBorders>
              <w:top w:val="nil"/>
              <w:left w:val="single" w:sz="4" w:space="0" w:color="000000"/>
              <w:bottom w:val="nil"/>
              <w:right w:val="single" w:sz="4" w:space="0" w:color="auto"/>
            </w:tcBorders>
            <w:shd w:val="clear" w:color="auto" w:fill="FFFFFF"/>
          </w:tcPr>
          <w:p w14:paraId="0453C404" w14:textId="77777777" w:rsidR="00653B9A" w:rsidRPr="00BE51E1" w:rsidRDefault="00653B9A" w:rsidP="00363F28">
            <w:pPr>
              <w:jc w:val="both"/>
              <w:rPr>
                <w:iCs/>
                <w:sz w:val="20"/>
                <w:szCs w:val="20"/>
                <w:lang w:eastAsia="sk-SK"/>
              </w:rPr>
            </w:pPr>
            <w:r w:rsidRPr="00BE51E1">
              <w:rPr>
                <w:sz w:val="20"/>
              </w:rPr>
              <w:t>Materiál nie je transpozičným opatrením.</w:t>
            </w:r>
          </w:p>
        </w:tc>
      </w:tr>
      <w:tr w:rsidR="00653B9A" w:rsidRPr="00B043B4" w14:paraId="0B020E00" w14:textId="77777777" w:rsidTr="00363F2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363E982" w14:textId="77777777" w:rsidR="00653B9A" w:rsidRPr="00B043B4" w:rsidRDefault="00653B9A" w:rsidP="00363F28">
            <w:pPr>
              <w:jc w:val="center"/>
              <w:rPr>
                <w:sz w:val="20"/>
                <w:szCs w:val="20"/>
                <w:lang w:eastAsia="sk-SK"/>
              </w:rPr>
            </w:pPr>
          </w:p>
        </w:tc>
      </w:tr>
      <w:tr w:rsidR="00653B9A" w:rsidRPr="00B043B4" w14:paraId="6CD97823" w14:textId="77777777" w:rsidTr="00363F2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8DFCD72" w14:textId="77777777" w:rsidR="00653B9A" w:rsidRPr="00B043B4" w:rsidRDefault="00653B9A" w:rsidP="00730DCA">
            <w:pPr>
              <w:numPr>
                <w:ilvl w:val="0"/>
                <w:numId w:val="2"/>
              </w:numPr>
              <w:ind w:left="426"/>
              <w:contextualSpacing/>
              <w:rPr>
                <w:rFonts w:eastAsia="Calibri"/>
                <w:b/>
              </w:rPr>
            </w:pPr>
            <w:r w:rsidRPr="00E721DB">
              <w:rPr>
                <w:rFonts w:eastAsia="Calibri"/>
                <w:b/>
              </w:rPr>
              <w:t>Preskúmanie účelnosti</w:t>
            </w:r>
          </w:p>
        </w:tc>
      </w:tr>
      <w:tr w:rsidR="00653B9A" w:rsidRPr="00B043B4" w14:paraId="04AA37AD" w14:textId="77777777" w:rsidTr="00363F2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DE2BBDE" w14:textId="77777777" w:rsidR="00653B9A" w:rsidRDefault="00653B9A" w:rsidP="00363F28">
            <w:pPr>
              <w:rPr>
                <w:iCs/>
                <w:sz w:val="20"/>
                <w:szCs w:val="20"/>
                <w:lang w:eastAsia="sk-SK"/>
              </w:rPr>
            </w:pPr>
            <w:r w:rsidRPr="00E63545">
              <w:rPr>
                <w:sz w:val="20"/>
              </w:rPr>
              <w:t xml:space="preserve">Materiál </w:t>
            </w:r>
            <w:r>
              <w:rPr>
                <w:sz w:val="20"/>
              </w:rPr>
              <w:t>nebol</w:t>
            </w:r>
            <w:r w:rsidRPr="00E63545">
              <w:rPr>
                <w:sz w:val="20"/>
              </w:rPr>
              <w:t xml:space="preserve"> predmetom</w:t>
            </w:r>
            <w:r w:rsidRPr="00836C51">
              <w:rPr>
                <w:iCs/>
                <w:sz w:val="20"/>
                <w:szCs w:val="20"/>
                <w:lang w:eastAsia="sk-SK"/>
              </w:rPr>
              <w:t xml:space="preserve"> </w:t>
            </w:r>
            <w:r>
              <w:rPr>
                <w:iCs/>
                <w:sz w:val="20"/>
                <w:szCs w:val="20"/>
                <w:lang w:eastAsia="sk-SK"/>
              </w:rPr>
              <w:t xml:space="preserve">preskúmania účelnosti. </w:t>
            </w:r>
          </w:p>
          <w:p w14:paraId="2E4E15E1" w14:textId="77777777" w:rsidR="00653B9A" w:rsidRPr="00B043B4" w:rsidRDefault="00653B9A" w:rsidP="00363F28">
            <w:pPr>
              <w:rPr>
                <w:i/>
                <w:sz w:val="20"/>
                <w:szCs w:val="20"/>
                <w:lang w:eastAsia="sk-SK"/>
              </w:rPr>
            </w:pPr>
            <w:r>
              <w:rPr>
                <w:sz w:val="20"/>
                <w:szCs w:val="20"/>
                <w:lang w:eastAsia="sk-SK"/>
              </w:rPr>
              <w:t xml:space="preserve">Účelnosť predkladaného návrhu bude preskúmavaná priebežne, počas celej doby účinnosti zákona. </w:t>
            </w:r>
            <w:r w:rsidRPr="00DC0C07">
              <w:rPr>
                <w:sz w:val="20"/>
                <w:szCs w:val="20"/>
                <w:lang w:eastAsia="sk-SK"/>
              </w:rPr>
              <w:t>Kritériom preskúmania účelnosti budú výsledky kontrol</w:t>
            </w:r>
            <w:r>
              <w:rPr>
                <w:sz w:val="20"/>
                <w:szCs w:val="20"/>
                <w:lang w:eastAsia="sk-SK"/>
              </w:rPr>
              <w:t>y</w:t>
            </w:r>
            <w:r w:rsidRPr="00DC0C07">
              <w:rPr>
                <w:sz w:val="20"/>
                <w:szCs w:val="20"/>
                <w:lang w:eastAsia="sk-SK"/>
              </w:rPr>
              <w:t xml:space="preserve"> dodržiavania povinností ustanov</w:t>
            </w:r>
            <w:r>
              <w:rPr>
                <w:sz w:val="20"/>
                <w:szCs w:val="20"/>
                <w:lang w:eastAsia="sk-SK"/>
              </w:rPr>
              <w:t>ených zákonom o ITVS,</w:t>
            </w:r>
            <w:r w:rsidRPr="00DC0C07">
              <w:rPr>
                <w:sz w:val="20"/>
                <w:szCs w:val="20"/>
                <w:lang w:eastAsia="sk-SK"/>
              </w:rPr>
              <w:t xml:space="preserve"> doručené podnety k</w:t>
            </w:r>
            <w:r>
              <w:rPr>
                <w:sz w:val="20"/>
                <w:szCs w:val="20"/>
                <w:lang w:eastAsia="sk-SK"/>
              </w:rPr>
              <w:t> </w:t>
            </w:r>
            <w:r w:rsidRPr="00DC0C07">
              <w:rPr>
                <w:sz w:val="20"/>
                <w:szCs w:val="20"/>
                <w:lang w:eastAsia="sk-SK"/>
              </w:rPr>
              <w:t>aplikácii</w:t>
            </w:r>
            <w:r>
              <w:rPr>
                <w:sz w:val="20"/>
                <w:szCs w:val="20"/>
                <w:lang w:eastAsia="sk-SK"/>
              </w:rPr>
              <w:t xml:space="preserve"> tohto</w:t>
            </w:r>
            <w:r w:rsidRPr="00DC0C07">
              <w:rPr>
                <w:sz w:val="20"/>
                <w:szCs w:val="20"/>
                <w:lang w:eastAsia="sk-SK"/>
              </w:rPr>
              <w:t xml:space="preserve"> zákona a jeho vykonávacích predpisov v</w:t>
            </w:r>
            <w:r>
              <w:rPr>
                <w:sz w:val="20"/>
                <w:szCs w:val="20"/>
                <w:lang w:eastAsia="sk-SK"/>
              </w:rPr>
              <w:t> </w:t>
            </w:r>
            <w:r w:rsidRPr="00DC0C07">
              <w:rPr>
                <w:sz w:val="20"/>
                <w:szCs w:val="20"/>
                <w:lang w:eastAsia="sk-SK"/>
              </w:rPr>
              <w:t>praxi</w:t>
            </w:r>
            <w:r>
              <w:rPr>
                <w:sz w:val="20"/>
                <w:szCs w:val="20"/>
                <w:lang w:eastAsia="sk-SK"/>
              </w:rPr>
              <w:t>, ako aj z vlastnej činnosti v postavení orgánu vedenia.</w:t>
            </w:r>
          </w:p>
        </w:tc>
      </w:tr>
      <w:tr w:rsidR="00653B9A" w:rsidRPr="00B043B4" w14:paraId="2FABEE52" w14:textId="77777777" w:rsidTr="00363F28">
        <w:tc>
          <w:tcPr>
            <w:tcW w:w="9180" w:type="dxa"/>
            <w:gridSpan w:val="11"/>
            <w:tcBorders>
              <w:top w:val="nil"/>
              <w:left w:val="nil"/>
              <w:bottom w:val="single" w:sz="4" w:space="0" w:color="auto"/>
              <w:right w:val="nil"/>
            </w:tcBorders>
            <w:shd w:val="clear" w:color="auto" w:fill="FFFFFF"/>
          </w:tcPr>
          <w:p w14:paraId="1126A0A6" w14:textId="77777777" w:rsidR="00653B9A" w:rsidRPr="00B043B4" w:rsidRDefault="00653B9A" w:rsidP="00363F28">
            <w:pPr>
              <w:rPr>
                <w:b/>
                <w:sz w:val="20"/>
                <w:szCs w:val="20"/>
                <w:lang w:eastAsia="sk-SK"/>
              </w:rPr>
            </w:pPr>
          </w:p>
          <w:p w14:paraId="11EDA7A5" w14:textId="77777777" w:rsidR="00653B9A" w:rsidRPr="00B043B4" w:rsidRDefault="00653B9A" w:rsidP="00363F28">
            <w:pPr>
              <w:rPr>
                <w:b/>
                <w:sz w:val="20"/>
                <w:szCs w:val="20"/>
                <w:lang w:eastAsia="sk-SK"/>
              </w:rPr>
            </w:pPr>
          </w:p>
          <w:p w14:paraId="65452647" w14:textId="77777777" w:rsidR="00653B9A" w:rsidRPr="00B043B4" w:rsidRDefault="00653B9A" w:rsidP="00363F28">
            <w:pPr>
              <w:ind w:left="142" w:hanging="142"/>
              <w:rPr>
                <w:sz w:val="20"/>
                <w:szCs w:val="20"/>
                <w:lang w:eastAsia="sk-SK"/>
              </w:rPr>
            </w:pPr>
            <w:r w:rsidRPr="00B043B4">
              <w:rPr>
                <w:sz w:val="20"/>
                <w:szCs w:val="20"/>
                <w:lang w:eastAsia="sk-SK"/>
              </w:rPr>
              <w:t xml:space="preserve">* vyplniť iba v prípade, ak materiál nie je zahrnutý do Plánu práce vlády Slovenskej republiky alebo Plánu        legislatívnych úloh vlády Slovenskej republiky. </w:t>
            </w:r>
          </w:p>
          <w:p w14:paraId="28DA5A9F" w14:textId="77777777" w:rsidR="00653B9A" w:rsidRDefault="00653B9A" w:rsidP="00363F28">
            <w:pPr>
              <w:rPr>
                <w:sz w:val="20"/>
                <w:szCs w:val="20"/>
                <w:lang w:eastAsia="sk-SK"/>
              </w:rPr>
            </w:pPr>
            <w:r w:rsidRPr="00B043B4">
              <w:rPr>
                <w:sz w:val="20"/>
                <w:szCs w:val="20"/>
                <w:lang w:eastAsia="sk-SK"/>
              </w:rPr>
              <w:t>** vyplniť iba v prípade, ak sa záverečné posúdenie</w:t>
            </w:r>
            <w:r>
              <w:rPr>
                <w:sz w:val="20"/>
                <w:szCs w:val="20"/>
                <w:lang w:eastAsia="sk-SK"/>
              </w:rPr>
              <w:t xml:space="preserve"> vybraných vplyvov</w:t>
            </w:r>
            <w:r w:rsidRPr="00B043B4">
              <w:rPr>
                <w:sz w:val="20"/>
                <w:szCs w:val="20"/>
                <w:lang w:eastAsia="sk-SK"/>
              </w:rPr>
              <w:t xml:space="preserve"> uskutočnilo v zmysle bodu 9.1. </w:t>
            </w:r>
            <w:r>
              <w:rPr>
                <w:sz w:val="20"/>
                <w:szCs w:val="20"/>
                <w:lang w:eastAsia="sk-SK"/>
              </w:rPr>
              <w:t>j</w:t>
            </w:r>
            <w:r w:rsidRPr="00B043B4">
              <w:rPr>
                <w:sz w:val="20"/>
                <w:szCs w:val="20"/>
                <w:lang w:eastAsia="sk-SK"/>
              </w:rPr>
              <w:t>ednotnej metodiky</w:t>
            </w:r>
            <w:r>
              <w:rPr>
                <w:sz w:val="20"/>
                <w:szCs w:val="20"/>
                <w:lang w:eastAsia="sk-SK"/>
              </w:rPr>
              <w:t>.</w:t>
            </w:r>
          </w:p>
          <w:p w14:paraId="5BD33DA8" w14:textId="77777777" w:rsidR="00653B9A" w:rsidRDefault="00653B9A" w:rsidP="00363F28">
            <w:pPr>
              <w:rPr>
                <w:sz w:val="20"/>
                <w:szCs w:val="20"/>
                <w:lang w:eastAsia="sk-SK"/>
              </w:rPr>
            </w:pPr>
          </w:p>
          <w:p w14:paraId="51F14333" w14:textId="77777777" w:rsidR="00653B9A" w:rsidRPr="00B043B4" w:rsidRDefault="00653B9A" w:rsidP="00363F28">
            <w:pPr>
              <w:rPr>
                <w:b/>
                <w:sz w:val="20"/>
                <w:szCs w:val="20"/>
                <w:lang w:eastAsia="sk-SK"/>
              </w:rPr>
            </w:pPr>
          </w:p>
        </w:tc>
      </w:tr>
      <w:tr w:rsidR="00653B9A" w:rsidRPr="00B043B4" w14:paraId="18FF3746" w14:textId="77777777" w:rsidTr="00363F2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1E27DC1" w14:textId="77777777" w:rsidR="00653B9A" w:rsidRPr="00B043B4" w:rsidRDefault="00653B9A" w:rsidP="00730DCA">
            <w:pPr>
              <w:numPr>
                <w:ilvl w:val="0"/>
                <w:numId w:val="2"/>
              </w:numPr>
              <w:ind w:left="426"/>
              <w:contextualSpacing/>
              <w:rPr>
                <w:rFonts w:eastAsia="Calibri"/>
                <w:b/>
              </w:rPr>
            </w:pPr>
            <w:r w:rsidRPr="00B043B4">
              <w:rPr>
                <w:rFonts w:eastAsia="Calibri"/>
                <w:b/>
              </w:rPr>
              <w:t>Vybrané vplyvy  materiálu</w:t>
            </w:r>
          </w:p>
        </w:tc>
      </w:tr>
      <w:tr w:rsidR="00653B9A" w:rsidRPr="00B043B4" w14:paraId="020100A8" w14:textId="77777777" w:rsidTr="00363F28">
        <w:tc>
          <w:tcPr>
            <w:tcW w:w="3812" w:type="dxa"/>
            <w:tcBorders>
              <w:top w:val="single" w:sz="4" w:space="0" w:color="auto"/>
              <w:left w:val="single" w:sz="4" w:space="0" w:color="auto"/>
              <w:bottom w:val="nil"/>
              <w:right w:val="single" w:sz="4" w:space="0" w:color="auto"/>
            </w:tcBorders>
            <w:shd w:val="clear" w:color="auto" w:fill="E2E2E2"/>
          </w:tcPr>
          <w:p w14:paraId="11F82A1C" w14:textId="77777777" w:rsidR="00653B9A" w:rsidRPr="00B043B4" w:rsidRDefault="00653B9A" w:rsidP="00363F28">
            <w:pPr>
              <w:rPr>
                <w:b/>
                <w:sz w:val="20"/>
                <w:szCs w:val="20"/>
                <w:lang w:eastAsia="sk-SK"/>
              </w:rPr>
            </w:pPr>
            <w:r w:rsidRPr="00B043B4">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7874380E"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D9760A8" w14:textId="77777777" w:rsidR="00653B9A" w:rsidRPr="00B043B4" w:rsidRDefault="00653B9A" w:rsidP="00363F28">
            <w:pPr>
              <w:rPr>
                <w:b/>
                <w:sz w:val="20"/>
                <w:szCs w:val="20"/>
                <w:lang w:eastAsia="sk-SK"/>
              </w:rPr>
            </w:pPr>
            <w:r w:rsidRPr="00B043B4">
              <w:rPr>
                <w:b/>
                <w:sz w:val="20"/>
                <w:szCs w:val="20"/>
                <w:lang w:eastAsia="sk-SK"/>
              </w:rPr>
              <w:t>Pozitívne</w:t>
            </w:r>
          </w:p>
        </w:tc>
        <w:sdt>
          <w:sdtPr>
            <w:rPr>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363D257"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37892E1F"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24BB1EED" w14:textId="77777777" w:rsidR="00653B9A" w:rsidRPr="00B043B4" w:rsidRDefault="00653B9A" w:rsidP="00363F28">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99E1E66" w14:textId="77777777" w:rsidR="00653B9A" w:rsidRPr="00B043B4" w:rsidRDefault="00653B9A" w:rsidP="00363F28">
            <w:pPr>
              <w:ind w:left="34"/>
              <w:rPr>
                <w:b/>
                <w:sz w:val="20"/>
                <w:szCs w:val="20"/>
                <w:lang w:eastAsia="sk-SK"/>
              </w:rPr>
            </w:pPr>
            <w:r w:rsidRPr="00B043B4">
              <w:rPr>
                <w:b/>
                <w:sz w:val="20"/>
                <w:szCs w:val="20"/>
                <w:lang w:eastAsia="sk-SK"/>
              </w:rPr>
              <w:t>Negatívne</w:t>
            </w:r>
          </w:p>
        </w:tc>
      </w:tr>
      <w:tr w:rsidR="00653B9A" w:rsidRPr="00B043B4" w14:paraId="5135707B" w14:textId="77777777" w:rsidTr="00363F28">
        <w:tc>
          <w:tcPr>
            <w:tcW w:w="3812" w:type="dxa"/>
            <w:tcBorders>
              <w:top w:val="nil"/>
              <w:left w:val="single" w:sz="4" w:space="0" w:color="auto"/>
              <w:bottom w:val="nil"/>
              <w:right w:val="single" w:sz="4" w:space="0" w:color="auto"/>
            </w:tcBorders>
            <w:shd w:val="clear" w:color="auto" w:fill="E2E2E2"/>
          </w:tcPr>
          <w:p w14:paraId="7B82D916" w14:textId="77777777" w:rsidR="00653B9A" w:rsidRDefault="00653B9A" w:rsidP="00363F28">
            <w:pPr>
              <w:rPr>
                <w:sz w:val="20"/>
                <w:szCs w:val="20"/>
                <w:lang w:eastAsia="sk-SK"/>
              </w:rPr>
            </w:pPr>
            <w:r>
              <w:rPr>
                <w:sz w:val="20"/>
                <w:szCs w:val="20"/>
                <w:lang w:eastAsia="sk-SK"/>
              </w:rPr>
              <w:t xml:space="preserve">    </w:t>
            </w:r>
            <w:r w:rsidRPr="00A340BB">
              <w:rPr>
                <w:sz w:val="20"/>
                <w:szCs w:val="20"/>
                <w:lang w:eastAsia="sk-SK"/>
              </w:rPr>
              <w:t xml:space="preserve">z toho rozpočtovo zabezpečené vplyvy,     </w:t>
            </w:r>
            <w:r>
              <w:rPr>
                <w:sz w:val="20"/>
                <w:szCs w:val="20"/>
                <w:lang w:eastAsia="sk-SK"/>
              </w:rPr>
              <w:t xml:space="preserve">    </w:t>
            </w:r>
          </w:p>
          <w:p w14:paraId="65CF19B4" w14:textId="77777777" w:rsidR="00653B9A" w:rsidRDefault="00653B9A" w:rsidP="00363F28">
            <w:pPr>
              <w:rPr>
                <w:sz w:val="20"/>
                <w:szCs w:val="20"/>
                <w:lang w:eastAsia="sk-SK"/>
              </w:rPr>
            </w:pPr>
            <w:r>
              <w:rPr>
                <w:sz w:val="20"/>
                <w:szCs w:val="20"/>
                <w:lang w:eastAsia="sk-SK"/>
              </w:rPr>
              <w:t xml:space="preserve">    </w:t>
            </w:r>
            <w:r w:rsidRPr="00A340BB">
              <w:rPr>
                <w:sz w:val="20"/>
                <w:szCs w:val="20"/>
                <w:lang w:eastAsia="sk-SK"/>
              </w:rPr>
              <w:t xml:space="preserve">v prípade identifikovaného negatívneho </w:t>
            </w:r>
          </w:p>
          <w:p w14:paraId="5519F0C5" w14:textId="77777777" w:rsidR="00653B9A" w:rsidRPr="00A340BB" w:rsidRDefault="00653B9A" w:rsidP="00363F28">
            <w:pPr>
              <w:rPr>
                <w:sz w:val="20"/>
                <w:szCs w:val="20"/>
                <w:lang w:eastAsia="sk-SK"/>
              </w:rPr>
            </w:pPr>
            <w:r>
              <w:rPr>
                <w:sz w:val="20"/>
                <w:szCs w:val="20"/>
                <w:lang w:eastAsia="sk-SK"/>
              </w:rPr>
              <w:t xml:space="preserve">    </w:t>
            </w:r>
            <w:r w:rsidRPr="00A340BB">
              <w:rPr>
                <w:sz w:val="20"/>
                <w:szCs w:val="20"/>
                <w:lang w:eastAsia="sk-SK"/>
              </w:rPr>
              <w:t>vplyvu</w:t>
            </w:r>
          </w:p>
        </w:tc>
        <w:sdt>
          <w:sdtPr>
            <w:rPr>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F36A25C"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DFF99BC" w14:textId="77777777" w:rsidR="00653B9A" w:rsidRPr="00B043B4" w:rsidRDefault="00653B9A" w:rsidP="00363F28">
            <w:pPr>
              <w:rPr>
                <w:sz w:val="20"/>
                <w:szCs w:val="20"/>
                <w:lang w:eastAsia="sk-SK"/>
              </w:rPr>
            </w:pPr>
            <w:r w:rsidRPr="00B043B4">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1B993DE"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76A8BEF" w14:textId="77777777" w:rsidR="00653B9A" w:rsidRPr="00B043B4" w:rsidRDefault="00653B9A" w:rsidP="00363F28">
            <w:pPr>
              <w:rPr>
                <w:sz w:val="20"/>
                <w:szCs w:val="20"/>
                <w:lang w:eastAsia="sk-SK"/>
              </w:rPr>
            </w:pPr>
            <w:r w:rsidRPr="00B043B4">
              <w:rPr>
                <w:sz w:val="20"/>
                <w:szCs w:val="20"/>
                <w:lang w:eastAsia="sk-SK"/>
              </w:rPr>
              <w:t>Nie</w:t>
            </w:r>
          </w:p>
        </w:tc>
        <w:sdt>
          <w:sdtPr>
            <w:rPr>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D8712F6" w14:textId="77777777" w:rsidR="00653B9A" w:rsidRPr="00B043B4" w:rsidRDefault="00653B9A" w:rsidP="00363F28">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EF379F" w14:textId="77777777" w:rsidR="00653B9A" w:rsidRPr="00B043B4" w:rsidRDefault="00653B9A" w:rsidP="00363F28">
            <w:pPr>
              <w:ind w:left="34"/>
              <w:rPr>
                <w:sz w:val="20"/>
                <w:szCs w:val="20"/>
                <w:lang w:eastAsia="sk-SK"/>
              </w:rPr>
            </w:pPr>
            <w:r w:rsidRPr="00B043B4">
              <w:rPr>
                <w:sz w:val="20"/>
                <w:szCs w:val="20"/>
                <w:lang w:eastAsia="sk-SK"/>
              </w:rPr>
              <w:t>Čiastočne</w:t>
            </w:r>
          </w:p>
        </w:tc>
      </w:tr>
      <w:tr w:rsidR="00653B9A" w:rsidRPr="00B043B4" w14:paraId="5CABD61E" w14:textId="77777777" w:rsidTr="00363F28">
        <w:tc>
          <w:tcPr>
            <w:tcW w:w="3812" w:type="dxa"/>
            <w:tcBorders>
              <w:top w:val="nil"/>
              <w:left w:val="single" w:sz="4" w:space="0" w:color="auto"/>
              <w:bottom w:val="nil"/>
              <w:right w:val="single" w:sz="4" w:space="0" w:color="auto"/>
            </w:tcBorders>
            <w:shd w:val="clear" w:color="auto" w:fill="E2E2E2"/>
          </w:tcPr>
          <w:p w14:paraId="0A28EE7D" w14:textId="77777777" w:rsidR="00653B9A" w:rsidRPr="003145AE" w:rsidRDefault="00653B9A" w:rsidP="00363F28">
            <w:pPr>
              <w:rPr>
                <w:b/>
                <w:sz w:val="20"/>
                <w:szCs w:val="20"/>
                <w:lang w:eastAsia="sk-SK"/>
              </w:rPr>
            </w:pPr>
            <w:r>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F51E6AF"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40BA708" w14:textId="77777777" w:rsidR="00653B9A" w:rsidRPr="00B043B4" w:rsidRDefault="00653B9A" w:rsidP="00363F28">
            <w:pPr>
              <w:rPr>
                <w:b/>
                <w:sz w:val="20"/>
                <w:szCs w:val="20"/>
                <w:lang w:eastAsia="sk-SK"/>
              </w:rPr>
            </w:pPr>
            <w:r w:rsidRPr="00B043B4">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E13C77B"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7D890E6"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A3BB1E0" w14:textId="77777777" w:rsidR="00653B9A" w:rsidRPr="00B043B4" w:rsidRDefault="00653B9A" w:rsidP="00363F28">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F23D4E9" w14:textId="77777777" w:rsidR="00653B9A" w:rsidRPr="00B043B4" w:rsidRDefault="00653B9A" w:rsidP="00363F28">
            <w:pPr>
              <w:ind w:left="34"/>
              <w:rPr>
                <w:b/>
                <w:sz w:val="20"/>
                <w:szCs w:val="20"/>
                <w:lang w:eastAsia="sk-SK"/>
              </w:rPr>
            </w:pPr>
            <w:r w:rsidRPr="00B043B4">
              <w:rPr>
                <w:b/>
                <w:sz w:val="20"/>
                <w:szCs w:val="20"/>
                <w:lang w:eastAsia="sk-SK"/>
              </w:rPr>
              <w:t>Negatívne</w:t>
            </w:r>
          </w:p>
        </w:tc>
      </w:tr>
      <w:tr w:rsidR="00653B9A" w:rsidRPr="00B043B4" w14:paraId="01A037D4" w14:textId="77777777" w:rsidTr="00363F28">
        <w:tc>
          <w:tcPr>
            <w:tcW w:w="3812" w:type="dxa"/>
            <w:tcBorders>
              <w:top w:val="nil"/>
              <w:left w:val="single" w:sz="4" w:space="0" w:color="auto"/>
              <w:bottom w:val="single" w:sz="4" w:space="0" w:color="000000"/>
              <w:right w:val="single" w:sz="4" w:space="0" w:color="auto"/>
            </w:tcBorders>
            <w:shd w:val="clear" w:color="auto" w:fill="E2E2E2"/>
          </w:tcPr>
          <w:p w14:paraId="4742372E" w14:textId="77777777" w:rsidR="00653B9A" w:rsidRDefault="00653B9A" w:rsidP="00363F28">
            <w:pPr>
              <w:ind w:left="171"/>
              <w:rPr>
                <w:sz w:val="20"/>
                <w:szCs w:val="20"/>
                <w:lang w:eastAsia="sk-SK"/>
              </w:rPr>
            </w:pPr>
            <w:r>
              <w:rPr>
                <w:sz w:val="20"/>
                <w:szCs w:val="20"/>
                <w:lang w:eastAsia="sk-SK"/>
              </w:rPr>
              <w:t>z toho rozpočtovo zabezpečené vplyvy,</w:t>
            </w:r>
          </w:p>
          <w:p w14:paraId="524BCA55" w14:textId="77777777" w:rsidR="00653B9A" w:rsidRPr="003145AE" w:rsidRDefault="00653B9A" w:rsidP="00363F28">
            <w:pPr>
              <w:ind w:left="171"/>
              <w:rPr>
                <w:sz w:val="20"/>
                <w:szCs w:val="20"/>
                <w:lang w:eastAsia="sk-SK"/>
              </w:rPr>
            </w:pPr>
            <w:r>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09E0AED"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A15FD18" w14:textId="77777777" w:rsidR="00653B9A" w:rsidRPr="00B043B4" w:rsidRDefault="00653B9A" w:rsidP="00363F28">
            <w:pPr>
              <w:rPr>
                <w:sz w:val="20"/>
                <w:szCs w:val="20"/>
                <w:lang w:eastAsia="sk-SK"/>
              </w:rPr>
            </w:pPr>
            <w:r w:rsidRPr="00B043B4">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89B30C7"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4AAF877" w14:textId="77777777" w:rsidR="00653B9A" w:rsidRPr="00B043B4" w:rsidRDefault="00653B9A" w:rsidP="00363F28">
            <w:pPr>
              <w:rPr>
                <w:sz w:val="20"/>
                <w:szCs w:val="20"/>
                <w:lang w:eastAsia="sk-SK"/>
              </w:rPr>
            </w:pPr>
            <w:r w:rsidRPr="00B043B4">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E0AD394" w14:textId="77777777" w:rsidR="00653B9A" w:rsidRPr="00B043B4" w:rsidRDefault="00653B9A" w:rsidP="00363F28">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063D99D" w14:textId="77777777" w:rsidR="00653B9A" w:rsidRPr="00B043B4" w:rsidRDefault="00653B9A" w:rsidP="00363F28">
            <w:pPr>
              <w:ind w:left="34"/>
              <w:rPr>
                <w:sz w:val="20"/>
                <w:szCs w:val="20"/>
                <w:lang w:eastAsia="sk-SK"/>
              </w:rPr>
            </w:pPr>
            <w:r w:rsidRPr="00B043B4">
              <w:rPr>
                <w:sz w:val="20"/>
                <w:szCs w:val="20"/>
                <w:lang w:eastAsia="sk-SK"/>
              </w:rPr>
              <w:t>Čiastočne</w:t>
            </w:r>
          </w:p>
        </w:tc>
      </w:tr>
      <w:tr w:rsidR="00653B9A" w:rsidRPr="00B043B4" w14:paraId="4B7B7F9E" w14:textId="77777777" w:rsidTr="00363F28">
        <w:tc>
          <w:tcPr>
            <w:tcW w:w="3812" w:type="dxa"/>
            <w:tcBorders>
              <w:top w:val="single" w:sz="4" w:space="0" w:color="000000"/>
              <w:left w:val="single" w:sz="4" w:space="0" w:color="auto"/>
              <w:bottom w:val="nil"/>
              <w:right w:val="single" w:sz="4" w:space="0" w:color="auto"/>
            </w:tcBorders>
            <w:shd w:val="clear" w:color="auto" w:fill="E2E2E2"/>
          </w:tcPr>
          <w:p w14:paraId="7A8A60AE" w14:textId="77777777" w:rsidR="00653B9A" w:rsidRPr="00B043B4" w:rsidRDefault="00653B9A" w:rsidP="00363F28">
            <w:pPr>
              <w:rPr>
                <w:b/>
                <w:sz w:val="20"/>
                <w:szCs w:val="20"/>
                <w:lang w:eastAsia="sk-SK"/>
              </w:rPr>
            </w:pPr>
            <w:r w:rsidRPr="00B043B4">
              <w:rPr>
                <w:b/>
                <w:sz w:val="20"/>
                <w:szCs w:val="20"/>
                <w:lang w:eastAsia="sk-SK"/>
              </w:rPr>
              <w:t>Vplyvy na podnikateľské prostredie</w:t>
            </w:r>
          </w:p>
        </w:tc>
        <w:sdt>
          <w:sdtPr>
            <w:rPr>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9ABFAE9"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5C579DC"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3E0D61F"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3833E00"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CEE5E90"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FAEAEF9" w14:textId="77777777" w:rsidR="00653B9A" w:rsidRPr="00B043B4" w:rsidRDefault="00653B9A" w:rsidP="00363F28">
            <w:pPr>
              <w:ind w:left="54"/>
              <w:rPr>
                <w:b/>
                <w:sz w:val="20"/>
                <w:szCs w:val="20"/>
                <w:lang w:eastAsia="sk-SK"/>
              </w:rPr>
            </w:pPr>
            <w:r w:rsidRPr="00B043B4">
              <w:rPr>
                <w:b/>
                <w:sz w:val="20"/>
                <w:szCs w:val="20"/>
                <w:lang w:eastAsia="sk-SK"/>
              </w:rPr>
              <w:t>Negatívne</w:t>
            </w:r>
          </w:p>
        </w:tc>
      </w:tr>
      <w:tr w:rsidR="00653B9A" w:rsidRPr="00B043B4" w14:paraId="1FB15896" w14:textId="77777777" w:rsidTr="00363F28">
        <w:tc>
          <w:tcPr>
            <w:tcW w:w="3812" w:type="dxa"/>
            <w:tcBorders>
              <w:top w:val="nil"/>
              <w:left w:val="single" w:sz="4" w:space="0" w:color="000000"/>
              <w:bottom w:val="nil"/>
              <w:right w:val="single" w:sz="4" w:space="0" w:color="000000"/>
            </w:tcBorders>
            <w:shd w:val="clear" w:color="auto" w:fill="E2E2E2"/>
          </w:tcPr>
          <w:p w14:paraId="5BDB9F39" w14:textId="77777777" w:rsidR="00653B9A" w:rsidRPr="00B043B4" w:rsidRDefault="00653B9A" w:rsidP="00363F28">
            <w:pPr>
              <w:rPr>
                <w:sz w:val="20"/>
                <w:szCs w:val="20"/>
                <w:lang w:eastAsia="sk-SK"/>
              </w:rPr>
            </w:pPr>
            <w:r w:rsidRPr="00B043B4">
              <w:rPr>
                <w:sz w:val="20"/>
                <w:szCs w:val="20"/>
                <w:lang w:eastAsia="sk-SK"/>
              </w:rPr>
              <w:t xml:space="preserve"> </w:t>
            </w:r>
            <w:r>
              <w:rPr>
                <w:sz w:val="20"/>
                <w:szCs w:val="20"/>
                <w:lang w:eastAsia="sk-SK"/>
              </w:rPr>
              <w:t xml:space="preserve">   </w:t>
            </w:r>
            <w:r w:rsidRPr="00B043B4">
              <w:rPr>
                <w:sz w:val="20"/>
                <w:szCs w:val="20"/>
                <w:lang w:eastAsia="sk-SK"/>
              </w:rPr>
              <w:t>z toho vplyvy na MSP</w:t>
            </w:r>
          </w:p>
          <w:p w14:paraId="13782AD9" w14:textId="77777777" w:rsidR="00653B9A" w:rsidRPr="00B043B4" w:rsidRDefault="00653B9A" w:rsidP="00363F28">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41071D8"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5EC28FD" w14:textId="77777777" w:rsidR="00653B9A" w:rsidRPr="00B043B4" w:rsidRDefault="00653B9A" w:rsidP="00363F28">
            <w:pPr>
              <w:ind w:right="-108"/>
              <w:rPr>
                <w:sz w:val="20"/>
                <w:szCs w:val="20"/>
                <w:lang w:eastAsia="sk-SK"/>
              </w:rPr>
            </w:pPr>
            <w:r w:rsidRPr="00B043B4">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FED2A41"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87AF03B" w14:textId="77777777" w:rsidR="00653B9A" w:rsidRPr="00B043B4" w:rsidRDefault="00653B9A" w:rsidP="00363F28">
            <w:pPr>
              <w:rPr>
                <w:sz w:val="20"/>
                <w:szCs w:val="20"/>
                <w:lang w:eastAsia="sk-SK"/>
              </w:rPr>
            </w:pPr>
            <w:r w:rsidRPr="00B043B4">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F5EE17E" w14:textId="77777777" w:rsidR="00653B9A" w:rsidRPr="00B043B4" w:rsidRDefault="00653B9A" w:rsidP="00363F28">
                <w:pPr>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5FDABB6" w14:textId="77777777" w:rsidR="00653B9A" w:rsidRPr="00B043B4" w:rsidRDefault="00653B9A" w:rsidP="00363F28">
            <w:pPr>
              <w:ind w:left="54"/>
              <w:rPr>
                <w:sz w:val="20"/>
                <w:szCs w:val="20"/>
                <w:lang w:eastAsia="sk-SK"/>
              </w:rPr>
            </w:pPr>
            <w:r w:rsidRPr="00B043B4">
              <w:rPr>
                <w:sz w:val="20"/>
                <w:szCs w:val="20"/>
                <w:lang w:eastAsia="sk-SK"/>
              </w:rPr>
              <w:t>Negatívne</w:t>
            </w:r>
          </w:p>
        </w:tc>
      </w:tr>
      <w:tr w:rsidR="00653B9A" w:rsidRPr="00B043B4" w14:paraId="619EEAE5" w14:textId="77777777" w:rsidTr="00363F28">
        <w:tc>
          <w:tcPr>
            <w:tcW w:w="3812" w:type="dxa"/>
            <w:tcBorders>
              <w:top w:val="nil"/>
              <w:left w:val="single" w:sz="4" w:space="0" w:color="auto"/>
              <w:bottom w:val="single" w:sz="4" w:space="0" w:color="auto"/>
              <w:right w:val="single" w:sz="4" w:space="0" w:color="auto"/>
            </w:tcBorders>
            <w:shd w:val="clear" w:color="auto" w:fill="E2E2E2"/>
          </w:tcPr>
          <w:p w14:paraId="71A02285" w14:textId="77777777" w:rsidR="00653B9A" w:rsidRDefault="00653B9A" w:rsidP="00363F28">
            <w:pPr>
              <w:rPr>
                <w:sz w:val="20"/>
                <w:szCs w:val="20"/>
                <w:lang w:eastAsia="sk-SK"/>
              </w:rPr>
            </w:pPr>
            <w:r>
              <w:rPr>
                <w:sz w:val="20"/>
                <w:szCs w:val="20"/>
                <w:lang w:eastAsia="sk-SK"/>
              </w:rPr>
              <w:t xml:space="preserve">    </w:t>
            </w:r>
            <w:r w:rsidRPr="00B043B4">
              <w:rPr>
                <w:sz w:val="20"/>
                <w:szCs w:val="20"/>
                <w:lang w:eastAsia="sk-SK"/>
              </w:rPr>
              <w:t xml:space="preserve">Mechanizmus znižovania byrokracie </w:t>
            </w:r>
            <w:r>
              <w:rPr>
                <w:sz w:val="20"/>
                <w:szCs w:val="20"/>
                <w:lang w:eastAsia="sk-SK"/>
              </w:rPr>
              <w:t xml:space="preserve">   </w:t>
            </w:r>
          </w:p>
          <w:p w14:paraId="275932B7" w14:textId="77777777" w:rsidR="00653B9A" w:rsidRPr="00B043B4" w:rsidRDefault="00653B9A" w:rsidP="00363F28">
            <w:pPr>
              <w:rPr>
                <w:b/>
                <w:sz w:val="20"/>
                <w:szCs w:val="20"/>
                <w:lang w:eastAsia="sk-SK"/>
              </w:rPr>
            </w:pPr>
            <w:r>
              <w:rPr>
                <w:sz w:val="20"/>
                <w:szCs w:val="20"/>
                <w:lang w:eastAsia="sk-SK"/>
              </w:rPr>
              <w:t xml:space="preserve">    </w:t>
            </w:r>
            <w:r w:rsidRPr="00B043B4">
              <w:rPr>
                <w:sz w:val="20"/>
                <w:szCs w:val="20"/>
                <w:lang w:eastAsia="sk-SK"/>
              </w:rPr>
              <w:t>a nákladov sa uplatňuje:</w:t>
            </w:r>
          </w:p>
        </w:tc>
        <w:sdt>
          <w:sdtPr>
            <w:rPr>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3FB6DA0"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FA9501D" w14:textId="77777777" w:rsidR="00653B9A" w:rsidRPr="00B043B4" w:rsidRDefault="00653B9A" w:rsidP="00363F28">
            <w:pPr>
              <w:ind w:right="-108"/>
              <w:rPr>
                <w:b/>
                <w:sz w:val="20"/>
                <w:szCs w:val="20"/>
                <w:lang w:eastAsia="sk-SK"/>
              </w:rPr>
            </w:pPr>
            <w:r w:rsidRPr="00B043B4">
              <w:rPr>
                <w:sz w:val="20"/>
                <w:szCs w:val="20"/>
                <w:lang w:eastAsia="sk-SK"/>
              </w:rPr>
              <w:t>Áno</w:t>
            </w:r>
          </w:p>
        </w:tc>
        <w:tc>
          <w:tcPr>
            <w:tcW w:w="254" w:type="dxa"/>
            <w:tcBorders>
              <w:top w:val="dotted" w:sz="4" w:space="0" w:color="auto"/>
              <w:left w:val="nil"/>
              <w:bottom w:val="single" w:sz="4" w:space="0" w:color="auto"/>
              <w:right w:val="nil"/>
            </w:tcBorders>
            <w:vAlign w:val="center"/>
          </w:tcPr>
          <w:p w14:paraId="1D736332" w14:textId="77777777" w:rsidR="00653B9A" w:rsidRPr="00B043B4" w:rsidRDefault="00653B9A" w:rsidP="00363F28">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6EB135F9" w14:textId="77777777" w:rsidR="00653B9A" w:rsidRPr="00B043B4" w:rsidRDefault="00653B9A" w:rsidP="00363F28">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F70963B"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D402A2E" w14:textId="77777777" w:rsidR="00653B9A" w:rsidRPr="00B043B4" w:rsidRDefault="00653B9A" w:rsidP="00363F28">
            <w:pPr>
              <w:ind w:left="54"/>
              <w:rPr>
                <w:b/>
                <w:sz w:val="20"/>
                <w:szCs w:val="20"/>
                <w:lang w:eastAsia="sk-SK"/>
              </w:rPr>
            </w:pPr>
            <w:r w:rsidRPr="00B043B4">
              <w:rPr>
                <w:sz w:val="20"/>
                <w:szCs w:val="20"/>
                <w:lang w:eastAsia="sk-SK"/>
              </w:rPr>
              <w:t>Nie</w:t>
            </w:r>
          </w:p>
        </w:tc>
      </w:tr>
      <w:tr w:rsidR="00653B9A" w:rsidRPr="00B043B4" w14:paraId="3EA6A987" w14:textId="77777777" w:rsidTr="00363F28">
        <w:tc>
          <w:tcPr>
            <w:tcW w:w="3812" w:type="dxa"/>
            <w:tcBorders>
              <w:top w:val="single" w:sz="4" w:space="0" w:color="000000"/>
              <w:left w:val="single" w:sz="4" w:space="0" w:color="auto"/>
              <w:bottom w:val="single" w:sz="4" w:space="0" w:color="auto"/>
              <w:right w:val="single" w:sz="4" w:space="0" w:color="auto"/>
            </w:tcBorders>
            <w:shd w:val="clear" w:color="auto" w:fill="E2E2E2"/>
          </w:tcPr>
          <w:p w14:paraId="28A63845" w14:textId="77777777" w:rsidR="00653B9A" w:rsidRPr="00B043B4" w:rsidRDefault="00653B9A" w:rsidP="00363F28">
            <w:pPr>
              <w:rPr>
                <w:b/>
                <w:sz w:val="20"/>
                <w:szCs w:val="20"/>
                <w:lang w:eastAsia="sk-SK"/>
              </w:rPr>
            </w:pPr>
            <w:r w:rsidRPr="00B043B4">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BC98A2F"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DC6DBC1"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0E95B2B"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35B7B93"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7A0B961"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BF48533" w14:textId="77777777" w:rsidR="00653B9A" w:rsidRPr="00B043B4" w:rsidRDefault="00653B9A" w:rsidP="00363F28">
            <w:pPr>
              <w:ind w:left="54"/>
              <w:rPr>
                <w:b/>
                <w:sz w:val="20"/>
                <w:szCs w:val="20"/>
                <w:lang w:eastAsia="sk-SK"/>
              </w:rPr>
            </w:pPr>
            <w:r w:rsidRPr="00B043B4">
              <w:rPr>
                <w:b/>
                <w:sz w:val="20"/>
                <w:szCs w:val="20"/>
                <w:lang w:eastAsia="sk-SK"/>
              </w:rPr>
              <w:t>Negatívne</w:t>
            </w:r>
          </w:p>
        </w:tc>
      </w:tr>
      <w:tr w:rsidR="00653B9A" w:rsidRPr="00B043B4" w14:paraId="7E572EA2" w14:textId="77777777" w:rsidTr="00363F28">
        <w:tc>
          <w:tcPr>
            <w:tcW w:w="3812" w:type="dxa"/>
            <w:tcBorders>
              <w:top w:val="single" w:sz="4" w:space="0" w:color="auto"/>
              <w:left w:val="single" w:sz="4" w:space="0" w:color="auto"/>
              <w:bottom w:val="single" w:sz="4" w:space="0" w:color="auto"/>
              <w:right w:val="single" w:sz="4" w:space="0" w:color="auto"/>
            </w:tcBorders>
            <w:shd w:val="clear" w:color="auto" w:fill="E2E2E2"/>
          </w:tcPr>
          <w:p w14:paraId="1AC27C22" w14:textId="77777777" w:rsidR="00653B9A" w:rsidRPr="00B043B4" w:rsidRDefault="00653B9A" w:rsidP="00363F28">
            <w:pPr>
              <w:rPr>
                <w:b/>
                <w:sz w:val="20"/>
                <w:szCs w:val="20"/>
                <w:lang w:eastAsia="sk-SK"/>
              </w:rPr>
            </w:pPr>
            <w:r w:rsidRPr="00B043B4">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220E0E5"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260820A"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B699319"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C3CFB46"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A809A6D"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2B113F4" w14:textId="77777777" w:rsidR="00653B9A" w:rsidRPr="00B043B4" w:rsidRDefault="00653B9A" w:rsidP="00363F28">
            <w:pPr>
              <w:ind w:left="54"/>
              <w:rPr>
                <w:b/>
                <w:sz w:val="20"/>
                <w:szCs w:val="20"/>
                <w:lang w:eastAsia="sk-SK"/>
              </w:rPr>
            </w:pPr>
            <w:r w:rsidRPr="00B043B4">
              <w:rPr>
                <w:b/>
                <w:sz w:val="20"/>
                <w:szCs w:val="20"/>
                <w:lang w:eastAsia="sk-SK"/>
              </w:rPr>
              <w:t>Negatívne</w:t>
            </w:r>
          </w:p>
        </w:tc>
      </w:tr>
      <w:tr w:rsidR="00653B9A" w:rsidRPr="00B043B4" w14:paraId="4B357150" w14:textId="77777777" w:rsidTr="00363F28">
        <w:tc>
          <w:tcPr>
            <w:tcW w:w="3812" w:type="dxa"/>
            <w:tcBorders>
              <w:top w:val="single" w:sz="4" w:space="0" w:color="auto"/>
              <w:left w:val="single" w:sz="4" w:space="0" w:color="auto"/>
              <w:bottom w:val="single" w:sz="4" w:space="0" w:color="auto"/>
              <w:right w:val="single" w:sz="4" w:space="0" w:color="auto"/>
            </w:tcBorders>
            <w:shd w:val="clear" w:color="auto" w:fill="E2E2E2"/>
          </w:tcPr>
          <w:p w14:paraId="71A5097D" w14:textId="77777777" w:rsidR="00653B9A" w:rsidRPr="00B043B4" w:rsidRDefault="00653B9A" w:rsidP="00363F28">
            <w:pPr>
              <w:rPr>
                <w:b/>
                <w:sz w:val="20"/>
                <w:szCs w:val="20"/>
                <w:lang w:eastAsia="sk-SK"/>
              </w:rPr>
            </w:pPr>
            <w:r w:rsidRPr="00B043B4">
              <w:rPr>
                <w:b/>
                <w:sz w:val="20"/>
                <w:szCs w:val="20"/>
                <w:lang w:eastAsia="sk-SK"/>
              </w:rPr>
              <w:t>Vplyvy na informatizáciu</w:t>
            </w:r>
            <w:r>
              <w:rPr>
                <w:b/>
                <w:sz w:val="20"/>
                <w:szCs w:val="20"/>
                <w:lang w:eastAsia="sk-SK"/>
              </w:rPr>
              <w:t xml:space="preserve">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369FE5D"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4501CA9"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068684B"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075EA7A"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6B10D02"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14CD288" w14:textId="77777777" w:rsidR="00653B9A" w:rsidRPr="00B043B4" w:rsidRDefault="00653B9A" w:rsidP="00363F28">
            <w:pPr>
              <w:ind w:left="54"/>
              <w:rPr>
                <w:b/>
                <w:sz w:val="20"/>
                <w:szCs w:val="20"/>
                <w:lang w:eastAsia="sk-SK"/>
              </w:rPr>
            </w:pPr>
            <w:r w:rsidRPr="00B043B4">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53B9A" w:rsidRPr="00B043B4" w14:paraId="170EF1C4" w14:textId="77777777" w:rsidTr="00363F28">
        <w:tc>
          <w:tcPr>
            <w:tcW w:w="3812" w:type="dxa"/>
            <w:tcBorders>
              <w:top w:val="single" w:sz="4" w:space="0" w:color="auto"/>
              <w:left w:val="single" w:sz="4" w:space="0" w:color="auto"/>
              <w:bottom w:val="nil"/>
              <w:right w:val="single" w:sz="4" w:space="0" w:color="auto"/>
            </w:tcBorders>
            <w:shd w:val="clear" w:color="auto" w:fill="E2E2E2"/>
          </w:tcPr>
          <w:p w14:paraId="5C48F5F5" w14:textId="77777777" w:rsidR="00653B9A" w:rsidRPr="00B043B4" w:rsidRDefault="00653B9A" w:rsidP="00363F28">
            <w:pPr>
              <w:rPr>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7610A76B" w14:textId="77777777" w:rsidR="00653B9A" w:rsidRPr="00B043B4" w:rsidRDefault="00653B9A" w:rsidP="00363F28">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77F3B7E4" w14:textId="77777777" w:rsidR="00653B9A" w:rsidRPr="00B043B4" w:rsidRDefault="00653B9A" w:rsidP="00363F28">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5BE2A821" w14:textId="77777777" w:rsidR="00653B9A" w:rsidRPr="00B043B4" w:rsidRDefault="00653B9A" w:rsidP="00363F28">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2158CF09" w14:textId="77777777" w:rsidR="00653B9A" w:rsidRPr="00B043B4" w:rsidRDefault="00653B9A" w:rsidP="00363F28">
            <w:pPr>
              <w:rPr>
                <w:b/>
                <w:sz w:val="20"/>
                <w:szCs w:val="20"/>
                <w:lang w:eastAsia="sk-SK"/>
              </w:rPr>
            </w:pPr>
          </w:p>
        </w:tc>
        <w:tc>
          <w:tcPr>
            <w:tcW w:w="547" w:type="dxa"/>
            <w:tcBorders>
              <w:top w:val="single" w:sz="4" w:space="0" w:color="auto"/>
              <w:left w:val="nil"/>
              <w:bottom w:val="nil"/>
              <w:right w:val="nil"/>
            </w:tcBorders>
            <w:shd w:val="clear" w:color="auto" w:fill="auto"/>
          </w:tcPr>
          <w:p w14:paraId="670B45F6" w14:textId="77777777" w:rsidR="00653B9A" w:rsidRPr="00B043B4" w:rsidRDefault="00653B9A" w:rsidP="00363F28">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687E953" w14:textId="77777777" w:rsidR="00653B9A" w:rsidRPr="00B043B4" w:rsidRDefault="00653B9A" w:rsidP="00363F28">
            <w:pPr>
              <w:ind w:left="54"/>
              <w:rPr>
                <w:b/>
                <w:sz w:val="20"/>
                <w:szCs w:val="20"/>
                <w:lang w:eastAsia="sk-SK"/>
              </w:rPr>
            </w:pPr>
          </w:p>
        </w:tc>
      </w:tr>
      <w:tr w:rsidR="00653B9A" w:rsidRPr="00B043B4" w14:paraId="65D098AF" w14:textId="77777777" w:rsidTr="00363F28">
        <w:tc>
          <w:tcPr>
            <w:tcW w:w="3812" w:type="dxa"/>
            <w:tcBorders>
              <w:top w:val="nil"/>
              <w:left w:val="single" w:sz="4" w:space="0" w:color="auto"/>
              <w:bottom w:val="nil"/>
              <w:right w:val="single" w:sz="4" w:space="0" w:color="auto"/>
            </w:tcBorders>
            <w:shd w:val="clear" w:color="auto" w:fill="E2E2E2"/>
          </w:tcPr>
          <w:p w14:paraId="335DB329" w14:textId="77777777" w:rsidR="00653B9A" w:rsidRPr="00B043B4" w:rsidRDefault="00653B9A" w:rsidP="00363F28">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CAF0642"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18FEE10"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9ACBEB8"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131D69B2"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A6C84C3"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602E2865" w14:textId="77777777" w:rsidR="00653B9A" w:rsidRPr="00B043B4" w:rsidRDefault="00653B9A" w:rsidP="00363F28">
            <w:pPr>
              <w:ind w:left="54"/>
              <w:rPr>
                <w:b/>
                <w:sz w:val="20"/>
                <w:szCs w:val="20"/>
                <w:lang w:eastAsia="sk-SK"/>
              </w:rPr>
            </w:pPr>
            <w:r w:rsidRPr="00B043B4">
              <w:rPr>
                <w:b/>
                <w:sz w:val="20"/>
                <w:szCs w:val="20"/>
                <w:lang w:eastAsia="sk-SK"/>
              </w:rPr>
              <w:t>Negatívne</w:t>
            </w:r>
          </w:p>
        </w:tc>
      </w:tr>
      <w:tr w:rsidR="00653B9A" w:rsidRPr="00B043B4" w14:paraId="0AEC1551" w14:textId="77777777" w:rsidTr="00363F28">
        <w:tc>
          <w:tcPr>
            <w:tcW w:w="3812" w:type="dxa"/>
            <w:tcBorders>
              <w:top w:val="nil"/>
              <w:left w:val="single" w:sz="4" w:space="0" w:color="auto"/>
              <w:bottom w:val="nil"/>
              <w:right w:val="single" w:sz="4" w:space="0" w:color="auto"/>
            </w:tcBorders>
            <w:shd w:val="clear" w:color="auto" w:fill="E2E2E2"/>
          </w:tcPr>
          <w:p w14:paraId="0E7E644B" w14:textId="77777777" w:rsidR="00653B9A" w:rsidRPr="00B043B4" w:rsidRDefault="00653B9A" w:rsidP="00363F28">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1DA483F"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E1258CD"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0E587FD"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09ED4BE"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8546314"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869B906" w14:textId="77777777" w:rsidR="00653B9A" w:rsidRPr="00B043B4" w:rsidRDefault="00653B9A" w:rsidP="00363F28">
            <w:pPr>
              <w:ind w:left="54"/>
              <w:rPr>
                <w:b/>
                <w:sz w:val="20"/>
                <w:szCs w:val="20"/>
                <w:lang w:eastAsia="sk-SK"/>
              </w:rPr>
            </w:pPr>
            <w:r w:rsidRPr="00B043B4">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53B9A" w:rsidRPr="00B043B4" w14:paraId="476F5CC7" w14:textId="77777777" w:rsidTr="00363F28">
        <w:tc>
          <w:tcPr>
            <w:tcW w:w="3812" w:type="dxa"/>
            <w:tcBorders>
              <w:top w:val="single" w:sz="4" w:space="0" w:color="000000"/>
              <w:left w:val="single" w:sz="4" w:space="0" w:color="auto"/>
              <w:bottom w:val="single" w:sz="4" w:space="0" w:color="auto"/>
              <w:right w:val="single" w:sz="4" w:space="0" w:color="auto"/>
            </w:tcBorders>
            <w:shd w:val="clear" w:color="auto" w:fill="E2E2E2"/>
          </w:tcPr>
          <w:p w14:paraId="1DFA7AE7" w14:textId="77777777" w:rsidR="00653B9A" w:rsidRPr="00B043B4" w:rsidRDefault="00653B9A" w:rsidP="00363F28">
            <w:pPr>
              <w:rPr>
                <w:b/>
                <w:sz w:val="20"/>
                <w:szCs w:val="20"/>
                <w:lang w:eastAsia="sk-SK"/>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D49A56B"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D5BC7DE" w14:textId="77777777" w:rsidR="00653B9A" w:rsidRPr="00B043B4" w:rsidRDefault="00653B9A" w:rsidP="00363F28">
            <w:pPr>
              <w:ind w:right="-108"/>
              <w:rPr>
                <w:b/>
                <w:sz w:val="20"/>
                <w:szCs w:val="20"/>
                <w:lang w:eastAsia="sk-SK"/>
              </w:rPr>
            </w:pPr>
            <w:r w:rsidRPr="00B043B4">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50F9339"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18FCA0D" w14:textId="77777777" w:rsidR="00653B9A" w:rsidRPr="00B043B4" w:rsidRDefault="00653B9A" w:rsidP="00363F28">
            <w:pPr>
              <w:rPr>
                <w:b/>
                <w:sz w:val="20"/>
                <w:szCs w:val="20"/>
                <w:lang w:eastAsia="sk-SK"/>
              </w:rPr>
            </w:pPr>
            <w:r w:rsidRPr="00B043B4">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4470E1F" w14:textId="77777777" w:rsidR="00653B9A" w:rsidRPr="00B043B4" w:rsidRDefault="00653B9A" w:rsidP="00363F28">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4F573FC" w14:textId="77777777" w:rsidR="00653B9A" w:rsidRPr="00B043B4" w:rsidRDefault="00653B9A" w:rsidP="00363F28">
            <w:pPr>
              <w:ind w:left="54"/>
              <w:rPr>
                <w:b/>
                <w:sz w:val="20"/>
                <w:szCs w:val="20"/>
                <w:lang w:eastAsia="sk-SK"/>
              </w:rPr>
            </w:pPr>
            <w:r w:rsidRPr="00B043B4">
              <w:rPr>
                <w:b/>
                <w:sz w:val="20"/>
                <w:szCs w:val="20"/>
                <w:lang w:eastAsia="sk-SK"/>
              </w:rPr>
              <w:t>Negatívne</w:t>
            </w:r>
          </w:p>
        </w:tc>
      </w:tr>
    </w:tbl>
    <w:p w14:paraId="16470AC3" w14:textId="77777777" w:rsidR="00653B9A" w:rsidRPr="00B043B4" w:rsidRDefault="00653B9A" w:rsidP="00653B9A">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53B9A" w:rsidRPr="00B043B4" w14:paraId="17BE3406" w14:textId="77777777" w:rsidTr="00363F28">
        <w:tc>
          <w:tcPr>
            <w:tcW w:w="9176" w:type="dxa"/>
            <w:tcBorders>
              <w:top w:val="single" w:sz="4" w:space="0" w:color="auto"/>
              <w:left w:val="single" w:sz="4" w:space="0" w:color="auto"/>
              <w:bottom w:val="nil"/>
              <w:right w:val="single" w:sz="4" w:space="0" w:color="auto"/>
            </w:tcBorders>
            <w:shd w:val="clear" w:color="auto" w:fill="E2E2E2"/>
          </w:tcPr>
          <w:p w14:paraId="3E748925" w14:textId="77777777" w:rsidR="00653B9A" w:rsidRPr="00B043B4" w:rsidRDefault="00653B9A" w:rsidP="00730DCA">
            <w:pPr>
              <w:numPr>
                <w:ilvl w:val="0"/>
                <w:numId w:val="2"/>
              </w:numPr>
              <w:ind w:left="426"/>
              <w:contextualSpacing/>
              <w:rPr>
                <w:rFonts w:eastAsia="Calibri"/>
                <w:b/>
              </w:rPr>
            </w:pPr>
            <w:r w:rsidRPr="00B043B4">
              <w:rPr>
                <w:rFonts w:eastAsia="Calibri"/>
                <w:b/>
              </w:rPr>
              <w:t>Poznámky</w:t>
            </w:r>
          </w:p>
        </w:tc>
      </w:tr>
      <w:tr w:rsidR="00653B9A" w:rsidRPr="00B043B4" w14:paraId="52D4AD31" w14:textId="77777777" w:rsidTr="00363F2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4B36C72" w14:textId="77777777" w:rsidR="00653B9A" w:rsidRDefault="00653B9A" w:rsidP="00363F28">
            <w:pPr>
              <w:contextualSpacing/>
              <w:jc w:val="both"/>
              <w:rPr>
                <w:sz w:val="20"/>
                <w:szCs w:val="20"/>
                <w:lang w:eastAsia="sk-SK"/>
              </w:rPr>
            </w:pPr>
            <w:r>
              <w:rPr>
                <w:sz w:val="20"/>
                <w:szCs w:val="20"/>
                <w:lang w:eastAsia="sk-SK"/>
              </w:rPr>
              <w:t xml:space="preserve">Predkladaný materiál má vplyvy na rozpočet verejnej správy v časti týkajúcej sa povinnosti orgánu riadenia MD SR v rámci uplatnenej pripomienky, keďže </w:t>
            </w:r>
            <w:r w:rsidRPr="0017315F">
              <w:rPr>
                <w:sz w:val="20"/>
                <w:szCs w:val="20"/>
                <w:lang w:eastAsia="sk-SK"/>
              </w:rPr>
              <w:t xml:space="preserve">nedošlo k vytvoreniu potrebných pracovných miest pre obsadenie IT rolí potrebných k plneniu </w:t>
            </w:r>
            <w:r>
              <w:rPr>
                <w:sz w:val="20"/>
                <w:szCs w:val="20"/>
                <w:lang w:eastAsia="sk-SK"/>
              </w:rPr>
              <w:t xml:space="preserve">povinností vyplývajúcich z </w:t>
            </w:r>
            <w:r w:rsidRPr="0017315F">
              <w:rPr>
                <w:sz w:val="20"/>
                <w:szCs w:val="20"/>
                <w:lang w:eastAsia="sk-SK"/>
              </w:rPr>
              <w:t xml:space="preserve">vyhlášky </w:t>
            </w:r>
            <w:r w:rsidRPr="00DD3AC8">
              <w:rPr>
                <w:sz w:val="20"/>
                <w:szCs w:val="20"/>
                <w:lang w:eastAsia="sk-SK"/>
              </w:rPr>
              <w:t>Ministerstva investícií, regionálneho rozvoja a informatizácie Slovenskej republiky</w:t>
            </w:r>
            <w:r>
              <w:rPr>
                <w:sz w:val="20"/>
                <w:szCs w:val="20"/>
                <w:lang w:eastAsia="sk-SK"/>
              </w:rPr>
              <w:t xml:space="preserve"> č. 547/2021 Z. z. o elektronizácii agendy verejnej správy </w:t>
            </w:r>
            <w:r w:rsidRPr="0017315F">
              <w:rPr>
                <w:sz w:val="20"/>
                <w:szCs w:val="20"/>
                <w:lang w:eastAsia="sk-SK"/>
              </w:rPr>
              <w:t xml:space="preserve">ani zo zdrojov </w:t>
            </w:r>
            <w:r>
              <w:rPr>
                <w:sz w:val="20"/>
                <w:szCs w:val="20"/>
                <w:lang w:eastAsia="sk-SK"/>
              </w:rPr>
              <w:t>štátneho rozpočtu</w:t>
            </w:r>
            <w:r w:rsidRPr="0017315F">
              <w:rPr>
                <w:sz w:val="20"/>
                <w:szCs w:val="20"/>
                <w:lang w:eastAsia="sk-SK"/>
              </w:rPr>
              <w:t>, ani prostre</w:t>
            </w:r>
            <w:r>
              <w:rPr>
                <w:sz w:val="20"/>
                <w:szCs w:val="20"/>
                <w:lang w:eastAsia="sk-SK"/>
              </w:rPr>
              <w:t>dníctvom dopytových výziev OPII, aj napriek akceptovaniu pripomienky MD SR v rámci legislatívneho procesu k predmetnej vyhláške.</w:t>
            </w:r>
            <w:r w:rsidRPr="0017315F">
              <w:rPr>
                <w:sz w:val="20"/>
                <w:szCs w:val="20"/>
                <w:lang w:eastAsia="sk-SK"/>
              </w:rPr>
              <w:t xml:space="preserve"> </w:t>
            </w:r>
            <w:r>
              <w:rPr>
                <w:sz w:val="20"/>
                <w:szCs w:val="20"/>
                <w:lang w:eastAsia="sk-SK"/>
              </w:rPr>
              <w:t>Vyhláška č. 547/2021 Z. z. upravuje podrobnosti k povinnostiam, ktoré sú navrhované v § 13a a § 24c návrhu.</w:t>
            </w:r>
          </w:p>
          <w:p w14:paraId="76DE8D03" w14:textId="32CB6845" w:rsidR="00432111" w:rsidRPr="00923EFF" w:rsidRDefault="00432111" w:rsidP="00363F28">
            <w:pPr>
              <w:contextualSpacing/>
              <w:jc w:val="both"/>
              <w:rPr>
                <w:sz w:val="20"/>
                <w:szCs w:val="20"/>
                <w:lang w:eastAsia="sk-SK"/>
              </w:rPr>
            </w:pPr>
            <w:r>
              <w:rPr>
                <w:sz w:val="20"/>
                <w:szCs w:val="20"/>
                <w:lang w:eastAsia="sk-SK"/>
              </w:rPr>
              <w:t>Predkladaný materiál má vplyvy na rozpočet verejnej správy v časti týkajúcej sa povinnosti orgánu riadenia MV SR v rámci uplatnenej pripomienky, keďže nedošlo k vytvoreniu pracovných miest pre obsadenie IT rolí potrebných k plneniu povinností vyplývajúcich z vyhlášky č. 547/2021 Z. z. a ktoré sú upravené v § 13a a § 24c návrhu.</w:t>
            </w:r>
          </w:p>
        </w:tc>
      </w:tr>
      <w:tr w:rsidR="00653B9A" w:rsidRPr="00B043B4" w14:paraId="10480953" w14:textId="77777777" w:rsidTr="00363F28">
        <w:tc>
          <w:tcPr>
            <w:tcW w:w="9176" w:type="dxa"/>
            <w:tcBorders>
              <w:top w:val="single" w:sz="4" w:space="0" w:color="auto"/>
              <w:left w:val="single" w:sz="4" w:space="0" w:color="auto"/>
              <w:bottom w:val="single" w:sz="4" w:space="0" w:color="FFFFFF"/>
              <w:right w:val="single" w:sz="4" w:space="0" w:color="auto"/>
            </w:tcBorders>
            <w:shd w:val="clear" w:color="auto" w:fill="E2E2E2"/>
          </w:tcPr>
          <w:p w14:paraId="44050971" w14:textId="77777777" w:rsidR="00653B9A" w:rsidRPr="00B043B4" w:rsidRDefault="00653B9A" w:rsidP="00730DCA">
            <w:pPr>
              <w:numPr>
                <w:ilvl w:val="0"/>
                <w:numId w:val="2"/>
              </w:numPr>
              <w:ind w:left="426"/>
              <w:contextualSpacing/>
              <w:rPr>
                <w:rFonts w:eastAsia="Calibri"/>
                <w:b/>
              </w:rPr>
            </w:pPr>
            <w:r w:rsidRPr="00B043B4">
              <w:rPr>
                <w:rFonts w:eastAsia="Calibri"/>
                <w:b/>
              </w:rPr>
              <w:t>Kontakt na spracovateľa</w:t>
            </w:r>
          </w:p>
        </w:tc>
      </w:tr>
      <w:tr w:rsidR="00653B9A" w:rsidRPr="00B043B4" w14:paraId="4C2C84AF" w14:textId="77777777" w:rsidTr="00363F2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69A5D64" w14:textId="77777777" w:rsidR="00653B9A" w:rsidRDefault="00653B9A" w:rsidP="00363F28">
            <w:pPr>
              <w:jc w:val="both"/>
              <w:rPr>
                <w:iCs/>
                <w:sz w:val="20"/>
                <w:szCs w:val="20"/>
                <w:lang w:eastAsia="sk-SK"/>
              </w:rPr>
            </w:pPr>
            <w:r w:rsidRPr="00BC5A30">
              <w:rPr>
                <w:iCs/>
                <w:sz w:val="20"/>
                <w:szCs w:val="20"/>
                <w:lang w:eastAsia="sk-SK"/>
              </w:rPr>
              <w:t>Mgr. Jakub Dolina LL.M., MA</w:t>
            </w:r>
            <w:r>
              <w:rPr>
                <w:iCs/>
                <w:sz w:val="20"/>
                <w:szCs w:val="20"/>
                <w:lang w:eastAsia="sk-SK"/>
              </w:rPr>
              <w:t xml:space="preserve">, vládna jednotka CSIRT, Ministerstvo investícii, regionálneho rozvoja a informatizácie SR, </w:t>
            </w:r>
            <w:r w:rsidRPr="00836C51">
              <w:rPr>
                <w:iCs/>
                <w:sz w:val="20"/>
                <w:szCs w:val="20"/>
                <w:lang w:eastAsia="sk-SK"/>
              </w:rPr>
              <w:t xml:space="preserve">e-mail: </w:t>
            </w:r>
            <w:hyperlink r:id="rId10" w:history="1">
              <w:r w:rsidRPr="00225FBE">
                <w:rPr>
                  <w:rStyle w:val="Hypertextovprepojenie"/>
                  <w:iCs/>
                  <w:sz w:val="20"/>
                  <w:szCs w:val="20"/>
                  <w:lang w:eastAsia="sk-SK"/>
                </w:rPr>
                <w:t>jakub.dolina@mirri.gov.sk</w:t>
              </w:r>
            </w:hyperlink>
          </w:p>
          <w:p w14:paraId="5AFD8D8F" w14:textId="77777777" w:rsidR="00653B9A" w:rsidRPr="00B043B4" w:rsidRDefault="00653B9A" w:rsidP="00363F28">
            <w:pPr>
              <w:rPr>
                <w:i/>
                <w:sz w:val="20"/>
                <w:szCs w:val="20"/>
                <w:lang w:eastAsia="sk-SK"/>
              </w:rPr>
            </w:pPr>
            <w:r>
              <w:rPr>
                <w:iCs/>
                <w:sz w:val="20"/>
                <w:szCs w:val="20"/>
                <w:lang w:eastAsia="sk-SK"/>
              </w:rPr>
              <w:t xml:space="preserve">JUDr. Karolína Kabátová, sekcia informačných technológií verejnej správy, Ministerstvo investícii, regionálneho rozvoja a informatizácie SR, e-mail: </w:t>
            </w:r>
            <w:hyperlink r:id="rId11" w:history="1">
              <w:r w:rsidRPr="00225FBE">
                <w:rPr>
                  <w:rStyle w:val="Hypertextovprepojenie"/>
                  <w:iCs/>
                  <w:sz w:val="20"/>
                  <w:szCs w:val="20"/>
                  <w:lang w:eastAsia="sk-SK"/>
                </w:rPr>
                <w:t>karolina.kabatova@mirri.gov.sk</w:t>
              </w:r>
            </w:hyperlink>
            <w:r>
              <w:rPr>
                <w:iCs/>
                <w:sz w:val="20"/>
                <w:szCs w:val="20"/>
                <w:lang w:eastAsia="sk-SK"/>
              </w:rPr>
              <w:t xml:space="preserve"> </w:t>
            </w:r>
          </w:p>
        </w:tc>
      </w:tr>
      <w:tr w:rsidR="00653B9A" w:rsidRPr="00B043B4" w14:paraId="6EDE4FCA" w14:textId="77777777" w:rsidTr="00363F28">
        <w:tc>
          <w:tcPr>
            <w:tcW w:w="9176" w:type="dxa"/>
            <w:tcBorders>
              <w:top w:val="single" w:sz="4" w:space="0" w:color="auto"/>
              <w:left w:val="single" w:sz="4" w:space="0" w:color="auto"/>
              <w:bottom w:val="single" w:sz="4" w:space="0" w:color="FFFFFF"/>
              <w:right w:val="single" w:sz="4" w:space="0" w:color="auto"/>
            </w:tcBorders>
            <w:shd w:val="clear" w:color="auto" w:fill="E2E2E2"/>
          </w:tcPr>
          <w:p w14:paraId="62EB1054" w14:textId="77777777" w:rsidR="00653B9A" w:rsidRPr="00B043B4" w:rsidRDefault="00653B9A" w:rsidP="00730DCA">
            <w:pPr>
              <w:numPr>
                <w:ilvl w:val="0"/>
                <w:numId w:val="2"/>
              </w:numPr>
              <w:ind w:left="426"/>
              <w:contextualSpacing/>
              <w:rPr>
                <w:rFonts w:eastAsia="Calibri"/>
                <w:b/>
              </w:rPr>
            </w:pPr>
            <w:r w:rsidRPr="00B043B4">
              <w:rPr>
                <w:rFonts w:eastAsia="Calibri"/>
                <w:b/>
              </w:rPr>
              <w:t>Zdroje</w:t>
            </w:r>
          </w:p>
        </w:tc>
      </w:tr>
      <w:tr w:rsidR="00653B9A" w:rsidRPr="00B043B4" w14:paraId="19351F26" w14:textId="77777777" w:rsidTr="00363F2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F6678CC" w14:textId="4653D3D5" w:rsidR="00653B9A" w:rsidRPr="00D60DE0" w:rsidRDefault="00653B9A" w:rsidP="00D60DE0">
            <w:pPr>
              <w:spacing w:before="120"/>
              <w:rPr>
                <w:sz w:val="20"/>
                <w:szCs w:val="20"/>
                <w:lang w:eastAsia="sk-SK"/>
              </w:rPr>
            </w:pPr>
            <w:r>
              <w:rPr>
                <w:sz w:val="20"/>
                <w:szCs w:val="20"/>
                <w:lang w:eastAsia="sk-SK"/>
              </w:rPr>
              <w:t xml:space="preserve">Interné kapacity predkladateľa a podriadených organizácií, zaslané podnety a aplikačná prax. </w:t>
            </w:r>
          </w:p>
        </w:tc>
      </w:tr>
      <w:tr w:rsidR="00653B9A" w:rsidRPr="00B043B4" w14:paraId="6E57B4BB" w14:textId="77777777" w:rsidTr="00363F28">
        <w:tc>
          <w:tcPr>
            <w:tcW w:w="9176" w:type="dxa"/>
            <w:tcBorders>
              <w:top w:val="single" w:sz="4" w:space="0" w:color="auto"/>
              <w:left w:val="single" w:sz="4" w:space="0" w:color="auto"/>
              <w:bottom w:val="single" w:sz="4" w:space="0" w:color="FFFFFF"/>
              <w:right w:val="single" w:sz="4" w:space="0" w:color="auto"/>
            </w:tcBorders>
            <w:shd w:val="clear" w:color="auto" w:fill="E2E2E2"/>
          </w:tcPr>
          <w:p w14:paraId="25F8C428" w14:textId="77777777" w:rsidR="00653B9A" w:rsidRPr="00B043B4" w:rsidRDefault="00653B9A" w:rsidP="00730DCA">
            <w:pPr>
              <w:numPr>
                <w:ilvl w:val="0"/>
                <w:numId w:val="2"/>
              </w:numPr>
              <w:ind w:left="447" w:hanging="425"/>
              <w:contextualSpacing/>
              <w:rPr>
                <w:rFonts w:eastAsia="Calibri"/>
                <w:b/>
              </w:rPr>
            </w:pPr>
            <w:r w:rsidRPr="00B043B4">
              <w:rPr>
                <w:rFonts w:eastAsia="Calibri"/>
                <w:b/>
              </w:rPr>
              <w:t xml:space="preserve">Stanovisko Komisie na posudzovanie vybraných vplyvov z PPK č. </w:t>
            </w:r>
            <w:r>
              <w:rPr>
                <w:rFonts w:eastAsia="Calibri"/>
                <w:b/>
              </w:rPr>
              <w:t>274/2022</w:t>
            </w:r>
            <w:r w:rsidRPr="00B043B4">
              <w:rPr>
                <w:rFonts w:ascii="Calibri" w:eastAsia="Calibri" w:hAnsi="Calibri"/>
              </w:rPr>
              <w:t xml:space="preserve"> </w:t>
            </w:r>
          </w:p>
          <w:p w14:paraId="5389F3B8" w14:textId="77777777" w:rsidR="00653B9A" w:rsidRPr="00B043B4" w:rsidRDefault="00653B9A" w:rsidP="00363F28">
            <w:pPr>
              <w:ind w:left="502"/>
              <w:rPr>
                <w:b/>
                <w:sz w:val="20"/>
                <w:szCs w:val="20"/>
                <w:lang w:eastAsia="sk-SK"/>
              </w:rPr>
            </w:pPr>
            <w:r w:rsidRPr="00B043B4">
              <w:rPr>
                <w:rFonts w:eastAsia="Calibri"/>
              </w:rPr>
              <w:t>(v prípade, ak sa uskutočnilo v zmysle bodu 8.1 Jednotnej metodiky)</w:t>
            </w:r>
          </w:p>
        </w:tc>
      </w:tr>
      <w:tr w:rsidR="00653B9A" w:rsidRPr="00B043B4" w14:paraId="399BBA16" w14:textId="77777777" w:rsidTr="00363F2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53B9A" w:rsidRPr="00B043B4" w14:paraId="720B7AC7" w14:textId="77777777" w:rsidTr="00363F28">
              <w:trPr>
                <w:trHeight w:val="396"/>
              </w:trPr>
              <w:tc>
                <w:tcPr>
                  <w:tcW w:w="2552" w:type="dxa"/>
                </w:tcPr>
                <w:p w14:paraId="3AC39EBF" w14:textId="77777777" w:rsidR="00653B9A" w:rsidRPr="00B043B4" w:rsidRDefault="00193FDA" w:rsidP="00363F28">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Pr>
                      <w:b/>
                      <w:sz w:val="20"/>
                      <w:szCs w:val="20"/>
                      <w:lang w:eastAsia="sk-SK"/>
                    </w:rPr>
                    <w:t xml:space="preserve">  </w:t>
                  </w:r>
                  <w:r w:rsidR="00653B9A" w:rsidRPr="00B043B4">
                    <w:rPr>
                      <w:b/>
                      <w:sz w:val="20"/>
                      <w:szCs w:val="20"/>
                      <w:lang w:eastAsia="sk-SK"/>
                    </w:rPr>
                    <w:t xml:space="preserve">Súhlasné </w:t>
                  </w:r>
                </w:p>
              </w:tc>
              <w:tc>
                <w:tcPr>
                  <w:tcW w:w="3827" w:type="dxa"/>
                </w:tcPr>
                <w:p w14:paraId="7DADD8DA" w14:textId="77777777" w:rsidR="00653B9A" w:rsidRPr="00B043B4" w:rsidRDefault="00193FDA" w:rsidP="00363F28">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Pr>
                      <w:b/>
                      <w:sz w:val="20"/>
                      <w:szCs w:val="20"/>
                      <w:lang w:eastAsia="sk-SK"/>
                    </w:rPr>
                    <w:t xml:space="preserve">  </w:t>
                  </w:r>
                  <w:r w:rsidR="00653B9A" w:rsidRPr="00B043B4">
                    <w:rPr>
                      <w:b/>
                      <w:sz w:val="20"/>
                      <w:szCs w:val="20"/>
                      <w:lang w:eastAsia="sk-SK"/>
                    </w:rPr>
                    <w:t>Súhlasné s návrhom na dopracovanie</w:t>
                  </w:r>
                </w:p>
              </w:tc>
              <w:tc>
                <w:tcPr>
                  <w:tcW w:w="2534" w:type="dxa"/>
                </w:tcPr>
                <w:p w14:paraId="116530BD" w14:textId="77777777" w:rsidR="00653B9A" w:rsidRPr="00B043B4" w:rsidRDefault="00193FDA" w:rsidP="00363F28">
                  <w:pPr>
                    <w:ind w:right="459"/>
                    <w:rPr>
                      <w:b/>
                      <w:sz w:val="20"/>
                      <w:szCs w:val="20"/>
                      <w:lang w:eastAsia="sk-SK"/>
                    </w:rPr>
                  </w:pPr>
                  <w:sdt>
                    <w:sdtPr>
                      <w:rPr>
                        <w:b/>
                        <w:sz w:val="20"/>
                        <w:szCs w:val="20"/>
                        <w:lang w:eastAsia="sk-SK"/>
                      </w:rPr>
                      <w:id w:val="-647822913"/>
                      <w14:checkbox>
                        <w14:checked w14:val="1"/>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Pr>
                      <w:b/>
                      <w:sz w:val="20"/>
                      <w:szCs w:val="20"/>
                      <w:lang w:eastAsia="sk-SK"/>
                    </w:rPr>
                    <w:t xml:space="preserve">  </w:t>
                  </w:r>
                  <w:r w:rsidR="00653B9A" w:rsidRPr="00B043B4">
                    <w:rPr>
                      <w:b/>
                      <w:sz w:val="20"/>
                      <w:szCs w:val="20"/>
                      <w:lang w:eastAsia="sk-SK"/>
                    </w:rPr>
                    <w:t>Nesúhlasné</w:t>
                  </w:r>
                </w:p>
              </w:tc>
            </w:tr>
          </w:tbl>
          <w:p w14:paraId="3D72265E" w14:textId="77777777" w:rsidR="00653B9A" w:rsidRDefault="00653B9A" w:rsidP="00363F28">
            <w:pPr>
              <w:jc w:val="both"/>
              <w:rPr>
                <w:b/>
                <w:sz w:val="20"/>
                <w:szCs w:val="20"/>
                <w:lang w:eastAsia="sk-SK"/>
              </w:rPr>
            </w:pPr>
            <w:r w:rsidRPr="00B043B4">
              <w:rPr>
                <w:b/>
                <w:sz w:val="20"/>
                <w:szCs w:val="20"/>
                <w:lang w:eastAsia="sk-SK"/>
              </w:rPr>
              <w:t>Uveďte pripomienky zo stanoviska Komisie z časti II. spolu s Vaším vyhodnotením:</w:t>
            </w:r>
          </w:p>
          <w:p w14:paraId="5F36CA93" w14:textId="77777777" w:rsidR="00653B9A" w:rsidRPr="00B043B4" w:rsidRDefault="00653B9A" w:rsidP="00363F28">
            <w:pPr>
              <w:jc w:val="both"/>
              <w:rPr>
                <w:b/>
                <w:sz w:val="20"/>
                <w:szCs w:val="20"/>
                <w:lang w:eastAsia="sk-SK"/>
              </w:rPr>
            </w:pPr>
          </w:p>
          <w:p w14:paraId="54064EDB" w14:textId="77777777" w:rsidR="00653B9A" w:rsidRPr="00E721DB" w:rsidRDefault="00653B9A" w:rsidP="00363F28">
            <w:pPr>
              <w:jc w:val="both"/>
              <w:rPr>
                <w:b/>
                <w:sz w:val="20"/>
                <w:szCs w:val="20"/>
                <w:lang w:eastAsia="sk-SK"/>
              </w:rPr>
            </w:pPr>
            <w:r w:rsidRPr="00E721DB">
              <w:rPr>
                <w:b/>
                <w:sz w:val="20"/>
                <w:szCs w:val="20"/>
                <w:lang w:eastAsia="sk-SK"/>
              </w:rPr>
              <w:t>Komisia odporúča predkladateľovi  doplniť v Doložke vybraných vplyvov  časť 5. „Alternatívne riešenia“.</w:t>
            </w:r>
          </w:p>
          <w:p w14:paraId="110BFF27" w14:textId="77777777" w:rsidR="00653B9A" w:rsidRPr="00E721DB" w:rsidRDefault="00653B9A" w:rsidP="00363F28">
            <w:pPr>
              <w:jc w:val="both"/>
              <w:rPr>
                <w:b/>
                <w:sz w:val="20"/>
                <w:szCs w:val="20"/>
                <w:lang w:eastAsia="sk-SK"/>
              </w:rPr>
            </w:pPr>
            <w:r w:rsidRPr="00E721DB">
              <w:rPr>
                <w:b/>
                <w:sz w:val="20"/>
                <w:szCs w:val="20"/>
                <w:lang w:eastAsia="sk-SK"/>
              </w:rPr>
              <w:t>Odôvodnenie: V zmysle Jednotnej metodiky na posudzovanie vybraných vplyvov je predkladateľ povinný uviesť v Doložke vybraných vplyvov v časti č. 5 „Alternatívne riešenia“ minimálne nulový variant, t. j. analýzu súčasného stavu, v rámci ktorej sa uvedú dôsledky vyplývajúce z dôvodu absencie právnej úpravy resp. z dôvodu ich neprijatia. V prípade, kedy nie je možné realizovať nulový variant, slúži tento nulový variant ako báza, ku ktorej sa môžu porovnávať ostatné alternatívy.</w:t>
            </w:r>
          </w:p>
          <w:p w14:paraId="14483B9C" w14:textId="77777777" w:rsidR="00653B9A" w:rsidRPr="00E721DB" w:rsidRDefault="00653B9A" w:rsidP="00363F28">
            <w:pPr>
              <w:jc w:val="both"/>
              <w:rPr>
                <w:b/>
                <w:sz w:val="20"/>
                <w:szCs w:val="20"/>
                <w:lang w:eastAsia="sk-SK"/>
              </w:rPr>
            </w:pPr>
          </w:p>
          <w:p w14:paraId="32238B3E" w14:textId="77777777" w:rsidR="00653B9A" w:rsidRPr="00E721DB" w:rsidRDefault="00653B9A" w:rsidP="00363F28">
            <w:pPr>
              <w:jc w:val="both"/>
              <w:rPr>
                <w:b/>
                <w:sz w:val="20"/>
                <w:szCs w:val="20"/>
                <w:lang w:eastAsia="sk-SK"/>
              </w:rPr>
            </w:pPr>
            <w:r w:rsidRPr="00E721DB">
              <w:rPr>
                <w:b/>
                <w:sz w:val="20"/>
                <w:szCs w:val="20"/>
                <w:lang w:eastAsia="sk-SK"/>
              </w:rPr>
              <w:t>Komisia odporúča predkladateľovi doplniť  v časti 8. „Preskúmanie účelnosti“ termín, kedy by malo dôjsť k preskúmaniu účinnosti a účelnosti predkladaného materiálu a kritériá, na základe ktorých bude preskúmanie vykonané.</w:t>
            </w:r>
          </w:p>
          <w:p w14:paraId="18A18C83" w14:textId="77777777" w:rsidR="00653B9A" w:rsidRPr="00E721DB" w:rsidRDefault="00653B9A" w:rsidP="00363F28">
            <w:pPr>
              <w:jc w:val="both"/>
              <w:rPr>
                <w:b/>
                <w:sz w:val="20"/>
                <w:szCs w:val="20"/>
                <w:lang w:eastAsia="sk-SK"/>
              </w:rPr>
            </w:pPr>
            <w:r w:rsidRPr="00E721DB">
              <w:rPr>
                <w:b/>
                <w:sz w:val="20"/>
                <w:szCs w:val="20"/>
                <w:lang w:eastAsia="sk-SK"/>
              </w:rPr>
              <w:t>Odôvodnenie: V zmysle Jednotnej metodiky na posudzovanie vybraných vplyvov je predkladateľ povinný v Doložke vybraných vplyvov v časti  8. nastaviť čas, po ktorom dôjde k preskúmaniu, ako aj kritériá, na základe ktorých sa prieskum zrealizuje. Cieľom prieskumu je overiť, či riešenie problému, ktoré bolo prijaté, plní svoj účel a či bol uvedený problém odstránený.</w:t>
            </w:r>
          </w:p>
          <w:p w14:paraId="08983FE8" w14:textId="77777777" w:rsidR="00653B9A" w:rsidRPr="00E721DB" w:rsidRDefault="00653B9A" w:rsidP="00363F28">
            <w:pPr>
              <w:jc w:val="both"/>
              <w:rPr>
                <w:sz w:val="20"/>
                <w:szCs w:val="20"/>
                <w:lang w:eastAsia="sk-SK"/>
              </w:rPr>
            </w:pPr>
          </w:p>
          <w:p w14:paraId="53D8513D" w14:textId="77777777" w:rsidR="00653B9A" w:rsidRPr="00E721DB" w:rsidRDefault="00653B9A" w:rsidP="00363F28">
            <w:pPr>
              <w:jc w:val="both"/>
              <w:rPr>
                <w:sz w:val="20"/>
                <w:szCs w:val="20"/>
                <w:lang w:eastAsia="sk-SK"/>
              </w:rPr>
            </w:pPr>
            <w:r w:rsidRPr="00E721DB">
              <w:rPr>
                <w:sz w:val="20"/>
                <w:szCs w:val="20"/>
                <w:lang w:eastAsia="sk-SK"/>
              </w:rPr>
              <w:t>Doložka vybraných vplyvov bola doplnená o časť „Alternatívne riešenia“ a o časť „Preskúmanie účelnosti“.</w:t>
            </w:r>
          </w:p>
          <w:p w14:paraId="2CB18693" w14:textId="77777777" w:rsidR="00653B9A" w:rsidRPr="00E721DB" w:rsidRDefault="00653B9A" w:rsidP="00363F28">
            <w:pPr>
              <w:jc w:val="both"/>
              <w:rPr>
                <w:sz w:val="20"/>
                <w:szCs w:val="20"/>
                <w:lang w:eastAsia="sk-SK"/>
              </w:rPr>
            </w:pPr>
          </w:p>
          <w:p w14:paraId="31848115" w14:textId="77777777" w:rsidR="00653B9A" w:rsidRPr="00E721DB" w:rsidRDefault="00653B9A" w:rsidP="00363F28">
            <w:pPr>
              <w:jc w:val="both"/>
              <w:rPr>
                <w:b/>
                <w:sz w:val="20"/>
                <w:szCs w:val="20"/>
                <w:lang w:eastAsia="sk-SK"/>
              </w:rPr>
            </w:pPr>
            <w:r w:rsidRPr="00E721DB">
              <w:rPr>
                <w:b/>
                <w:sz w:val="20"/>
                <w:szCs w:val="20"/>
                <w:lang w:eastAsia="sk-SK"/>
              </w:rPr>
              <w:t>K vplyvom na rozpočet verejnej správy</w:t>
            </w:r>
          </w:p>
          <w:p w14:paraId="4358C7A3" w14:textId="77777777" w:rsidR="00653B9A" w:rsidRPr="00E721DB" w:rsidRDefault="00653B9A" w:rsidP="00363F28">
            <w:pPr>
              <w:jc w:val="both"/>
              <w:rPr>
                <w:b/>
                <w:sz w:val="20"/>
                <w:szCs w:val="20"/>
                <w:lang w:eastAsia="sk-SK"/>
              </w:rPr>
            </w:pPr>
            <w:r w:rsidRPr="00E721DB">
              <w:rPr>
                <w:b/>
                <w:sz w:val="20"/>
                <w:szCs w:val="20"/>
                <w:lang w:eastAsia="sk-SK"/>
              </w:rPr>
              <w:t>Prijatie materiálu bude mať negatívne, čiastočne zabezpečené vplyvy na rozpočet verejnej správy v kapitole MIRRI SR, ktoré sú v analýze vplyvov na rozpočet kvantifikované na rok 2023 v sume 726 252 eur (nekryté 115 431 eur), na rok 2024 v sume 968 336 eur (nekryté 153 908 eur), na rok 2025 v sume 968 336 eur (nekryté 153 908 eur) a na rok 2026 v sume 969 336 (nekryté 717 552 eur). V bode 2.1.1. analýzy vplyvov na rozpočet predkladateľ uvádza, že financovanie návrhu zákona je nevyhnutné riešiť navýšením limitu výdavkov kapitoly MIRRI SR prostredníctvom kapitoly Všeobecná pokladničná správa.</w:t>
            </w:r>
          </w:p>
          <w:p w14:paraId="3FEF9D38" w14:textId="77777777" w:rsidR="00653B9A" w:rsidRPr="00E721DB" w:rsidRDefault="00653B9A" w:rsidP="00363F28">
            <w:pPr>
              <w:jc w:val="both"/>
              <w:rPr>
                <w:b/>
                <w:sz w:val="20"/>
                <w:szCs w:val="20"/>
                <w:lang w:eastAsia="sk-SK"/>
              </w:rPr>
            </w:pPr>
          </w:p>
          <w:p w14:paraId="666F417C" w14:textId="77777777" w:rsidR="00653B9A" w:rsidRPr="00E721DB" w:rsidRDefault="00653B9A" w:rsidP="00363F28">
            <w:pPr>
              <w:jc w:val="both"/>
              <w:rPr>
                <w:b/>
                <w:sz w:val="20"/>
                <w:szCs w:val="20"/>
                <w:lang w:eastAsia="sk-SK"/>
              </w:rPr>
            </w:pPr>
            <w:r w:rsidRPr="00E721DB">
              <w:rPr>
                <w:b/>
                <w:sz w:val="20"/>
                <w:szCs w:val="20"/>
                <w:lang w:eastAsia="sk-SK"/>
              </w:rPr>
              <w:t>S materiálom, z ktorého vyplýva nekrytý vplyv na rozpočet verejnej správy, Komisia nesúhlasí. Komisia upozorňuje, že návrh rozpočtu verejnej správy na roky 2023 až 2025 bol schválený vládou 14.10.2022, pričom na uvedený účel nie sú rozpočtované prostriedky v rámci kapitoly Všeobecná pokladničná správa. Všetky negatívne vplyvy súvisiace s realizáciou návrhu zákona žiada Komisia zabezpečiť v rámci stanovených limitov výdavkov a počtu zamestnancov dotknutých subjektov verejnej správy/kapitol štátneho rozpočtu na príslušný rozpočtový rok, bez ďalších dodatočných požiadaviek na rozpočet.</w:t>
            </w:r>
          </w:p>
          <w:p w14:paraId="55303193" w14:textId="77777777" w:rsidR="00653B9A" w:rsidRPr="00E721DB" w:rsidRDefault="00653B9A" w:rsidP="00363F28">
            <w:pPr>
              <w:jc w:val="both"/>
              <w:rPr>
                <w:sz w:val="20"/>
                <w:szCs w:val="20"/>
                <w:lang w:eastAsia="sk-SK"/>
              </w:rPr>
            </w:pPr>
          </w:p>
          <w:p w14:paraId="34EAB416" w14:textId="77777777" w:rsidR="00653B9A" w:rsidRPr="00E721DB" w:rsidRDefault="00653B9A" w:rsidP="00363F28">
            <w:pPr>
              <w:jc w:val="both"/>
              <w:rPr>
                <w:sz w:val="20"/>
                <w:szCs w:val="20"/>
                <w:lang w:eastAsia="sk-SK"/>
              </w:rPr>
            </w:pPr>
            <w:r w:rsidRPr="00E721DB">
              <w:rPr>
                <w:sz w:val="20"/>
                <w:szCs w:val="20"/>
                <w:lang w:eastAsia="sk-SK"/>
              </w:rPr>
              <w:t>Predkladateľ trvá na uvedenom vplyve na rozpočet, ktorý je potrebný pre zabezpečenie plnenia povinností vyplývajúcich z návrhu. Bez dodatočných nákladov na štátny rozpočet by nebolo možné obsadiť požadované pracovné miesta zamestnancami s potrebnou odbornou kvalifikáciou s ohľadom na aktuálny pracovný trh.</w:t>
            </w:r>
          </w:p>
          <w:p w14:paraId="2B0B881C" w14:textId="77777777" w:rsidR="00653B9A" w:rsidRPr="00E721DB" w:rsidRDefault="00653B9A" w:rsidP="00363F28">
            <w:pPr>
              <w:jc w:val="both"/>
              <w:rPr>
                <w:sz w:val="20"/>
                <w:szCs w:val="20"/>
                <w:lang w:eastAsia="sk-SK"/>
              </w:rPr>
            </w:pPr>
          </w:p>
          <w:p w14:paraId="74716506" w14:textId="77777777" w:rsidR="00653B9A" w:rsidRPr="00E721DB" w:rsidRDefault="00653B9A" w:rsidP="00363F28">
            <w:pPr>
              <w:jc w:val="both"/>
              <w:rPr>
                <w:b/>
                <w:sz w:val="20"/>
                <w:szCs w:val="20"/>
                <w:lang w:eastAsia="sk-SK"/>
              </w:rPr>
            </w:pPr>
            <w:r w:rsidRPr="00E721DB">
              <w:rPr>
                <w:b/>
                <w:sz w:val="20"/>
                <w:szCs w:val="20"/>
                <w:lang w:eastAsia="sk-SK"/>
              </w:rPr>
              <w:t xml:space="preserve">V analýze vplyvov na rozpočet v tab. č.1 žiada Komisia doplniť v riadku „Financovanie zabezpečené v rozpočte“ príslušné sumy výdavkov. Zároveň je potrebné upraviť údaje v sumárnych riadkoch; Komisia upozorňuje, že sumár výdavkov uvedených v riadkoch „Financovanie zabezpečené v rozpočte „ a „Rozpočtovo nekrytý vplyv“ nie je zhodný s výdavkami verejnej správy celkom. </w:t>
            </w:r>
          </w:p>
          <w:p w14:paraId="3D3D82A1" w14:textId="77777777" w:rsidR="00653B9A" w:rsidRPr="00E721DB" w:rsidRDefault="00653B9A" w:rsidP="00363F28">
            <w:pPr>
              <w:jc w:val="both"/>
              <w:rPr>
                <w:b/>
                <w:sz w:val="20"/>
                <w:szCs w:val="20"/>
                <w:lang w:eastAsia="sk-SK"/>
              </w:rPr>
            </w:pPr>
          </w:p>
          <w:p w14:paraId="7BC9203E" w14:textId="77777777" w:rsidR="00653B9A" w:rsidRPr="00E721DB" w:rsidRDefault="00653B9A" w:rsidP="00363F28">
            <w:pPr>
              <w:jc w:val="both"/>
              <w:rPr>
                <w:b/>
                <w:sz w:val="20"/>
                <w:szCs w:val="20"/>
                <w:lang w:eastAsia="sk-SK"/>
              </w:rPr>
            </w:pPr>
            <w:r w:rsidRPr="00E721DB">
              <w:rPr>
                <w:b/>
                <w:sz w:val="20"/>
                <w:szCs w:val="20"/>
                <w:lang w:eastAsia="sk-SK"/>
              </w:rPr>
              <w:t xml:space="preserve">V tab. č. 1 v časti týkajúcej sa vplyvu na mzdové výdavky je potrebné upraviť údaje v riadku „-vplyv na ŠR“, keďže celý predpokladaný objem mzdových výdavkov je vplyvom na ŠR. Nadväzne je potrebné upraviť aj údaje v tab. č. 5. </w:t>
            </w:r>
          </w:p>
          <w:p w14:paraId="6DE6EED8" w14:textId="77777777" w:rsidR="00653B9A" w:rsidRPr="00E721DB" w:rsidRDefault="00653B9A" w:rsidP="00363F28">
            <w:pPr>
              <w:jc w:val="both"/>
              <w:rPr>
                <w:b/>
                <w:sz w:val="20"/>
                <w:szCs w:val="20"/>
                <w:lang w:eastAsia="sk-SK"/>
              </w:rPr>
            </w:pPr>
            <w:r w:rsidRPr="00E721DB">
              <w:rPr>
                <w:b/>
                <w:sz w:val="20"/>
                <w:szCs w:val="20"/>
                <w:lang w:eastAsia="sk-SK"/>
              </w:rPr>
              <w:t xml:space="preserve">Zároveň Komisia žiada doplniť rozdelenie vplyvu mzdových výdavkov zo ŠR na rozpočtové prostriedky a EÚ zdroje (POO), aby bolo jednoznačné, aká časť mzdových výdavkov by mala byť  hradená zo štátneho rozpočtu a  aká prostredníctvom plánu obnovy a odolnosti. </w:t>
            </w:r>
          </w:p>
          <w:p w14:paraId="4F65CC47" w14:textId="77777777" w:rsidR="00653B9A" w:rsidRPr="00E721DB" w:rsidRDefault="00653B9A" w:rsidP="00363F28">
            <w:pPr>
              <w:jc w:val="both"/>
              <w:rPr>
                <w:b/>
                <w:sz w:val="20"/>
                <w:szCs w:val="20"/>
                <w:lang w:eastAsia="sk-SK"/>
              </w:rPr>
            </w:pPr>
          </w:p>
          <w:p w14:paraId="0F5AAAB8" w14:textId="77777777" w:rsidR="00653B9A" w:rsidRPr="00E721DB" w:rsidRDefault="00653B9A" w:rsidP="00363F28">
            <w:pPr>
              <w:jc w:val="both"/>
              <w:rPr>
                <w:b/>
                <w:sz w:val="20"/>
                <w:szCs w:val="20"/>
                <w:lang w:eastAsia="sk-SK"/>
              </w:rPr>
            </w:pPr>
            <w:r w:rsidRPr="00E721DB">
              <w:rPr>
                <w:b/>
                <w:sz w:val="20"/>
                <w:szCs w:val="20"/>
                <w:lang w:eastAsia="sk-SK"/>
              </w:rPr>
              <w:t>Do analýzy vplyvov na rozpočet žiada Komisia doplniť informácie k počtu a mesačným mzdám zamestnancov pre kybernetickú bezpečnosť. Z podkladov nie je zrejmé, na základe akých skutočností bol stanovený počet potrebných kybernetických špecialistov na 18 osôb a kde budú pôsobiť. Taktiež žiada Komisia doplniť zdroje potvrdzujúce relevantnosť mesačnej mzdy týchto zamestnancov.</w:t>
            </w:r>
          </w:p>
          <w:p w14:paraId="2454100A" w14:textId="77777777" w:rsidR="00653B9A" w:rsidRPr="00E721DB" w:rsidRDefault="00653B9A" w:rsidP="00363F28">
            <w:pPr>
              <w:jc w:val="both"/>
              <w:rPr>
                <w:sz w:val="20"/>
                <w:szCs w:val="20"/>
                <w:lang w:eastAsia="sk-SK"/>
              </w:rPr>
            </w:pPr>
          </w:p>
          <w:p w14:paraId="47F81624" w14:textId="77777777" w:rsidR="00653B9A" w:rsidRPr="00E721DB" w:rsidRDefault="00653B9A" w:rsidP="00363F28">
            <w:pPr>
              <w:jc w:val="both"/>
              <w:rPr>
                <w:sz w:val="20"/>
                <w:szCs w:val="20"/>
                <w:lang w:eastAsia="sk-SK"/>
              </w:rPr>
            </w:pPr>
            <w:r w:rsidRPr="00E721DB">
              <w:rPr>
                <w:sz w:val="20"/>
                <w:szCs w:val="20"/>
                <w:lang w:eastAsia="sk-SK"/>
              </w:rPr>
              <w:t>Analýza vplyvov na rozpočet bola upravená a doplnená v zmysle Stanoviska.</w:t>
            </w:r>
          </w:p>
          <w:p w14:paraId="137639FF" w14:textId="77777777" w:rsidR="00653B9A" w:rsidRPr="00B043B4" w:rsidRDefault="00653B9A" w:rsidP="00363F28">
            <w:pPr>
              <w:rPr>
                <w:b/>
                <w:sz w:val="20"/>
                <w:szCs w:val="20"/>
                <w:lang w:eastAsia="sk-SK"/>
              </w:rPr>
            </w:pPr>
          </w:p>
        </w:tc>
      </w:tr>
      <w:tr w:rsidR="00653B9A" w:rsidRPr="00B043B4" w14:paraId="5024CC48" w14:textId="77777777" w:rsidTr="00363F2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63EBEA7" w14:textId="77777777" w:rsidR="00653B9A" w:rsidRPr="00B043B4" w:rsidRDefault="00653B9A" w:rsidP="00730DCA">
            <w:pPr>
              <w:numPr>
                <w:ilvl w:val="0"/>
                <w:numId w:val="2"/>
              </w:numPr>
              <w:ind w:left="450" w:hanging="425"/>
              <w:contextualSpacing/>
              <w:jc w:val="both"/>
              <w:rPr>
                <w:rFonts w:eastAsia="Calibri"/>
                <w:b/>
              </w:rPr>
            </w:pPr>
            <w:r w:rsidRPr="00B043B4">
              <w:rPr>
                <w:rFonts w:eastAsia="Calibri"/>
                <w:b/>
              </w:rPr>
              <w:t xml:space="preserve">Stanovisko Komisie na posudzovanie vybraných vplyvov zo záverečného posúdenia č. </w:t>
            </w:r>
            <w:r>
              <w:rPr>
                <w:rFonts w:eastAsia="Calibri"/>
                <w:b/>
              </w:rPr>
              <w:t>044</w:t>
            </w:r>
            <w:r w:rsidRPr="00B043B4">
              <w:rPr>
                <w:rFonts w:eastAsia="Calibri"/>
              </w:rPr>
              <w:t xml:space="preserve"> (v prípade, ak sa uskutočnilo v zmysle bodu 9.1. Jednotnej metodiky) </w:t>
            </w:r>
          </w:p>
        </w:tc>
      </w:tr>
      <w:tr w:rsidR="00653B9A" w:rsidRPr="00B043B4" w14:paraId="6FB67FC0" w14:textId="77777777" w:rsidTr="00363F28">
        <w:tblPrEx>
          <w:tblBorders>
            <w:insideH w:val="single" w:sz="4" w:space="0" w:color="FFFFFF"/>
            <w:insideV w:val="single" w:sz="4" w:space="0" w:color="FFFFFF"/>
          </w:tblBorders>
        </w:tblPrEx>
        <w:tc>
          <w:tcPr>
            <w:tcW w:w="9176" w:type="dxa"/>
            <w:shd w:val="clear" w:color="auto" w:fill="FFFFFF"/>
          </w:tcPr>
          <w:p w14:paraId="2EBDC82A" w14:textId="77777777" w:rsidR="00653B9A" w:rsidRPr="00B043B4" w:rsidRDefault="00653B9A" w:rsidP="00363F28">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53B9A" w:rsidRPr="00B043B4" w14:paraId="5B595A1A" w14:textId="77777777" w:rsidTr="00363F28">
              <w:trPr>
                <w:trHeight w:val="396"/>
              </w:trPr>
              <w:tc>
                <w:tcPr>
                  <w:tcW w:w="2552" w:type="dxa"/>
                </w:tcPr>
                <w:p w14:paraId="41B4BD36" w14:textId="77777777" w:rsidR="00653B9A" w:rsidRPr="00B043B4" w:rsidRDefault="00193FDA" w:rsidP="00363F28">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Pr>
                      <w:b/>
                      <w:sz w:val="20"/>
                      <w:szCs w:val="20"/>
                      <w:lang w:eastAsia="sk-SK"/>
                    </w:rPr>
                    <w:t xml:space="preserve">   </w:t>
                  </w:r>
                  <w:r w:rsidR="00653B9A" w:rsidRPr="00B043B4">
                    <w:rPr>
                      <w:b/>
                      <w:sz w:val="20"/>
                      <w:szCs w:val="20"/>
                      <w:lang w:eastAsia="sk-SK"/>
                    </w:rPr>
                    <w:t xml:space="preserve">Súhlasné </w:t>
                  </w:r>
                </w:p>
              </w:tc>
              <w:tc>
                <w:tcPr>
                  <w:tcW w:w="3827" w:type="dxa"/>
                </w:tcPr>
                <w:p w14:paraId="4DCBA52C" w14:textId="77777777" w:rsidR="00653B9A" w:rsidRPr="00B043B4" w:rsidRDefault="00193FDA" w:rsidP="00363F28">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Pr>
                      <w:b/>
                      <w:sz w:val="20"/>
                      <w:szCs w:val="20"/>
                      <w:lang w:eastAsia="sk-SK"/>
                    </w:rPr>
                    <w:t xml:space="preserve">  </w:t>
                  </w:r>
                  <w:r w:rsidR="00653B9A" w:rsidRPr="00B043B4">
                    <w:rPr>
                      <w:b/>
                      <w:sz w:val="20"/>
                      <w:szCs w:val="20"/>
                      <w:lang w:eastAsia="sk-SK"/>
                    </w:rPr>
                    <w:t>Súhlasné s  návrhom na dopracovanie</w:t>
                  </w:r>
                </w:p>
              </w:tc>
              <w:tc>
                <w:tcPr>
                  <w:tcW w:w="2534" w:type="dxa"/>
                </w:tcPr>
                <w:p w14:paraId="188C59AF" w14:textId="77777777" w:rsidR="00653B9A" w:rsidRPr="00B043B4" w:rsidRDefault="00193FDA" w:rsidP="00363F28">
                  <w:pPr>
                    <w:ind w:right="459"/>
                    <w:rPr>
                      <w:b/>
                      <w:sz w:val="20"/>
                      <w:szCs w:val="20"/>
                      <w:lang w:eastAsia="sk-SK"/>
                    </w:rPr>
                  </w:pPr>
                  <w:sdt>
                    <w:sdtPr>
                      <w:rPr>
                        <w:b/>
                        <w:sz w:val="20"/>
                        <w:szCs w:val="20"/>
                        <w:lang w:eastAsia="sk-SK"/>
                      </w:rPr>
                      <w:id w:val="-361740452"/>
                      <w14:checkbox>
                        <w14:checked w14:val="1"/>
                        <w14:checkedState w14:val="2612" w14:font="MS Gothic"/>
                        <w14:uncheckedState w14:val="2610" w14:font="MS Gothic"/>
                      </w14:checkbox>
                    </w:sdtPr>
                    <w:sdtEndPr/>
                    <w:sdtContent>
                      <w:r w:rsidR="00653B9A">
                        <w:rPr>
                          <w:rFonts w:ascii="MS Gothic" w:eastAsia="MS Gothic" w:hAnsi="MS Gothic" w:hint="eastAsia"/>
                          <w:b/>
                          <w:sz w:val="20"/>
                          <w:szCs w:val="20"/>
                          <w:lang w:eastAsia="sk-SK"/>
                        </w:rPr>
                        <w:t>☒</w:t>
                      </w:r>
                    </w:sdtContent>
                  </w:sdt>
                  <w:r w:rsidR="00653B9A">
                    <w:rPr>
                      <w:b/>
                      <w:sz w:val="20"/>
                      <w:szCs w:val="20"/>
                      <w:lang w:eastAsia="sk-SK"/>
                    </w:rPr>
                    <w:t xml:space="preserve">  </w:t>
                  </w:r>
                  <w:r w:rsidR="00653B9A" w:rsidRPr="00B043B4">
                    <w:rPr>
                      <w:b/>
                      <w:sz w:val="20"/>
                      <w:szCs w:val="20"/>
                      <w:lang w:eastAsia="sk-SK"/>
                    </w:rPr>
                    <w:t>Nesúhlasné</w:t>
                  </w:r>
                </w:p>
              </w:tc>
            </w:tr>
          </w:tbl>
          <w:p w14:paraId="0DE274E2" w14:textId="77777777" w:rsidR="00653B9A" w:rsidRPr="00B043B4" w:rsidRDefault="00653B9A" w:rsidP="00363F28">
            <w:pPr>
              <w:jc w:val="both"/>
              <w:rPr>
                <w:b/>
                <w:sz w:val="20"/>
                <w:szCs w:val="20"/>
                <w:lang w:eastAsia="sk-SK"/>
              </w:rPr>
            </w:pPr>
            <w:r w:rsidRPr="00B043B4">
              <w:rPr>
                <w:b/>
                <w:sz w:val="20"/>
                <w:szCs w:val="20"/>
                <w:lang w:eastAsia="sk-SK"/>
              </w:rPr>
              <w:t>Uveďte pripomienky zo stanoviska Komisie z časti II. spolu s Vaším vyhodnotením:</w:t>
            </w:r>
          </w:p>
          <w:p w14:paraId="43AAC8FC" w14:textId="77777777" w:rsidR="00653B9A" w:rsidRPr="008E0A83" w:rsidRDefault="00653B9A" w:rsidP="00363F28">
            <w:pPr>
              <w:jc w:val="both"/>
              <w:rPr>
                <w:b/>
                <w:sz w:val="20"/>
                <w:szCs w:val="20"/>
                <w:lang w:eastAsia="sk-SK"/>
              </w:rPr>
            </w:pPr>
            <w:r w:rsidRPr="008E0A83">
              <w:rPr>
                <w:b/>
                <w:sz w:val="20"/>
                <w:szCs w:val="20"/>
                <w:lang w:eastAsia="sk-SK"/>
              </w:rPr>
              <w:t>K vplyvom na rozpočet verejnej správy</w:t>
            </w:r>
          </w:p>
          <w:p w14:paraId="09ED3EF2" w14:textId="77777777" w:rsidR="00653B9A" w:rsidRPr="008E0A83" w:rsidRDefault="00653B9A" w:rsidP="00363F28">
            <w:pPr>
              <w:jc w:val="both"/>
              <w:rPr>
                <w:b/>
                <w:sz w:val="20"/>
                <w:szCs w:val="20"/>
                <w:lang w:eastAsia="sk-SK"/>
              </w:rPr>
            </w:pPr>
            <w:r w:rsidRPr="008E0A83">
              <w:rPr>
                <w:b/>
                <w:sz w:val="20"/>
                <w:szCs w:val="20"/>
                <w:lang w:eastAsia="sk-SK"/>
              </w:rPr>
              <w:t>Cieľom návrhu zákona je zabezpečiť úpravy a doplnenia, ktoré vyplynuli z aplikačnej praxe a reflektovať na požiadavky vyplývajúce z Národnej koncepcie informatizácie verejnej správy, ktorá bola schválená UV SR č. 763/2021 a tiež vymedziť kompetencie vládnej jednotky CSIRT a s tým súvisiacu úpravu vzťahov medzi zákonom o ITVS a zákonom o kybernetickej bezpečnosti.</w:t>
            </w:r>
          </w:p>
          <w:p w14:paraId="6D9483C2" w14:textId="77777777" w:rsidR="00653B9A" w:rsidRPr="008E0A83" w:rsidRDefault="00653B9A" w:rsidP="00363F28">
            <w:pPr>
              <w:jc w:val="both"/>
              <w:rPr>
                <w:b/>
                <w:sz w:val="20"/>
                <w:szCs w:val="20"/>
                <w:lang w:eastAsia="sk-SK"/>
              </w:rPr>
            </w:pPr>
          </w:p>
          <w:p w14:paraId="758F8C01" w14:textId="77777777" w:rsidR="00653B9A" w:rsidRDefault="00653B9A" w:rsidP="00363F28">
            <w:pPr>
              <w:jc w:val="both"/>
              <w:rPr>
                <w:b/>
                <w:sz w:val="20"/>
                <w:szCs w:val="20"/>
                <w:lang w:eastAsia="sk-SK"/>
              </w:rPr>
            </w:pPr>
            <w:r w:rsidRPr="008E0A83">
              <w:rPr>
                <w:b/>
                <w:sz w:val="20"/>
                <w:szCs w:val="20"/>
                <w:lang w:eastAsia="sk-SK"/>
              </w:rPr>
              <w:t>Prijatie materiálu bude mať negatívne, čiastočne zabezpečené vplyvy na RVS:</w:t>
            </w:r>
          </w:p>
          <w:p w14:paraId="1EFAFD2C" w14:textId="77777777" w:rsidR="00653B9A" w:rsidRPr="008E0A83" w:rsidRDefault="00653B9A" w:rsidP="00363F28">
            <w:pPr>
              <w:jc w:val="both"/>
              <w:rPr>
                <w:b/>
                <w:sz w:val="20"/>
                <w:szCs w:val="20"/>
                <w:lang w:eastAsia="sk-SK"/>
              </w:rPr>
            </w:pPr>
          </w:p>
          <w:tbl>
            <w:tblPr>
              <w:tblW w:w="7792" w:type="dxa"/>
              <w:tblLayout w:type="fixed"/>
              <w:tblCellMar>
                <w:left w:w="0" w:type="dxa"/>
                <w:right w:w="0" w:type="dxa"/>
              </w:tblCellMar>
              <w:tblLook w:val="04A0" w:firstRow="1" w:lastRow="0" w:firstColumn="1" w:lastColumn="0" w:noHBand="0" w:noVBand="1"/>
            </w:tblPr>
            <w:tblGrid>
              <w:gridCol w:w="3566"/>
              <w:gridCol w:w="824"/>
              <w:gridCol w:w="1134"/>
              <w:gridCol w:w="1134"/>
              <w:gridCol w:w="1134"/>
            </w:tblGrid>
            <w:tr w:rsidR="00653B9A" w:rsidRPr="00CB39E1" w14:paraId="30515031"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CF4FBD"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 </w:t>
                  </w:r>
                </w:p>
              </w:tc>
              <w:tc>
                <w:tcPr>
                  <w:tcW w:w="82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32B577"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2023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686BB9"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2024</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F97BB6"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2025</w:t>
                  </w:r>
                </w:p>
              </w:tc>
              <w:tc>
                <w:tcPr>
                  <w:tcW w:w="1134" w:type="dxa"/>
                  <w:tcBorders>
                    <w:top w:val="nil"/>
                    <w:left w:val="nil"/>
                    <w:bottom w:val="single" w:sz="8" w:space="0" w:color="auto"/>
                    <w:right w:val="nil"/>
                  </w:tcBorders>
                  <w:tcMar>
                    <w:top w:w="0" w:type="dxa"/>
                    <w:left w:w="70" w:type="dxa"/>
                    <w:bottom w:w="0" w:type="dxa"/>
                    <w:right w:w="70" w:type="dxa"/>
                  </w:tcMar>
                  <w:vAlign w:val="center"/>
                  <w:hideMark/>
                </w:tcPr>
                <w:p w14:paraId="1B0BD75A"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2026</w:t>
                  </w:r>
                </w:p>
              </w:tc>
            </w:tr>
            <w:tr w:rsidR="00653B9A" w:rsidRPr="00CB39E1" w14:paraId="452169E4"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7E3FFE"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Výdavky verejnej správy celkom</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69C519"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329 720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BB110C"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1 177 466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89BF58"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1 177 466</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027E5F7A"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1 177 466</w:t>
                  </w:r>
                </w:p>
              </w:tc>
            </w:tr>
            <w:tr w:rsidR="00653B9A" w:rsidRPr="00CB39E1" w14:paraId="625F0581"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E82DDE"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v tom: MIRRI SR spolu</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34668E"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218 993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4F254F"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911 722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572BBA"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911 722</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7E356B36"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911 722</w:t>
                  </w:r>
                </w:p>
              </w:tc>
            </w:tr>
            <w:tr w:rsidR="00653B9A" w:rsidRPr="00CB39E1" w14:paraId="0D9FC458"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630EAF"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           MIRRI nekryté</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375432"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A5EF7C"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536 307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E14269"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536 307</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12BD923C"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911 722</w:t>
                  </w:r>
                </w:p>
              </w:tc>
            </w:tr>
            <w:tr w:rsidR="00653B9A" w:rsidRPr="00CB39E1" w14:paraId="08C204C6"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3C0E74"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           Počet zamestnancov MIRRI SR</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03519B"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5E7C81"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10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DB287F"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10</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0FAD5C7E"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17</w:t>
                  </w:r>
                </w:p>
              </w:tc>
            </w:tr>
            <w:tr w:rsidR="00653B9A" w:rsidRPr="00CB39E1" w14:paraId="66D86EC1"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3DDFD9"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           MD SR spolu</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C138FC"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110 727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B3FB62"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265 744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BF9E4A"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265 744</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562865DB"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265 744</w:t>
                  </w:r>
                </w:p>
              </w:tc>
            </w:tr>
            <w:tr w:rsidR="00653B9A" w:rsidRPr="00CB39E1" w14:paraId="15E0D40D"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1DC70B"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           MD SR nekryté</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69BE2C"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110 727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B17B44"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265 744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D2E560"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265 744</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74B66F82"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265 744</w:t>
                  </w:r>
                </w:p>
              </w:tc>
            </w:tr>
            <w:tr w:rsidR="00653B9A" w:rsidRPr="00CB39E1" w14:paraId="72666CAE"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33BA15"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           Počet zamestnancov MD SR</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769CC7"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6986E4"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689166"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6</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129ED537" w14:textId="77777777" w:rsidR="00653B9A" w:rsidRPr="00CB39E1" w:rsidRDefault="00653B9A" w:rsidP="00363F28">
                  <w:pPr>
                    <w:jc w:val="both"/>
                    <w:rPr>
                      <w:rFonts w:ascii="Arial" w:hAnsi="Arial" w:cs="Arial"/>
                      <w:bCs/>
                      <w:sz w:val="20"/>
                      <w:szCs w:val="20"/>
                    </w:rPr>
                  </w:pPr>
                  <w:r w:rsidRPr="00CB39E1">
                    <w:rPr>
                      <w:rFonts w:ascii="Arial" w:hAnsi="Arial" w:cs="Arial"/>
                      <w:bCs/>
                      <w:sz w:val="20"/>
                      <w:szCs w:val="20"/>
                    </w:rPr>
                    <w:t>6</w:t>
                  </w:r>
                </w:p>
              </w:tc>
            </w:tr>
            <w:tr w:rsidR="00653B9A" w:rsidRPr="00CB39E1" w14:paraId="53FABB9A" w14:textId="77777777" w:rsidTr="00363F28">
              <w:trPr>
                <w:trHeight w:val="300"/>
              </w:trPr>
              <w:tc>
                <w:tcPr>
                  <w:tcW w:w="3566" w:type="dxa"/>
                  <w:tcBorders>
                    <w:top w:val="nil"/>
                    <w:left w:val="nil"/>
                    <w:bottom w:val="single" w:sz="8" w:space="0" w:color="auto"/>
                    <w:right w:val="nil"/>
                  </w:tcBorders>
                  <w:noWrap/>
                  <w:tcMar>
                    <w:top w:w="0" w:type="dxa"/>
                    <w:left w:w="70" w:type="dxa"/>
                    <w:bottom w:w="0" w:type="dxa"/>
                    <w:right w:w="70" w:type="dxa"/>
                  </w:tcMar>
                  <w:vAlign w:val="bottom"/>
                </w:tcPr>
                <w:p w14:paraId="5E6436E9" w14:textId="77777777" w:rsidR="00653B9A" w:rsidRPr="00CB39E1" w:rsidRDefault="00653B9A" w:rsidP="00363F28">
                  <w:pPr>
                    <w:jc w:val="both"/>
                    <w:rPr>
                      <w:rFonts w:ascii="Arial" w:hAnsi="Arial" w:cs="Arial"/>
                      <w:bCs/>
                      <w:i/>
                      <w:iCs/>
                      <w:sz w:val="20"/>
                      <w:szCs w:val="20"/>
                    </w:rPr>
                  </w:pPr>
                </w:p>
              </w:tc>
              <w:tc>
                <w:tcPr>
                  <w:tcW w:w="824" w:type="dxa"/>
                  <w:tcBorders>
                    <w:top w:val="nil"/>
                    <w:left w:val="nil"/>
                    <w:bottom w:val="single" w:sz="8" w:space="0" w:color="auto"/>
                    <w:right w:val="nil"/>
                  </w:tcBorders>
                  <w:noWrap/>
                  <w:tcMar>
                    <w:top w:w="0" w:type="dxa"/>
                    <w:left w:w="70" w:type="dxa"/>
                    <w:bottom w:w="0" w:type="dxa"/>
                    <w:right w:w="70" w:type="dxa"/>
                  </w:tcMar>
                  <w:vAlign w:val="bottom"/>
                </w:tcPr>
                <w:p w14:paraId="459B7178" w14:textId="77777777" w:rsidR="00653B9A" w:rsidRPr="00CB39E1" w:rsidRDefault="00653B9A" w:rsidP="00363F28">
                  <w:pPr>
                    <w:jc w:val="both"/>
                    <w:rPr>
                      <w:rFonts w:ascii="Arial" w:hAnsi="Arial" w:cs="Arial"/>
                      <w:bCs/>
                      <w:sz w:val="20"/>
                      <w:szCs w:val="20"/>
                    </w:rPr>
                  </w:pPr>
                </w:p>
              </w:tc>
              <w:tc>
                <w:tcPr>
                  <w:tcW w:w="1134" w:type="dxa"/>
                  <w:tcBorders>
                    <w:top w:val="nil"/>
                    <w:left w:val="nil"/>
                    <w:bottom w:val="single" w:sz="8" w:space="0" w:color="auto"/>
                    <w:right w:val="nil"/>
                  </w:tcBorders>
                  <w:noWrap/>
                  <w:tcMar>
                    <w:top w:w="0" w:type="dxa"/>
                    <w:left w:w="70" w:type="dxa"/>
                    <w:bottom w:w="0" w:type="dxa"/>
                    <w:right w:w="70" w:type="dxa"/>
                  </w:tcMar>
                  <w:vAlign w:val="bottom"/>
                </w:tcPr>
                <w:p w14:paraId="775CE6DA" w14:textId="77777777" w:rsidR="00653B9A" w:rsidRPr="00CB39E1" w:rsidRDefault="00653B9A" w:rsidP="00363F28">
                  <w:pPr>
                    <w:jc w:val="both"/>
                    <w:rPr>
                      <w:rFonts w:ascii="Arial" w:hAnsi="Arial" w:cs="Arial"/>
                      <w:bCs/>
                      <w:sz w:val="20"/>
                      <w:szCs w:val="20"/>
                    </w:rPr>
                  </w:pPr>
                </w:p>
              </w:tc>
              <w:tc>
                <w:tcPr>
                  <w:tcW w:w="1134" w:type="dxa"/>
                  <w:tcBorders>
                    <w:top w:val="nil"/>
                    <w:left w:val="nil"/>
                    <w:bottom w:val="single" w:sz="8" w:space="0" w:color="auto"/>
                    <w:right w:val="nil"/>
                  </w:tcBorders>
                  <w:noWrap/>
                  <w:tcMar>
                    <w:top w:w="0" w:type="dxa"/>
                    <w:left w:w="70" w:type="dxa"/>
                    <w:bottom w:w="0" w:type="dxa"/>
                    <w:right w:w="70" w:type="dxa"/>
                  </w:tcMar>
                  <w:vAlign w:val="bottom"/>
                </w:tcPr>
                <w:p w14:paraId="4211265E" w14:textId="77777777" w:rsidR="00653B9A" w:rsidRPr="00CB39E1" w:rsidRDefault="00653B9A" w:rsidP="00363F28">
                  <w:pPr>
                    <w:jc w:val="both"/>
                    <w:rPr>
                      <w:rFonts w:ascii="Arial" w:hAnsi="Arial" w:cs="Arial"/>
                      <w:bCs/>
                      <w:sz w:val="20"/>
                      <w:szCs w:val="20"/>
                    </w:rPr>
                  </w:pPr>
                </w:p>
              </w:tc>
              <w:tc>
                <w:tcPr>
                  <w:tcW w:w="1134" w:type="dxa"/>
                  <w:tcBorders>
                    <w:top w:val="nil"/>
                    <w:left w:val="nil"/>
                    <w:bottom w:val="single" w:sz="8" w:space="0" w:color="auto"/>
                    <w:right w:val="nil"/>
                  </w:tcBorders>
                  <w:noWrap/>
                  <w:tcMar>
                    <w:top w:w="0" w:type="dxa"/>
                    <w:left w:w="70" w:type="dxa"/>
                    <w:bottom w:w="0" w:type="dxa"/>
                    <w:right w:w="70" w:type="dxa"/>
                  </w:tcMar>
                  <w:vAlign w:val="bottom"/>
                </w:tcPr>
                <w:p w14:paraId="26F9B0A7" w14:textId="77777777" w:rsidR="00653B9A" w:rsidRPr="00CB39E1" w:rsidRDefault="00653B9A" w:rsidP="00363F28">
                  <w:pPr>
                    <w:jc w:val="both"/>
                    <w:rPr>
                      <w:rFonts w:ascii="Arial" w:hAnsi="Arial" w:cs="Arial"/>
                      <w:bCs/>
                      <w:sz w:val="20"/>
                      <w:szCs w:val="20"/>
                    </w:rPr>
                  </w:pPr>
                </w:p>
              </w:tc>
            </w:tr>
            <w:tr w:rsidR="00653B9A" w:rsidRPr="00CB39E1" w14:paraId="70A799D8" w14:textId="77777777" w:rsidTr="00363F28">
              <w:trPr>
                <w:trHeight w:val="300"/>
              </w:trPr>
              <w:tc>
                <w:tcPr>
                  <w:tcW w:w="356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FBE0FB"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Rozpočtovo nekrytý vplyv celkom</w:t>
                  </w:r>
                </w:p>
              </w:tc>
              <w:tc>
                <w:tcPr>
                  <w:tcW w:w="8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F2D573"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110 727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F37591"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802 051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F21EE1"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802 051</w:t>
                  </w:r>
                </w:p>
              </w:tc>
              <w:tc>
                <w:tcPr>
                  <w:tcW w:w="1134" w:type="dxa"/>
                  <w:tcBorders>
                    <w:top w:val="nil"/>
                    <w:left w:val="nil"/>
                    <w:bottom w:val="single" w:sz="8" w:space="0" w:color="auto"/>
                    <w:right w:val="nil"/>
                  </w:tcBorders>
                  <w:noWrap/>
                  <w:tcMar>
                    <w:top w:w="0" w:type="dxa"/>
                    <w:left w:w="70" w:type="dxa"/>
                    <w:bottom w:w="0" w:type="dxa"/>
                    <w:right w:w="70" w:type="dxa"/>
                  </w:tcMar>
                  <w:vAlign w:val="bottom"/>
                  <w:hideMark/>
                </w:tcPr>
                <w:p w14:paraId="20978A76" w14:textId="77777777" w:rsidR="00653B9A" w:rsidRPr="00CB39E1" w:rsidRDefault="00653B9A" w:rsidP="00363F28">
                  <w:pPr>
                    <w:jc w:val="both"/>
                    <w:rPr>
                      <w:rFonts w:ascii="Arial" w:hAnsi="Arial" w:cs="Arial"/>
                      <w:b/>
                      <w:bCs/>
                      <w:sz w:val="20"/>
                      <w:szCs w:val="20"/>
                    </w:rPr>
                  </w:pPr>
                  <w:r w:rsidRPr="00CB39E1">
                    <w:rPr>
                      <w:rFonts w:ascii="Arial" w:hAnsi="Arial" w:cs="Arial"/>
                      <w:b/>
                      <w:bCs/>
                      <w:sz w:val="20"/>
                      <w:szCs w:val="20"/>
                    </w:rPr>
                    <w:t>1 177 466</w:t>
                  </w:r>
                </w:p>
              </w:tc>
            </w:tr>
          </w:tbl>
          <w:p w14:paraId="4FF05B62" w14:textId="77777777" w:rsidR="00653B9A" w:rsidRPr="008E0A83" w:rsidRDefault="00653B9A" w:rsidP="00363F28">
            <w:pPr>
              <w:jc w:val="both"/>
              <w:rPr>
                <w:b/>
                <w:sz w:val="20"/>
                <w:szCs w:val="20"/>
                <w:lang w:eastAsia="sk-SK"/>
              </w:rPr>
            </w:pPr>
            <w:r w:rsidRPr="008E0A83">
              <w:rPr>
                <w:b/>
                <w:sz w:val="20"/>
                <w:szCs w:val="20"/>
                <w:lang w:eastAsia="sk-SK"/>
              </w:rPr>
              <w:t xml:space="preserve"> Kvantifikácia vplyvov je v porovnaní s doterajším priebehom legislatívneho procesu zmenená. Kvantifikácia výdavkov kapitoly MIRRI SR na rok 2023 bola upravená, avšak nezohľadňuje navrhovanú účinnosť zákona od 1.8.2023; osobné výdavky je potrebné prepočítať na 5 mesiacov a nadväzne upraviť všetky relevantné tabuľky. Zároveň bola znížená kvantifikácia výdavkov za kapitolu MIRRI SR na roky 2024-2026 v súvislosti s úpravou počtu požadovaných zamestnancov  CSIRT (zníženie o jednu osobu). Do kvantifikácie vplyvov však pribudla nekrytá požiadavka kapitoly MD SR od roku 2023 na zvýšenie počtu zamestnancov  o 6 osôb vrátane zvýšenia osobných výdavkov (na rok 2023 v sume 110 727 eur, od roku 2024 v sume 265 744 eur).</w:t>
            </w:r>
          </w:p>
          <w:p w14:paraId="52EE9F55" w14:textId="77777777" w:rsidR="00653B9A" w:rsidRPr="008E0A83" w:rsidRDefault="00653B9A" w:rsidP="00363F28">
            <w:pPr>
              <w:jc w:val="both"/>
              <w:rPr>
                <w:b/>
                <w:sz w:val="20"/>
                <w:szCs w:val="20"/>
                <w:lang w:eastAsia="sk-SK"/>
              </w:rPr>
            </w:pPr>
          </w:p>
          <w:p w14:paraId="27636CD4" w14:textId="77777777" w:rsidR="00653B9A" w:rsidRPr="008E0A83" w:rsidRDefault="00653B9A" w:rsidP="00363F28">
            <w:pPr>
              <w:jc w:val="both"/>
              <w:rPr>
                <w:b/>
                <w:sz w:val="20"/>
                <w:szCs w:val="20"/>
                <w:lang w:eastAsia="sk-SK"/>
              </w:rPr>
            </w:pPr>
            <w:r w:rsidRPr="008E0A83">
              <w:rPr>
                <w:b/>
                <w:sz w:val="20"/>
                <w:szCs w:val="20"/>
                <w:lang w:eastAsia="sk-SK"/>
              </w:rPr>
              <w:t xml:space="preserve">S materiálom, z ktorého vyplýva nekrytý vplyv na rozpočet verejnej správy, Komisia zásadne nesúhlasí. V rozpočte kapitoly VPS na roky 2023 až 2025 nie sú na uvedený účel alokované prostriedky. Všetky negatívne vplyvy návrhu na rozpočet verejnej správy Komisia žiada zabezpečiť v rámci schválených limitov výdavkov a limitov počtu zamestnancov dotknutých kapitol na príslušný rozpočtový rok. </w:t>
            </w:r>
          </w:p>
          <w:p w14:paraId="2C52B88A" w14:textId="77777777" w:rsidR="00653B9A" w:rsidRPr="008E0A83" w:rsidRDefault="00653B9A" w:rsidP="00363F28">
            <w:pPr>
              <w:jc w:val="both"/>
              <w:rPr>
                <w:b/>
                <w:sz w:val="20"/>
                <w:szCs w:val="20"/>
                <w:lang w:eastAsia="sk-SK"/>
              </w:rPr>
            </w:pPr>
          </w:p>
          <w:p w14:paraId="7C7E5075" w14:textId="77777777" w:rsidR="00653B9A" w:rsidRPr="008E0A83" w:rsidRDefault="00653B9A" w:rsidP="00363F28">
            <w:pPr>
              <w:jc w:val="both"/>
              <w:rPr>
                <w:b/>
                <w:sz w:val="20"/>
                <w:szCs w:val="20"/>
                <w:lang w:eastAsia="sk-SK"/>
              </w:rPr>
            </w:pPr>
            <w:r w:rsidRPr="008E0A83">
              <w:rPr>
                <w:b/>
                <w:sz w:val="20"/>
                <w:szCs w:val="20"/>
                <w:lang w:eastAsia="sk-SK"/>
              </w:rPr>
              <w:t>V súvislosti s požiadavkou na zvýšenie počtu zamestnancov a súvisiacich osobných výdavkov kapitoly MD SR na rok 2023 Komisia upozorňuje, že uvedené je v rozpore s uznesením vlády SR č. 636/2022 bod C.10.  „nepredkladať návrhy legislatívnych predpisov a iných materiálov, ktoré zakladajú nároky na zvýšenie počtu zamestnancov a zvýšenie výdavkov alebo úbytok príjmov schválených v štátnom rozpočte na rok 2023 s rozpočtovými dôsledkami na štátny rozpočet alebo na iné rozpočty tvoriace rozpočet verejnej správy“.</w:t>
            </w:r>
          </w:p>
          <w:p w14:paraId="14E19FE7" w14:textId="77777777" w:rsidR="00653B9A" w:rsidRPr="00E721DB" w:rsidRDefault="00653B9A" w:rsidP="00363F28">
            <w:pPr>
              <w:jc w:val="both"/>
              <w:rPr>
                <w:sz w:val="20"/>
                <w:szCs w:val="20"/>
                <w:lang w:eastAsia="sk-SK"/>
              </w:rPr>
            </w:pPr>
            <w:r w:rsidRPr="00E721DB">
              <w:rPr>
                <w:sz w:val="20"/>
                <w:szCs w:val="20"/>
                <w:lang w:eastAsia="sk-SK"/>
              </w:rPr>
              <w:t>Predkladateľ trvá na uvedenom vplyve na rozpočet, ktorý je potrebný pre zabezpečenie plnenia povinností vyplývajúcich z návrhu. Bez dodatočných nákladov na štátny rozpočet by nebolo možné obsadiť požadované pracovné miesta zamestnancami s potrebnou odbornou kvalifikáciou s ohľadom na aktuálny pracovný trh.</w:t>
            </w:r>
          </w:p>
          <w:p w14:paraId="2EC01D16" w14:textId="77777777" w:rsidR="00653B9A" w:rsidRPr="008E0A83" w:rsidRDefault="00653B9A" w:rsidP="00363F28">
            <w:pPr>
              <w:jc w:val="both"/>
              <w:rPr>
                <w:b/>
                <w:sz w:val="20"/>
                <w:szCs w:val="20"/>
                <w:lang w:eastAsia="sk-SK"/>
              </w:rPr>
            </w:pPr>
          </w:p>
          <w:p w14:paraId="1B28A95D" w14:textId="77777777" w:rsidR="00653B9A" w:rsidRPr="008E0A83" w:rsidRDefault="00653B9A" w:rsidP="00363F28">
            <w:pPr>
              <w:jc w:val="both"/>
              <w:rPr>
                <w:b/>
                <w:sz w:val="20"/>
                <w:szCs w:val="20"/>
                <w:lang w:eastAsia="sk-SK"/>
              </w:rPr>
            </w:pPr>
            <w:r w:rsidRPr="008E0A83">
              <w:rPr>
                <w:b/>
                <w:sz w:val="20"/>
                <w:szCs w:val="20"/>
                <w:lang w:eastAsia="sk-SK"/>
              </w:rPr>
              <w:t xml:space="preserve">Do návrhu bola doplnená rozpočtovo nekrytá požiadavka kapitoly MD SR na zvýšenie počtu zamestnancov a osobných výdavkov, ku ktorej je v analýze vplyvov na rozpočet v bode 2.1.1. uvedené, že „Návrh zákona ustanovuje základ pre určenie pojmov používaných vo Vyhláške č.547/2021 Z. z. o elektronizácii agendy verejnej správy, ktorá upravuje povinnosti správcu informačných systémov s ohľadom na používateľskú skúsenosť elektronických služieb. Zároveň určuje priorizáciu elektronických služieb na základe identifikačných kritérií, ktoré budú určené v štandardoch a predkladanie zámeru vytvorenia alebo zmenu prioritnej elektronickej služby. Spôsob a vzor vytvárania zámeru vytvorenia alebo zlepšenia elektronickej služby bude určený metodických usmernením.“ a v bode 2.2.4. sa uvádza, že „Vzhľadom pre nenaplnenie finančného krytia uvedeného v Analýze vplyvov na rozpočet štátnej správy predkladanej v rámci legislatívneho procesu k Vyhláške č. 547/2021 Z. z. o elektronizácii agendy verejnej správy sa pre Ministerstvo dopravy a výstavby SR určuje výpočet vplyvov  pre právnu úpravu ustanovenú v § 13a „Elektronizácia agendy verejnej správy a zlepšovanie kvality používateľskej skúsenosti“. Vplyvy sú určené na základe vplyvov, ktoré boli vyčíslené, ale neboli uplatnené v rámci legislatívneho procesu v Analýze vplyvov na rozpočet štátnej správy predkladanej k Vyhláške č. 547/2021 Z. z. o elektronizácii agendy verejnej správy.“. K uvedenému Komisia oznamuje, že v doložke vybraných vplyvov k vyhláške MIRRI SR o spôsoboch a postupoch pri elektronizácii agendy verejnej správy predkladateľ deklaroval, že vplyvy na rozpočet verejnej správy sú negatívne, rozpočtovo zabezpečené a k stanovisku MF SR „aby sa predkladateľ jednoznačne vyjadril  k zvýšenému počtu zamestnancov o 84 osôb a k ich osobným výdavkom následne od roku 2023 a doplnil spôsob financovania a zabezpečenie zdrojov financovania pre novovzniknuté interné pracovné miesta na jednotlivých OVM, t. j. po uplynutí financovania zo zdrojov EÚ.“  sa predkladateľ vyjadril s tým, že „financovanie týchto zamestnancov po roku 2023 navrhujeme znova prostredníctvom eurofondov z nového programového obdobia, prípadne ďalších dostupných dotačných nástrojov EÚ.“. Na základe uvedeného Komisia zásadne nesúhlasí s doplnenou požiadavkou zvýšenia osobných výdavkov a počtu zamestnancov pre kapitolu MD SR v súvislosti s vyhláškou o elektronizácii agendy verejnej správy.  </w:t>
            </w:r>
          </w:p>
          <w:p w14:paraId="01F61C7F" w14:textId="77777777" w:rsidR="00653B9A" w:rsidRDefault="00653B9A" w:rsidP="00363F28">
            <w:pPr>
              <w:jc w:val="both"/>
              <w:rPr>
                <w:sz w:val="20"/>
                <w:szCs w:val="20"/>
                <w:lang w:eastAsia="sk-SK"/>
              </w:rPr>
            </w:pPr>
          </w:p>
          <w:p w14:paraId="59AFE118" w14:textId="77777777" w:rsidR="00653B9A" w:rsidRPr="00E721DB" w:rsidRDefault="00653B9A" w:rsidP="00363F28">
            <w:pPr>
              <w:jc w:val="both"/>
              <w:rPr>
                <w:sz w:val="20"/>
                <w:szCs w:val="20"/>
                <w:lang w:eastAsia="sk-SK"/>
              </w:rPr>
            </w:pPr>
            <w:r w:rsidRPr="00E721DB">
              <w:rPr>
                <w:sz w:val="20"/>
                <w:szCs w:val="20"/>
                <w:lang w:eastAsia="sk-SK"/>
              </w:rPr>
              <w:t>Predkladateľ trvá na uvedenom vplyve na rozpočet, ktorý je potrebný pre zabezpečenie plnenia povinností vyplývajúcich z návrhu. Bez dodatočných nákladov na štátny rozpočet by nebolo možné obsadiť požadované pracovné miesta zamestnancami s potrebnou odbornou kvalifikáciou s ohľadom na aktuálny pracovný trh.</w:t>
            </w:r>
          </w:p>
          <w:p w14:paraId="4B5B2EF6" w14:textId="77777777" w:rsidR="00653B9A" w:rsidRPr="008E0A83" w:rsidRDefault="00653B9A" w:rsidP="00363F28">
            <w:pPr>
              <w:jc w:val="both"/>
              <w:rPr>
                <w:b/>
                <w:sz w:val="20"/>
                <w:szCs w:val="20"/>
                <w:lang w:eastAsia="sk-SK"/>
              </w:rPr>
            </w:pPr>
          </w:p>
          <w:p w14:paraId="04256AAA" w14:textId="77777777" w:rsidR="00653B9A" w:rsidRPr="008E0A83" w:rsidRDefault="00653B9A" w:rsidP="00363F28">
            <w:pPr>
              <w:jc w:val="both"/>
              <w:rPr>
                <w:b/>
                <w:sz w:val="20"/>
                <w:szCs w:val="20"/>
                <w:lang w:eastAsia="sk-SK"/>
              </w:rPr>
            </w:pPr>
            <w:r w:rsidRPr="008E0A83">
              <w:rPr>
                <w:b/>
                <w:sz w:val="20"/>
                <w:szCs w:val="20"/>
                <w:lang w:eastAsia="sk-SK"/>
              </w:rPr>
              <w:t>V analýze vplyvov na rozpočet v tab. č. 1 Komisia žiada rozpísať vplyv na počet zamestnancov a vplyv na mzdové výdavky v členení na jednotlivé kapitoly štátneho rozpočtu.</w:t>
            </w:r>
          </w:p>
          <w:p w14:paraId="2A79A053" w14:textId="77777777" w:rsidR="00653B9A" w:rsidRDefault="00653B9A" w:rsidP="00363F28">
            <w:pPr>
              <w:jc w:val="both"/>
              <w:rPr>
                <w:sz w:val="20"/>
                <w:szCs w:val="20"/>
                <w:lang w:eastAsia="sk-SK"/>
              </w:rPr>
            </w:pPr>
          </w:p>
          <w:p w14:paraId="17085C35" w14:textId="77777777" w:rsidR="00653B9A" w:rsidRPr="00A76D37" w:rsidRDefault="00653B9A" w:rsidP="00363F28">
            <w:pPr>
              <w:jc w:val="both"/>
              <w:rPr>
                <w:sz w:val="20"/>
                <w:szCs w:val="20"/>
                <w:lang w:eastAsia="sk-SK"/>
              </w:rPr>
            </w:pPr>
            <w:r w:rsidRPr="00A76D37">
              <w:rPr>
                <w:sz w:val="20"/>
                <w:szCs w:val="20"/>
                <w:lang w:eastAsia="sk-SK"/>
              </w:rPr>
              <w:t>Analýza vplyvov na rozpočet verejnej správy bola upravená</w:t>
            </w:r>
            <w:r>
              <w:rPr>
                <w:sz w:val="20"/>
                <w:szCs w:val="20"/>
                <w:lang w:eastAsia="sk-SK"/>
              </w:rPr>
              <w:t xml:space="preserve"> a vplyvy sú rozpísané v člení podľa kapitol.</w:t>
            </w:r>
          </w:p>
          <w:p w14:paraId="36C61EBE" w14:textId="77777777" w:rsidR="00653B9A" w:rsidRPr="00A76D37" w:rsidRDefault="00653B9A" w:rsidP="00363F28">
            <w:pPr>
              <w:jc w:val="both"/>
              <w:rPr>
                <w:sz w:val="20"/>
                <w:szCs w:val="20"/>
                <w:lang w:eastAsia="sk-SK"/>
              </w:rPr>
            </w:pPr>
          </w:p>
          <w:p w14:paraId="69962F6B" w14:textId="77777777" w:rsidR="00653B9A" w:rsidRPr="008E0A83" w:rsidRDefault="00653B9A" w:rsidP="00363F28">
            <w:pPr>
              <w:jc w:val="both"/>
              <w:rPr>
                <w:b/>
                <w:sz w:val="20"/>
                <w:szCs w:val="20"/>
                <w:lang w:eastAsia="sk-SK"/>
              </w:rPr>
            </w:pPr>
            <w:r w:rsidRPr="008E0A83">
              <w:rPr>
                <w:b/>
                <w:sz w:val="20"/>
                <w:szCs w:val="20"/>
                <w:lang w:eastAsia="sk-SK"/>
              </w:rPr>
              <w:t xml:space="preserve">V tab. č. 1 v časti „Vplyv na mzdové výdavky“ Komisia žiada uviesť sumy mzdových výdavkov, z toho aj vplyv na ŠR a rozčlenenie na rozpočtové prostriedky a EÚ zdroje (POO) v súlade s podrobnými tabuľkami č. 4 až 7. V tab. č. 1 sú uvedené mzdové výdavky (napr. v roku 2023 v sume 411 770 eur) vyššie než výdavky verejnej správy celkom (napr. v roku 2023 v sume 329 720 eur). Suma mzdových výdavkov za EÚ zdroje (POO) predstavuje sumu osobných výdavkov a nie sumu mzdových výdavkov. </w:t>
            </w:r>
          </w:p>
          <w:p w14:paraId="41A61841" w14:textId="77777777" w:rsidR="00653B9A" w:rsidRDefault="00653B9A" w:rsidP="00363F28">
            <w:pPr>
              <w:jc w:val="both"/>
              <w:rPr>
                <w:b/>
                <w:sz w:val="20"/>
                <w:szCs w:val="20"/>
                <w:lang w:eastAsia="sk-SK"/>
              </w:rPr>
            </w:pPr>
          </w:p>
          <w:p w14:paraId="1BFD3D2C" w14:textId="77777777" w:rsidR="00653B9A" w:rsidRPr="00A76D37" w:rsidRDefault="00653B9A" w:rsidP="00363F28">
            <w:pPr>
              <w:jc w:val="both"/>
              <w:rPr>
                <w:sz w:val="20"/>
                <w:szCs w:val="20"/>
                <w:lang w:eastAsia="sk-SK"/>
              </w:rPr>
            </w:pPr>
            <w:r w:rsidRPr="00A76D37">
              <w:rPr>
                <w:sz w:val="20"/>
                <w:szCs w:val="20"/>
                <w:lang w:eastAsia="sk-SK"/>
              </w:rPr>
              <w:t>Tabuľka č. 1 bola upravená.</w:t>
            </w:r>
          </w:p>
          <w:p w14:paraId="5D20865E" w14:textId="77777777" w:rsidR="00653B9A" w:rsidRPr="008E0A83" w:rsidRDefault="00653B9A" w:rsidP="00363F28">
            <w:pPr>
              <w:jc w:val="both"/>
              <w:rPr>
                <w:b/>
                <w:sz w:val="20"/>
                <w:szCs w:val="20"/>
                <w:lang w:eastAsia="sk-SK"/>
              </w:rPr>
            </w:pPr>
          </w:p>
          <w:p w14:paraId="43CFA5A1" w14:textId="77777777" w:rsidR="00653B9A" w:rsidRPr="008E0A83" w:rsidRDefault="00653B9A" w:rsidP="00363F28">
            <w:pPr>
              <w:jc w:val="both"/>
              <w:rPr>
                <w:b/>
                <w:sz w:val="20"/>
                <w:szCs w:val="20"/>
                <w:lang w:eastAsia="sk-SK"/>
              </w:rPr>
            </w:pPr>
            <w:r w:rsidRPr="008E0A83">
              <w:rPr>
                <w:b/>
                <w:sz w:val="20"/>
                <w:szCs w:val="20"/>
                <w:lang w:eastAsia="sk-SK"/>
              </w:rPr>
              <w:t xml:space="preserve">V tab. č. 1 sú uvedené výdavky kapitoly MD SR tak v časti „Financovanie zabezpečené v rozpočte“ ako aj v časti „Rozpočtovo nekrytý vplyv“. </w:t>
            </w:r>
          </w:p>
          <w:p w14:paraId="1011F765" w14:textId="77777777" w:rsidR="00653B9A" w:rsidRDefault="00653B9A" w:rsidP="00363F28">
            <w:pPr>
              <w:jc w:val="both"/>
              <w:rPr>
                <w:sz w:val="20"/>
                <w:szCs w:val="20"/>
                <w:lang w:eastAsia="sk-SK"/>
              </w:rPr>
            </w:pPr>
          </w:p>
          <w:p w14:paraId="1C4C925E" w14:textId="77777777" w:rsidR="00653B9A" w:rsidRPr="003D4DFA" w:rsidRDefault="00653B9A" w:rsidP="00363F28">
            <w:pPr>
              <w:jc w:val="both"/>
              <w:rPr>
                <w:sz w:val="20"/>
                <w:szCs w:val="20"/>
                <w:lang w:eastAsia="sk-SK"/>
              </w:rPr>
            </w:pPr>
            <w:r w:rsidRPr="003D4DFA">
              <w:rPr>
                <w:sz w:val="20"/>
                <w:szCs w:val="20"/>
                <w:lang w:eastAsia="sk-SK"/>
              </w:rPr>
              <w:t>Tabuľka č. 1 bola upravená.</w:t>
            </w:r>
          </w:p>
          <w:p w14:paraId="4097EE39" w14:textId="77777777" w:rsidR="00653B9A" w:rsidRPr="008E0A83" w:rsidRDefault="00653B9A" w:rsidP="00363F28">
            <w:pPr>
              <w:jc w:val="both"/>
              <w:rPr>
                <w:b/>
                <w:sz w:val="20"/>
                <w:szCs w:val="20"/>
                <w:lang w:eastAsia="sk-SK"/>
              </w:rPr>
            </w:pPr>
          </w:p>
          <w:p w14:paraId="1F9AE4E3" w14:textId="77777777" w:rsidR="00653B9A" w:rsidRPr="008E0A83" w:rsidRDefault="00653B9A" w:rsidP="00363F28">
            <w:pPr>
              <w:jc w:val="both"/>
              <w:rPr>
                <w:b/>
                <w:sz w:val="20"/>
                <w:szCs w:val="20"/>
                <w:lang w:eastAsia="sk-SK"/>
              </w:rPr>
            </w:pPr>
            <w:r w:rsidRPr="008E0A83">
              <w:rPr>
                <w:b/>
                <w:sz w:val="20"/>
                <w:szCs w:val="20"/>
                <w:lang w:eastAsia="sk-SK"/>
              </w:rPr>
              <w:t>V tab. č. 1 je potrebné uviesť údaje v časti „Rozpočtovo nekrytý vplyv“ v členení podľa kapitol.</w:t>
            </w:r>
          </w:p>
          <w:p w14:paraId="144BACB0" w14:textId="77777777" w:rsidR="00653B9A" w:rsidRDefault="00653B9A" w:rsidP="00363F28">
            <w:pPr>
              <w:jc w:val="both"/>
              <w:rPr>
                <w:sz w:val="20"/>
                <w:szCs w:val="20"/>
                <w:lang w:eastAsia="sk-SK"/>
              </w:rPr>
            </w:pPr>
          </w:p>
          <w:p w14:paraId="362C95B5" w14:textId="77777777" w:rsidR="00653B9A" w:rsidRPr="003D4DFA" w:rsidRDefault="00653B9A" w:rsidP="00363F28">
            <w:pPr>
              <w:jc w:val="both"/>
              <w:rPr>
                <w:sz w:val="20"/>
                <w:szCs w:val="20"/>
                <w:lang w:eastAsia="sk-SK"/>
              </w:rPr>
            </w:pPr>
            <w:r w:rsidRPr="003D4DFA">
              <w:rPr>
                <w:sz w:val="20"/>
                <w:szCs w:val="20"/>
                <w:lang w:eastAsia="sk-SK"/>
              </w:rPr>
              <w:t>Tabuľka č. 1 bola upravená.</w:t>
            </w:r>
          </w:p>
          <w:p w14:paraId="67781C50" w14:textId="77777777" w:rsidR="00653B9A" w:rsidRPr="008E0A83" w:rsidRDefault="00653B9A" w:rsidP="00363F28">
            <w:pPr>
              <w:jc w:val="both"/>
              <w:rPr>
                <w:b/>
                <w:sz w:val="20"/>
                <w:szCs w:val="20"/>
                <w:lang w:eastAsia="sk-SK"/>
              </w:rPr>
            </w:pPr>
          </w:p>
          <w:p w14:paraId="05E327EC" w14:textId="77777777" w:rsidR="00653B9A" w:rsidRPr="008E0A83" w:rsidRDefault="00653B9A" w:rsidP="00363F28">
            <w:pPr>
              <w:jc w:val="both"/>
              <w:rPr>
                <w:b/>
                <w:sz w:val="20"/>
                <w:szCs w:val="20"/>
                <w:lang w:eastAsia="sk-SK"/>
              </w:rPr>
            </w:pPr>
            <w:r w:rsidRPr="008E0A83">
              <w:rPr>
                <w:b/>
                <w:sz w:val="20"/>
                <w:szCs w:val="20"/>
                <w:lang w:eastAsia="sk-SK"/>
              </w:rPr>
              <w:t>V tab. č. 1 je potrebné doplniť programy v rámci programovej štruktúry dotknutých kapitol.</w:t>
            </w:r>
          </w:p>
          <w:p w14:paraId="767F29B3" w14:textId="77777777" w:rsidR="00653B9A" w:rsidRPr="003D4DFA" w:rsidRDefault="00653B9A" w:rsidP="00363F28">
            <w:pPr>
              <w:jc w:val="both"/>
              <w:rPr>
                <w:sz w:val="20"/>
                <w:szCs w:val="20"/>
                <w:lang w:eastAsia="sk-SK"/>
              </w:rPr>
            </w:pPr>
            <w:r w:rsidRPr="003D4DFA">
              <w:rPr>
                <w:sz w:val="20"/>
                <w:szCs w:val="20"/>
                <w:lang w:eastAsia="sk-SK"/>
              </w:rPr>
              <w:t>Tabuľka č. 1 bola upravená.</w:t>
            </w:r>
          </w:p>
          <w:p w14:paraId="076FB53C" w14:textId="77777777" w:rsidR="00653B9A" w:rsidRPr="008E0A83" w:rsidRDefault="00653B9A" w:rsidP="00363F28">
            <w:pPr>
              <w:jc w:val="both"/>
              <w:rPr>
                <w:b/>
                <w:sz w:val="20"/>
                <w:szCs w:val="20"/>
                <w:lang w:eastAsia="sk-SK"/>
              </w:rPr>
            </w:pPr>
          </w:p>
          <w:p w14:paraId="6388865A" w14:textId="77777777" w:rsidR="00653B9A" w:rsidRPr="008E0A83" w:rsidRDefault="00653B9A" w:rsidP="00363F28">
            <w:pPr>
              <w:jc w:val="both"/>
              <w:rPr>
                <w:b/>
                <w:sz w:val="20"/>
                <w:szCs w:val="20"/>
                <w:lang w:eastAsia="sk-SK"/>
              </w:rPr>
            </w:pPr>
            <w:r w:rsidRPr="008E0A83">
              <w:rPr>
                <w:b/>
                <w:sz w:val="20"/>
                <w:szCs w:val="20"/>
                <w:lang w:eastAsia="sk-SK"/>
              </w:rPr>
              <w:t>V tabuľke č. 5 Komisia žiada upraviť sumu osobných výdavkov v roku 2023 pre kapitolu MD SR (zlý súčet mzdových výdavkov a poistného) ako aj priemerný mzdový výdavok.</w:t>
            </w:r>
          </w:p>
          <w:p w14:paraId="07971672" w14:textId="77777777" w:rsidR="00653B9A" w:rsidRPr="003D4DFA" w:rsidRDefault="00653B9A" w:rsidP="00363F28">
            <w:pPr>
              <w:jc w:val="both"/>
              <w:rPr>
                <w:sz w:val="20"/>
                <w:szCs w:val="20"/>
                <w:lang w:eastAsia="sk-SK"/>
              </w:rPr>
            </w:pPr>
            <w:r>
              <w:rPr>
                <w:sz w:val="20"/>
                <w:szCs w:val="20"/>
                <w:lang w:eastAsia="sk-SK"/>
              </w:rPr>
              <w:t>Dotknutá tabuľka</w:t>
            </w:r>
            <w:r w:rsidRPr="003D4DFA">
              <w:rPr>
                <w:sz w:val="20"/>
                <w:szCs w:val="20"/>
                <w:lang w:eastAsia="sk-SK"/>
              </w:rPr>
              <w:t xml:space="preserve"> bola upravená.</w:t>
            </w:r>
          </w:p>
          <w:p w14:paraId="4A44CE88" w14:textId="77777777" w:rsidR="00653B9A" w:rsidRPr="008E0A83" w:rsidRDefault="00653B9A" w:rsidP="00363F28">
            <w:pPr>
              <w:jc w:val="both"/>
              <w:rPr>
                <w:b/>
                <w:sz w:val="20"/>
                <w:szCs w:val="20"/>
                <w:lang w:eastAsia="sk-SK"/>
              </w:rPr>
            </w:pPr>
          </w:p>
          <w:p w14:paraId="4CB41D4F" w14:textId="77777777" w:rsidR="00653B9A" w:rsidRPr="008E0A83" w:rsidRDefault="00653B9A" w:rsidP="00363F28">
            <w:pPr>
              <w:jc w:val="both"/>
              <w:rPr>
                <w:b/>
                <w:sz w:val="20"/>
                <w:szCs w:val="20"/>
                <w:lang w:eastAsia="sk-SK"/>
              </w:rPr>
            </w:pPr>
            <w:r w:rsidRPr="008E0A83">
              <w:rPr>
                <w:b/>
                <w:sz w:val="20"/>
                <w:szCs w:val="20"/>
                <w:lang w:eastAsia="sk-SK"/>
              </w:rPr>
              <w:t>V nadväznosti na uvedené pripomienky Komisia žiada upraviť analýzu vplyvov na rozpočet a doložku vybraných vplyvov.</w:t>
            </w:r>
          </w:p>
          <w:p w14:paraId="34D53ABD" w14:textId="77777777" w:rsidR="00653B9A" w:rsidRDefault="00653B9A" w:rsidP="00363F28">
            <w:pPr>
              <w:jc w:val="both"/>
              <w:rPr>
                <w:b/>
                <w:sz w:val="20"/>
                <w:szCs w:val="20"/>
                <w:lang w:eastAsia="sk-SK"/>
              </w:rPr>
            </w:pPr>
          </w:p>
          <w:p w14:paraId="733B32BC" w14:textId="77777777" w:rsidR="00653B9A" w:rsidRPr="00A76D37" w:rsidRDefault="00653B9A" w:rsidP="00363F28">
            <w:pPr>
              <w:jc w:val="both"/>
              <w:rPr>
                <w:sz w:val="20"/>
                <w:szCs w:val="20"/>
                <w:lang w:eastAsia="sk-SK"/>
              </w:rPr>
            </w:pPr>
            <w:r w:rsidRPr="00A76D37">
              <w:rPr>
                <w:sz w:val="20"/>
                <w:szCs w:val="20"/>
                <w:lang w:eastAsia="sk-SK"/>
              </w:rPr>
              <w:t>Analýza vplyvov na rozpočet a doložka vybraných vplyvov sú upravené.</w:t>
            </w:r>
          </w:p>
          <w:p w14:paraId="41163A7A" w14:textId="77777777" w:rsidR="00653B9A" w:rsidRDefault="00653B9A" w:rsidP="00363F28">
            <w:pPr>
              <w:jc w:val="both"/>
              <w:rPr>
                <w:b/>
                <w:sz w:val="20"/>
                <w:szCs w:val="20"/>
                <w:lang w:eastAsia="sk-SK"/>
              </w:rPr>
            </w:pPr>
          </w:p>
          <w:p w14:paraId="0CCE2E9E" w14:textId="77777777" w:rsidR="00653B9A" w:rsidRPr="008E0A83" w:rsidRDefault="00653B9A" w:rsidP="00363F28">
            <w:pPr>
              <w:jc w:val="both"/>
              <w:rPr>
                <w:b/>
                <w:sz w:val="20"/>
                <w:szCs w:val="20"/>
                <w:lang w:eastAsia="sk-SK"/>
              </w:rPr>
            </w:pPr>
            <w:r w:rsidRPr="008E0A83">
              <w:rPr>
                <w:b/>
                <w:sz w:val="20"/>
                <w:szCs w:val="20"/>
                <w:lang w:eastAsia="sk-SK"/>
              </w:rPr>
              <w:t>K vplyvom na služby verejnej správy pre občana</w:t>
            </w:r>
          </w:p>
          <w:p w14:paraId="5CDF2423" w14:textId="77777777" w:rsidR="00653B9A" w:rsidRPr="008E0A83" w:rsidRDefault="00653B9A" w:rsidP="00363F28">
            <w:pPr>
              <w:jc w:val="both"/>
              <w:rPr>
                <w:b/>
                <w:sz w:val="20"/>
                <w:szCs w:val="20"/>
                <w:lang w:eastAsia="sk-SK"/>
              </w:rPr>
            </w:pPr>
            <w:r w:rsidRPr="008E0A83">
              <w:rPr>
                <w:b/>
                <w:sz w:val="20"/>
                <w:szCs w:val="20"/>
                <w:lang w:eastAsia="sk-SK"/>
              </w:rPr>
              <w:t>Komisia po preskúmaní predmetného materiálu nesúhlasí s vyznačením žiadneho vplyvu na služby verejnej správy na občana a na procesy služieb vo verejnej správe. Predkladateľovi Komisia navrhuje, aby v doložke vybraných vplyvov vyznačil pozitívny vplyv na služby verejnej správy na občana a zároveň negatívny vplyv na procesy služieb vo verejnej správe.</w:t>
            </w:r>
          </w:p>
          <w:p w14:paraId="777A2A27" w14:textId="77777777" w:rsidR="00653B9A" w:rsidRPr="008E0A83" w:rsidRDefault="00653B9A" w:rsidP="00363F28">
            <w:pPr>
              <w:jc w:val="both"/>
              <w:rPr>
                <w:b/>
                <w:sz w:val="20"/>
                <w:szCs w:val="20"/>
                <w:lang w:eastAsia="sk-SK"/>
              </w:rPr>
            </w:pPr>
            <w:r w:rsidRPr="008E0A83">
              <w:rPr>
                <w:b/>
                <w:sz w:val="20"/>
                <w:szCs w:val="20"/>
                <w:lang w:eastAsia="sk-SK"/>
              </w:rPr>
              <w:t>Odôvodnenie k návrhu na vyznačenie pozitívneho vplyvu na služby verejnej správy na občana :</w:t>
            </w:r>
          </w:p>
          <w:p w14:paraId="24B01966" w14:textId="77777777" w:rsidR="00653B9A" w:rsidRPr="008E0A83" w:rsidRDefault="00653B9A" w:rsidP="00363F28">
            <w:pPr>
              <w:jc w:val="both"/>
              <w:rPr>
                <w:b/>
                <w:sz w:val="20"/>
                <w:szCs w:val="20"/>
                <w:lang w:eastAsia="sk-SK"/>
              </w:rPr>
            </w:pPr>
            <w:r w:rsidRPr="008E0A83">
              <w:rPr>
                <w:b/>
                <w:sz w:val="20"/>
                <w:szCs w:val="20"/>
                <w:lang w:eastAsia="sk-SK"/>
              </w:rPr>
              <w:t xml:space="preserve">Dôvodová správa : </w:t>
            </w:r>
          </w:p>
          <w:p w14:paraId="12CB2205" w14:textId="77777777" w:rsidR="00653B9A" w:rsidRPr="008E0A83" w:rsidRDefault="00653B9A" w:rsidP="00363F28">
            <w:pPr>
              <w:jc w:val="both"/>
              <w:rPr>
                <w:b/>
                <w:sz w:val="20"/>
                <w:szCs w:val="20"/>
                <w:lang w:eastAsia="sk-SK"/>
              </w:rPr>
            </w:pPr>
            <w:r w:rsidRPr="008E0A83">
              <w:rPr>
                <w:b/>
                <w:sz w:val="20"/>
                <w:szCs w:val="20"/>
                <w:lang w:eastAsia="sk-SK"/>
              </w:rPr>
              <w:t>K bodu 10</w:t>
            </w:r>
          </w:p>
          <w:p w14:paraId="15E4C3A1" w14:textId="77777777" w:rsidR="00653B9A" w:rsidRPr="008E0A83" w:rsidRDefault="00653B9A" w:rsidP="00363F28">
            <w:pPr>
              <w:jc w:val="both"/>
              <w:rPr>
                <w:b/>
                <w:sz w:val="20"/>
                <w:szCs w:val="20"/>
                <w:lang w:eastAsia="sk-SK"/>
              </w:rPr>
            </w:pPr>
            <w:r w:rsidRPr="008E0A83">
              <w:rPr>
                <w:b/>
                <w:sz w:val="20"/>
                <w:szCs w:val="20"/>
                <w:lang w:eastAsia="sk-SK"/>
              </w:rPr>
              <w:t>„Cieľom navrhovanej úpravy je upresniť povinnosť sprístupňovať informácie o elektronických službách a informačných technológiách vzhľadom na aplikačnú prax, kedy časť subjektov neaktualizuje informácie a tak dochádza k zverejňovaniu neplatných informácií napríklad na ústrednom portáli verejnej správy, čo môže mať za následok nesprávne informovanie používateľov.“</w:t>
            </w:r>
          </w:p>
          <w:p w14:paraId="0431B89B" w14:textId="77777777" w:rsidR="00653B9A" w:rsidRPr="008E0A83" w:rsidRDefault="00653B9A" w:rsidP="00363F28">
            <w:pPr>
              <w:jc w:val="both"/>
              <w:rPr>
                <w:b/>
                <w:sz w:val="20"/>
                <w:szCs w:val="20"/>
                <w:lang w:eastAsia="sk-SK"/>
              </w:rPr>
            </w:pPr>
          </w:p>
          <w:p w14:paraId="0283BFDE" w14:textId="77777777" w:rsidR="00653B9A" w:rsidRPr="008E0A83" w:rsidRDefault="00653B9A" w:rsidP="00363F28">
            <w:pPr>
              <w:jc w:val="both"/>
              <w:rPr>
                <w:b/>
                <w:sz w:val="20"/>
                <w:szCs w:val="20"/>
                <w:lang w:eastAsia="sk-SK"/>
              </w:rPr>
            </w:pPr>
            <w:r w:rsidRPr="008E0A83">
              <w:rPr>
                <w:b/>
                <w:sz w:val="20"/>
                <w:szCs w:val="20"/>
                <w:lang w:eastAsia="sk-SK"/>
              </w:rPr>
              <w:t>K bodu 11</w:t>
            </w:r>
          </w:p>
          <w:p w14:paraId="13646BE9" w14:textId="77777777" w:rsidR="00653B9A" w:rsidRPr="008E0A83" w:rsidRDefault="00653B9A" w:rsidP="00363F28">
            <w:pPr>
              <w:jc w:val="both"/>
              <w:rPr>
                <w:b/>
                <w:sz w:val="20"/>
                <w:szCs w:val="20"/>
                <w:lang w:eastAsia="sk-SK"/>
              </w:rPr>
            </w:pPr>
            <w:r w:rsidRPr="008E0A83">
              <w:rPr>
                <w:b/>
                <w:sz w:val="20"/>
                <w:szCs w:val="20"/>
                <w:lang w:eastAsia="sk-SK"/>
              </w:rPr>
              <w:t>„Okrem zvýšenia otvorenosti verejnej správy pri využívaní služieb VS verejnosťou aj formou integrácie aplikačných rozhraní je jednotne manažované poskytovanie aplikačných rozhraní pre integráciu verejnej správy potrebné pre naplnenie strategických zámerov budovania multikanálového prostredia (napr. mobilné aplikácie) a aj využívania verejných cloudových služieb pre implementáciu ISVS.“</w:t>
            </w:r>
          </w:p>
          <w:p w14:paraId="0E8C8F55" w14:textId="77777777" w:rsidR="00653B9A" w:rsidRPr="008E0A83" w:rsidRDefault="00653B9A" w:rsidP="00363F28">
            <w:pPr>
              <w:jc w:val="both"/>
              <w:rPr>
                <w:b/>
                <w:sz w:val="20"/>
                <w:szCs w:val="20"/>
                <w:lang w:eastAsia="sk-SK"/>
              </w:rPr>
            </w:pPr>
            <w:r w:rsidRPr="008E0A83">
              <w:rPr>
                <w:b/>
                <w:sz w:val="20"/>
                <w:szCs w:val="20"/>
                <w:lang w:eastAsia="sk-SK"/>
              </w:rPr>
              <w:t>K bodu 20</w:t>
            </w:r>
          </w:p>
          <w:p w14:paraId="41637783" w14:textId="77777777" w:rsidR="00653B9A" w:rsidRPr="008E0A83" w:rsidRDefault="00653B9A" w:rsidP="00363F28">
            <w:pPr>
              <w:jc w:val="both"/>
              <w:rPr>
                <w:b/>
                <w:sz w:val="20"/>
                <w:szCs w:val="20"/>
                <w:lang w:eastAsia="sk-SK"/>
              </w:rPr>
            </w:pPr>
            <w:r w:rsidRPr="008E0A83">
              <w:rPr>
                <w:b/>
                <w:sz w:val="20"/>
                <w:szCs w:val="20"/>
                <w:lang w:eastAsia="sk-SK"/>
              </w:rPr>
              <w:t>„Cieľom navrhovanej právnej úpravy odseku 11 je zabezpečiť plnenie povinnosti uvádzania informácií o elektronických službách v centrálnom metainformačnom systéme, ktorý má byť primárnym zdrojom týchto informácií a má umožniť poskytovanie aktuálnych informácií koncovým používateľom ako aj automatizované využitie a kontrolu v informačných systémoch tretích strán a na ústrednom portáli verejnej správy.“</w:t>
            </w:r>
          </w:p>
          <w:p w14:paraId="1FECA8F2" w14:textId="77777777" w:rsidR="00653B9A" w:rsidRPr="008E0A83" w:rsidRDefault="00653B9A" w:rsidP="00363F28">
            <w:pPr>
              <w:jc w:val="both"/>
              <w:rPr>
                <w:b/>
                <w:sz w:val="20"/>
                <w:szCs w:val="20"/>
                <w:lang w:eastAsia="sk-SK"/>
              </w:rPr>
            </w:pPr>
            <w:r w:rsidRPr="008E0A83">
              <w:rPr>
                <w:b/>
                <w:sz w:val="20"/>
                <w:szCs w:val="20"/>
                <w:lang w:eastAsia="sk-SK"/>
              </w:rPr>
              <w:t xml:space="preserve">„Cieľom navrhovaného odseku 12 je ustanoviť výnimky vo vzťahu k povinnosti predkladať zámer na vytvorenie a prevádzkovanie mobilnej aplikácie. Výnimky sú dvojakej povahy. V prvom rade je táto povinnosť zúžená na mobilné aplikácie, ktoré nie sú určené výlučne zamestnancom. Inak povedané, schvaľovanie zámeru sa má týkať mobilnej aplikácie určenej na použitie vo vzťahoch G2C, G2B a G2G, ale nie G2E. </w:t>
            </w:r>
          </w:p>
          <w:p w14:paraId="551A02E9" w14:textId="77777777" w:rsidR="00653B9A" w:rsidRPr="008E0A83" w:rsidRDefault="00653B9A" w:rsidP="00363F28">
            <w:pPr>
              <w:jc w:val="both"/>
              <w:rPr>
                <w:b/>
                <w:sz w:val="20"/>
                <w:szCs w:val="20"/>
                <w:lang w:eastAsia="sk-SK"/>
              </w:rPr>
            </w:pPr>
          </w:p>
          <w:p w14:paraId="61EE8AEB" w14:textId="77777777" w:rsidR="00653B9A" w:rsidRPr="008E0A83" w:rsidRDefault="00653B9A" w:rsidP="00363F28">
            <w:pPr>
              <w:jc w:val="both"/>
              <w:rPr>
                <w:b/>
                <w:sz w:val="20"/>
                <w:szCs w:val="20"/>
                <w:lang w:eastAsia="sk-SK"/>
              </w:rPr>
            </w:pPr>
            <w:r w:rsidRPr="008E0A83">
              <w:rPr>
                <w:b/>
                <w:sz w:val="20"/>
                <w:szCs w:val="20"/>
                <w:lang w:eastAsia="sk-SK"/>
              </w:rPr>
              <w:t>Vlastný materiál :</w:t>
            </w:r>
          </w:p>
          <w:p w14:paraId="17545741" w14:textId="77777777" w:rsidR="00653B9A" w:rsidRPr="008E0A83" w:rsidRDefault="00653B9A" w:rsidP="00363F28">
            <w:pPr>
              <w:jc w:val="both"/>
              <w:rPr>
                <w:b/>
                <w:sz w:val="20"/>
                <w:szCs w:val="20"/>
                <w:lang w:eastAsia="sk-SK"/>
              </w:rPr>
            </w:pPr>
            <w:r w:rsidRPr="008E0A83">
              <w:rPr>
                <w:b/>
                <w:sz w:val="20"/>
                <w:szCs w:val="20"/>
                <w:lang w:eastAsia="sk-SK"/>
              </w:rPr>
              <w:t>§ 15 sa dopĺňa odsekmi 11 a 12, ktoré znejú:</w:t>
            </w:r>
          </w:p>
          <w:p w14:paraId="19A41216" w14:textId="77777777" w:rsidR="00653B9A" w:rsidRPr="008E0A83" w:rsidRDefault="00653B9A" w:rsidP="00363F28">
            <w:pPr>
              <w:jc w:val="both"/>
              <w:rPr>
                <w:b/>
                <w:sz w:val="20"/>
                <w:szCs w:val="20"/>
                <w:lang w:eastAsia="sk-SK"/>
              </w:rPr>
            </w:pPr>
            <w:r w:rsidRPr="008E0A83">
              <w:rPr>
                <w:b/>
                <w:sz w:val="20"/>
                <w:szCs w:val="20"/>
                <w:lang w:eastAsia="sk-SK"/>
              </w:rPr>
              <w:t>„(11) Správca sprístupní elektronickú službu verejnej správy alebo inú informačnú technológiu verejnej správy na používanie verejnosti až po sprístupnení informácie o elektronickej službe verejnej správy alebo informačnej technológii verejnej správy v centrálnom metainformačnom systéme verejnej správy podľa § 12 ods. 1 písm. b).</w:t>
            </w:r>
          </w:p>
          <w:p w14:paraId="465695AE" w14:textId="77777777" w:rsidR="00653B9A" w:rsidRPr="008E0A83" w:rsidRDefault="00653B9A" w:rsidP="00363F28">
            <w:pPr>
              <w:jc w:val="both"/>
              <w:rPr>
                <w:b/>
                <w:sz w:val="20"/>
                <w:szCs w:val="20"/>
                <w:lang w:eastAsia="sk-SK"/>
              </w:rPr>
            </w:pPr>
          </w:p>
          <w:p w14:paraId="02B91D31" w14:textId="77777777" w:rsidR="00653B9A" w:rsidRPr="008E0A83" w:rsidRDefault="00653B9A" w:rsidP="00363F28">
            <w:pPr>
              <w:jc w:val="both"/>
              <w:rPr>
                <w:b/>
                <w:sz w:val="20"/>
                <w:szCs w:val="20"/>
                <w:lang w:eastAsia="sk-SK"/>
              </w:rPr>
            </w:pPr>
            <w:r w:rsidRPr="008E0A83">
              <w:rPr>
                <w:b/>
                <w:sz w:val="20"/>
                <w:szCs w:val="20"/>
                <w:lang w:eastAsia="sk-SK"/>
              </w:rPr>
              <w:t>Všeobecne :</w:t>
            </w:r>
          </w:p>
          <w:p w14:paraId="12A18046" w14:textId="77777777" w:rsidR="00653B9A" w:rsidRPr="008E0A83" w:rsidRDefault="00653B9A" w:rsidP="00363F28">
            <w:pPr>
              <w:jc w:val="both"/>
              <w:rPr>
                <w:b/>
                <w:sz w:val="20"/>
                <w:szCs w:val="20"/>
                <w:lang w:eastAsia="sk-SK"/>
              </w:rPr>
            </w:pPr>
            <w:r w:rsidRPr="008E0A83">
              <w:rPr>
                <w:b/>
                <w:sz w:val="20"/>
                <w:szCs w:val="20"/>
                <w:lang w:eastAsia="sk-SK"/>
              </w:rPr>
              <w:t xml:space="preserve">Občanom je v kontexte tejto analýzy je fyzická osoba, ktorá nevykonáva podnikateľskú činnosť alebo inú činnosť ako samostatne zárobkovo činná osoba. Službou verejnej správy v kontexte tejto analýzy je potrebné chápať úkony, ktoré sú realizované a poskytované občanom v rámci jednotlivých segmentov verejnej správy. </w:t>
            </w:r>
          </w:p>
          <w:p w14:paraId="58C2BBFF" w14:textId="77777777" w:rsidR="00653B9A" w:rsidRPr="008E0A83" w:rsidRDefault="00653B9A" w:rsidP="00363F28">
            <w:pPr>
              <w:jc w:val="both"/>
              <w:rPr>
                <w:b/>
                <w:sz w:val="20"/>
                <w:szCs w:val="20"/>
                <w:lang w:eastAsia="sk-SK"/>
              </w:rPr>
            </w:pPr>
          </w:p>
          <w:p w14:paraId="41B309D1" w14:textId="77777777" w:rsidR="00653B9A" w:rsidRPr="008E0A83" w:rsidRDefault="00653B9A" w:rsidP="00363F28">
            <w:pPr>
              <w:jc w:val="both"/>
              <w:rPr>
                <w:b/>
                <w:sz w:val="20"/>
                <w:szCs w:val="20"/>
                <w:lang w:eastAsia="sk-SK"/>
              </w:rPr>
            </w:pPr>
            <w:r w:rsidRPr="008E0A83">
              <w:rPr>
                <w:b/>
                <w:sz w:val="20"/>
                <w:szCs w:val="20"/>
                <w:lang w:eastAsia="sk-SK"/>
              </w:rPr>
              <w:t>Na základe vyššie uvedeného Komisia navrhuje predkladateľovi vyznačiť pozitívny vplyv na služby verejnej správy na občana v doložke vybraných vplyvov.</w:t>
            </w:r>
          </w:p>
          <w:p w14:paraId="0C8C6B26" w14:textId="77777777" w:rsidR="00653B9A" w:rsidRDefault="00653B9A" w:rsidP="00363F28">
            <w:pPr>
              <w:jc w:val="both"/>
              <w:rPr>
                <w:b/>
                <w:sz w:val="20"/>
                <w:szCs w:val="20"/>
                <w:lang w:eastAsia="sk-SK"/>
              </w:rPr>
            </w:pPr>
          </w:p>
          <w:p w14:paraId="01F74A94" w14:textId="77777777" w:rsidR="00653B9A" w:rsidRPr="00A76D37" w:rsidRDefault="00653B9A" w:rsidP="00363F28">
            <w:pPr>
              <w:jc w:val="both"/>
              <w:rPr>
                <w:sz w:val="20"/>
                <w:szCs w:val="20"/>
                <w:lang w:eastAsia="sk-SK"/>
              </w:rPr>
            </w:pPr>
            <w:r w:rsidRPr="00A76D37">
              <w:rPr>
                <w:sz w:val="20"/>
                <w:szCs w:val="20"/>
                <w:lang w:eastAsia="sk-SK"/>
              </w:rPr>
              <w:t xml:space="preserve">V doložke vybraných vplyvov bol vyznačený pozitívny vplyv na </w:t>
            </w:r>
            <w:r>
              <w:rPr>
                <w:sz w:val="20"/>
                <w:szCs w:val="20"/>
                <w:lang w:eastAsia="sk-SK"/>
              </w:rPr>
              <w:t xml:space="preserve">služby verejnej správy a na </w:t>
            </w:r>
            <w:r w:rsidRPr="00A76D37">
              <w:rPr>
                <w:sz w:val="20"/>
                <w:szCs w:val="20"/>
                <w:lang w:eastAsia="sk-SK"/>
              </w:rPr>
              <w:t>občana</w:t>
            </w:r>
            <w:r>
              <w:rPr>
                <w:sz w:val="20"/>
                <w:szCs w:val="20"/>
                <w:lang w:eastAsia="sk-SK"/>
              </w:rPr>
              <w:t>.</w:t>
            </w:r>
          </w:p>
          <w:p w14:paraId="06F4C4F8" w14:textId="77777777" w:rsidR="00653B9A" w:rsidRDefault="00653B9A" w:rsidP="00363F28">
            <w:pPr>
              <w:jc w:val="both"/>
              <w:rPr>
                <w:b/>
                <w:sz w:val="20"/>
                <w:szCs w:val="20"/>
                <w:lang w:eastAsia="sk-SK"/>
              </w:rPr>
            </w:pPr>
          </w:p>
          <w:p w14:paraId="77351038" w14:textId="77777777" w:rsidR="00653B9A" w:rsidRPr="008E0A83" w:rsidRDefault="00653B9A" w:rsidP="00363F28">
            <w:pPr>
              <w:jc w:val="both"/>
              <w:rPr>
                <w:b/>
                <w:sz w:val="20"/>
                <w:szCs w:val="20"/>
                <w:lang w:eastAsia="sk-SK"/>
              </w:rPr>
            </w:pPr>
            <w:r>
              <w:rPr>
                <w:b/>
                <w:sz w:val="20"/>
                <w:szCs w:val="20"/>
                <w:lang w:eastAsia="sk-SK"/>
              </w:rPr>
              <w:t>Analýza</w:t>
            </w:r>
          </w:p>
          <w:p w14:paraId="49BC3908" w14:textId="77777777" w:rsidR="00653B9A" w:rsidRPr="008E0A83" w:rsidRDefault="00653B9A" w:rsidP="00363F28">
            <w:pPr>
              <w:jc w:val="both"/>
              <w:rPr>
                <w:b/>
                <w:sz w:val="20"/>
                <w:szCs w:val="20"/>
                <w:lang w:eastAsia="sk-SK"/>
              </w:rPr>
            </w:pPr>
            <w:r w:rsidRPr="008E0A83">
              <w:rPr>
                <w:b/>
                <w:sz w:val="20"/>
                <w:szCs w:val="20"/>
                <w:lang w:eastAsia="sk-SK"/>
              </w:rPr>
              <w:t>Odôvodnenie k návrhu na vyznačenie negatívneho vplyvu na procesy služieb vo verejnej správe:</w:t>
            </w:r>
          </w:p>
          <w:p w14:paraId="54E4CCD5" w14:textId="77777777" w:rsidR="00653B9A" w:rsidRPr="008E0A83" w:rsidRDefault="00653B9A" w:rsidP="00363F28">
            <w:pPr>
              <w:jc w:val="both"/>
              <w:rPr>
                <w:b/>
                <w:sz w:val="20"/>
                <w:szCs w:val="20"/>
                <w:lang w:eastAsia="sk-SK"/>
              </w:rPr>
            </w:pPr>
            <w:r w:rsidRPr="008E0A83">
              <w:rPr>
                <w:b/>
                <w:sz w:val="20"/>
                <w:szCs w:val="20"/>
                <w:lang w:eastAsia="sk-SK"/>
              </w:rPr>
              <w:t>Dôvodová správa :</w:t>
            </w:r>
          </w:p>
          <w:p w14:paraId="6892FAEB" w14:textId="77777777" w:rsidR="00653B9A" w:rsidRPr="008E0A83" w:rsidRDefault="00653B9A" w:rsidP="00363F28">
            <w:pPr>
              <w:jc w:val="both"/>
              <w:rPr>
                <w:b/>
                <w:sz w:val="20"/>
                <w:szCs w:val="20"/>
                <w:lang w:eastAsia="sk-SK"/>
              </w:rPr>
            </w:pPr>
            <w:r w:rsidRPr="008E0A83">
              <w:rPr>
                <w:b/>
                <w:sz w:val="20"/>
                <w:szCs w:val="20"/>
                <w:lang w:eastAsia="sk-SK"/>
              </w:rPr>
              <w:t>K bodu 13 :</w:t>
            </w:r>
          </w:p>
          <w:p w14:paraId="69B0E6A8" w14:textId="77777777" w:rsidR="00653B9A" w:rsidRPr="008E0A83" w:rsidRDefault="00653B9A" w:rsidP="00363F28">
            <w:pPr>
              <w:jc w:val="both"/>
              <w:rPr>
                <w:b/>
                <w:sz w:val="20"/>
                <w:szCs w:val="20"/>
                <w:lang w:eastAsia="sk-SK"/>
              </w:rPr>
            </w:pPr>
            <w:r w:rsidRPr="008E0A83">
              <w:rPr>
                <w:b/>
                <w:sz w:val="20"/>
                <w:szCs w:val="20"/>
                <w:lang w:eastAsia="sk-SK"/>
              </w:rPr>
              <w:t>Navrhuje sa zavedenie povinnosti pre orgány riadenia aktualizovať koncepciu rozvoja tak, aby bol zabezpečený súlad s národnou koncepciou a schváleným akčným plánom, ktorý je vydaný na jej základe, najmenej raz za 12 mesiacov. Orgány riadenia budú povinné evidovať v centrálnom metainformačnom systéme verejnej správy koncepcie rozvoja a ich aktualizácie,  a to bezodkladne po vypracovaní alebo jej aktualizácií.</w:t>
            </w:r>
          </w:p>
          <w:p w14:paraId="428D9A57" w14:textId="77777777" w:rsidR="00653B9A" w:rsidRPr="008E0A83" w:rsidRDefault="00653B9A" w:rsidP="00363F28">
            <w:pPr>
              <w:jc w:val="both"/>
              <w:rPr>
                <w:b/>
                <w:sz w:val="20"/>
                <w:szCs w:val="20"/>
                <w:lang w:eastAsia="sk-SK"/>
              </w:rPr>
            </w:pPr>
          </w:p>
          <w:p w14:paraId="4D66D73E" w14:textId="77777777" w:rsidR="00653B9A" w:rsidRPr="008E0A83" w:rsidRDefault="00653B9A" w:rsidP="00363F28">
            <w:pPr>
              <w:jc w:val="both"/>
              <w:rPr>
                <w:b/>
                <w:sz w:val="20"/>
                <w:szCs w:val="20"/>
                <w:lang w:eastAsia="sk-SK"/>
              </w:rPr>
            </w:pPr>
            <w:r w:rsidRPr="008E0A83">
              <w:rPr>
                <w:b/>
                <w:sz w:val="20"/>
                <w:szCs w:val="20"/>
                <w:lang w:eastAsia="sk-SK"/>
              </w:rPr>
              <w:t>K bodu 20 :</w:t>
            </w:r>
          </w:p>
          <w:p w14:paraId="7D5C44FB" w14:textId="77777777" w:rsidR="00653B9A" w:rsidRPr="008E0A83" w:rsidRDefault="00653B9A" w:rsidP="00363F28">
            <w:pPr>
              <w:jc w:val="both"/>
              <w:rPr>
                <w:b/>
                <w:sz w:val="20"/>
                <w:szCs w:val="20"/>
                <w:lang w:eastAsia="sk-SK"/>
              </w:rPr>
            </w:pPr>
            <w:r w:rsidRPr="008E0A83">
              <w:rPr>
                <w:b/>
                <w:sz w:val="20"/>
                <w:szCs w:val="20"/>
                <w:lang w:eastAsia="sk-SK"/>
              </w:rPr>
              <w:t>„Cieľom navrhovaného odseku 12 je ustanoviť výnimky vo vzťahu k povinnosti predkladať zámer na vytvorenie a prevádzkovanie mobilnej aplikácie. Výnimky sú dvojakej povahy. V prvom rade je táto povinnosť zúžená na mobilné aplikácie, ktoré nie sú určené výlučne zamestnancom. Inak povedané, schvaľovanie zámeru sa má týkať mobilnej aplikácie určenej na použitie vo vzťahoch G2C, G2B a G2G, ale nie G2E. Druhá výnimka je statusovo ustanovená – povinnosť predkladania zámeru sa nemá vzťahovať na konkrétne vymedzené orgány riadenia, a to buď z dôvodu ich postavenia v rámci verejnej správy len v časti ich činnosti, alebo z pohľadu ich samosprávnej povahy, či už územnej, alebo profesnej.“</w:t>
            </w:r>
          </w:p>
          <w:p w14:paraId="57CF3AC2" w14:textId="77777777" w:rsidR="00653B9A" w:rsidRPr="008E0A83" w:rsidRDefault="00653B9A" w:rsidP="00363F28">
            <w:pPr>
              <w:jc w:val="both"/>
              <w:rPr>
                <w:b/>
                <w:sz w:val="20"/>
                <w:szCs w:val="20"/>
                <w:lang w:eastAsia="sk-SK"/>
              </w:rPr>
            </w:pPr>
          </w:p>
          <w:p w14:paraId="440DFBC5" w14:textId="77777777" w:rsidR="00653B9A" w:rsidRPr="008E0A83" w:rsidRDefault="00653B9A" w:rsidP="00363F28">
            <w:pPr>
              <w:jc w:val="both"/>
              <w:rPr>
                <w:b/>
                <w:sz w:val="20"/>
                <w:szCs w:val="20"/>
                <w:lang w:eastAsia="sk-SK"/>
              </w:rPr>
            </w:pPr>
            <w:r w:rsidRPr="008E0A83">
              <w:rPr>
                <w:b/>
                <w:sz w:val="20"/>
                <w:szCs w:val="20"/>
                <w:lang w:eastAsia="sk-SK"/>
              </w:rPr>
              <w:t>Vlastný materiál :</w:t>
            </w:r>
          </w:p>
          <w:p w14:paraId="67807F7E" w14:textId="77777777" w:rsidR="00653B9A" w:rsidRPr="008E0A83" w:rsidRDefault="00653B9A" w:rsidP="00363F28">
            <w:pPr>
              <w:jc w:val="both"/>
              <w:rPr>
                <w:b/>
                <w:sz w:val="20"/>
                <w:szCs w:val="20"/>
                <w:lang w:eastAsia="sk-SK"/>
              </w:rPr>
            </w:pPr>
            <w:r w:rsidRPr="008E0A83">
              <w:rPr>
                <w:b/>
                <w:sz w:val="20"/>
                <w:szCs w:val="20"/>
                <w:lang w:eastAsia="sk-SK"/>
              </w:rPr>
              <w:t>V § 9 sa odsek 1 dopĺňa písmenom w), ktoré znie:</w:t>
            </w:r>
          </w:p>
          <w:p w14:paraId="47A7F730" w14:textId="77777777" w:rsidR="00653B9A" w:rsidRPr="008E0A83" w:rsidRDefault="00653B9A" w:rsidP="00363F28">
            <w:pPr>
              <w:jc w:val="both"/>
              <w:rPr>
                <w:b/>
                <w:sz w:val="20"/>
                <w:szCs w:val="20"/>
                <w:lang w:eastAsia="sk-SK"/>
              </w:rPr>
            </w:pPr>
            <w:r w:rsidRPr="008E0A83">
              <w:rPr>
                <w:b/>
                <w:sz w:val="20"/>
                <w:szCs w:val="20"/>
                <w:lang w:eastAsia="sk-SK"/>
              </w:rPr>
              <w:t>„w) koordinuje elektronizáciu agendy verejnej správy v rámci životnej situácie a usmerňuje medzirezortnú spoluprácu orgánov riadenia pri vytváraní, aktualizácii a poskytovaní elektronických služieb verejnej správy v rámci životnej situácie.“.</w:t>
            </w:r>
          </w:p>
          <w:p w14:paraId="11C2D44B" w14:textId="77777777" w:rsidR="00653B9A" w:rsidRPr="008E0A83" w:rsidRDefault="00653B9A" w:rsidP="00363F28">
            <w:pPr>
              <w:jc w:val="both"/>
              <w:rPr>
                <w:b/>
                <w:sz w:val="20"/>
                <w:szCs w:val="20"/>
                <w:lang w:eastAsia="sk-SK"/>
              </w:rPr>
            </w:pPr>
          </w:p>
          <w:p w14:paraId="7A56EB47" w14:textId="77777777" w:rsidR="00653B9A" w:rsidRPr="008E0A83" w:rsidRDefault="00653B9A" w:rsidP="00363F28">
            <w:pPr>
              <w:jc w:val="both"/>
              <w:rPr>
                <w:b/>
                <w:sz w:val="20"/>
                <w:szCs w:val="20"/>
                <w:lang w:eastAsia="sk-SK"/>
              </w:rPr>
            </w:pPr>
            <w:r w:rsidRPr="008E0A83">
              <w:rPr>
                <w:b/>
                <w:sz w:val="20"/>
                <w:szCs w:val="20"/>
                <w:lang w:eastAsia="sk-SK"/>
              </w:rPr>
              <w:t>Všeobecne:</w:t>
            </w:r>
          </w:p>
          <w:p w14:paraId="738CFF2C" w14:textId="77777777" w:rsidR="00653B9A" w:rsidRPr="008E0A83" w:rsidRDefault="00653B9A" w:rsidP="00363F28">
            <w:pPr>
              <w:jc w:val="both"/>
              <w:rPr>
                <w:b/>
                <w:sz w:val="20"/>
                <w:szCs w:val="20"/>
                <w:lang w:eastAsia="sk-SK"/>
              </w:rPr>
            </w:pPr>
            <w:r w:rsidRPr="008E0A83">
              <w:rPr>
                <w:b/>
                <w:sz w:val="20"/>
                <w:szCs w:val="20"/>
                <w:lang w:eastAsia="sk-SK"/>
              </w:rPr>
              <w:t>Zavádzanie nových povinností pre orgán verejnej správy predpokladá negatívny vplyv na procesy služieb vo verejnej správe.</w:t>
            </w:r>
          </w:p>
          <w:p w14:paraId="032628E9" w14:textId="77777777" w:rsidR="00653B9A" w:rsidRPr="008E0A83" w:rsidRDefault="00653B9A" w:rsidP="00363F28">
            <w:pPr>
              <w:jc w:val="both"/>
              <w:rPr>
                <w:b/>
                <w:sz w:val="20"/>
                <w:szCs w:val="20"/>
                <w:lang w:eastAsia="sk-SK"/>
              </w:rPr>
            </w:pPr>
          </w:p>
          <w:p w14:paraId="69FC11BD" w14:textId="77777777" w:rsidR="00653B9A" w:rsidRPr="008E0A83" w:rsidRDefault="00653B9A" w:rsidP="00363F28">
            <w:pPr>
              <w:jc w:val="both"/>
              <w:rPr>
                <w:b/>
                <w:sz w:val="20"/>
                <w:szCs w:val="20"/>
                <w:lang w:eastAsia="sk-SK"/>
              </w:rPr>
            </w:pPr>
            <w:r w:rsidRPr="008E0A83">
              <w:rPr>
                <w:b/>
                <w:sz w:val="20"/>
                <w:szCs w:val="20"/>
                <w:lang w:eastAsia="sk-SK"/>
              </w:rPr>
              <w:t>Na základe vyššie uvedeného navrhuje Komisia predkladateľovi vyznačiť negatívny vplyv na procesy služieb vo verejnej správe v doložke vybraných vplyvov.</w:t>
            </w:r>
          </w:p>
          <w:p w14:paraId="0641681E" w14:textId="77777777" w:rsidR="00653B9A" w:rsidRDefault="00653B9A" w:rsidP="00363F28">
            <w:pPr>
              <w:jc w:val="both"/>
              <w:rPr>
                <w:b/>
                <w:sz w:val="20"/>
                <w:szCs w:val="20"/>
                <w:lang w:eastAsia="sk-SK"/>
              </w:rPr>
            </w:pPr>
          </w:p>
          <w:p w14:paraId="1643F2F6" w14:textId="77777777" w:rsidR="00653B9A" w:rsidRPr="00A76D37" w:rsidRDefault="00653B9A" w:rsidP="00363F28">
            <w:pPr>
              <w:jc w:val="both"/>
              <w:rPr>
                <w:sz w:val="20"/>
                <w:szCs w:val="20"/>
                <w:lang w:eastAsia="sk-SK"/>
              </w:rPr>
            </w:pPr>
            <w:r w:rsidRPr="00A76D37">
              <w:rPr>
                <w:sz w:val="20"/>
                <w:szCs w:val="20"/>
                <w:lang w:eastAsia="sk-SK"/>
              </w:rPr>
              <w:t>V doložke vybraných vplyvov je vyznačený negatívny vplyv na procesy služieb vo verejnej správe.</w:t>
            </w:r>
          </w:p>
          <w:p w14:paraId="47CC735A" w14:textId="77777777" w:rsidR="00653B9A" w:rsidRPr="008E0A83" w:rsidRDefault="00653B9A" w:rsidP="00363F28">
            <w:pPr>
              <w:jc w:val="both"/>
              <w:rPr>
                <w:b/>
                <w:sz w:val="20"/>
                <w:szCs w:val="20"/>
                <w:lang w:eastAsia="sk-SK"/>
              </w:rPr>
            </w:pPr>
          </w:p>
          <w:p w14:paraId="09720F14" w14:textId="77777777" w:rsidR="00653B9A" w:rsidRPr="008E0A83" w:rsidRDefault="00653B9A" w:rsidP="00363F28">
            <w:pPr>
              <w:jc w:val="both"/>
              <w:rPr>
                <w:b/>
                <w:sz w:val="20"/>
                <w:szCs w:val="20"/>
                <w:lang w:eastAsia="sk-SK"/>
              </w:rPr>
            </w:pPr>
            <w:r w:rsidRPr="008E0A83">
              <w:rPr>
                <w:b/>
                <w:sz w:val="20"/>
                <w:szCs w:val="20"/>
                <w:lang w:eastAsia="sk-SK"/>
              </w:rPr>
              <w:t>Predkladateľovi tiež Komisia navrhuje, aby v zmysle vyššie uvedeného vypracoval Analýzu vplyvov na služby verejnej správy pre občana.</w:t>
            </w:r>
          </w:p>
          <w:p w14:paraId="77B91B66" w14:textId="77777777" w:rsidR="00653B9A" w:rsidRDefault="00653B9A" w:rsidP="00363F28">
            <w:pPr>
              <w:jc w:val="both"/>
              <w:rPr>
                <w:sz w:val="20"/>
                <w:szCs w:val="20"/>
                <w:lang w:eastAsia="sk-SK"/>
              </w:rPr>
            </w:pPr>
          </w:p>
          <w:p w14:paraId="135D0D8C" w14:textId="77777777" w:rsidR="00653B9A" w:rsidRPr="00A76D37" w:rsidRDefault="00653B9A" w:rsidP="00363F28">
            <w:pPr>
              <w:jc w:val="both"/>
              <w:rPr>
                <w:sz w:val="20"/>
                <w:szCs w:val="20"/>
                <w:lang w:eastAsia="sk-SK"/>
              </w:rPr>
            </w:pPr>
            <w:r w:rsidRPr="00A76D37">
              <w:rPr>
                <w:sz w:val="20"/>
                <w:szCs w:val="20"/>
                <w:lang w:eastAsia="sk-SK"/>
              </w:rPr>
              <w:t>Analýza vplyvov na služby verejnej správy pre občana bola vypracovaná a doplnená.</w:t>
            </w:r>
          </w:p>
          <w:p w14:paraId="73DD6024" w14:textId="77777777" w:rsidR="00653B9A" w:rsidRDefault="00653B9A" w:rsidP="00363F28">
            <w:pPr>
              <w:jc w:val="both"/>
              <w:rPr>
                <w:b/>
                <w:sz w:val="20"/>
                <w:szCs w:val="20"/>
                <w:lang w:eastAsia="sk-SK"/>
              </w:rPr>
            </w:pPr>
          </w:p>
          <w:p w14:paraId="0EBE2C55" w14:textId="77777777" w:rsidR="00653B9A" w:rsidRPr="008E0A83" w:rsidRDefault="00653B9A" w:rsidP="00363F28">
            <w:pPr>
              <w:jc w:val="both"/>
              <w:rPr>
                <w:b/>
                <w:sz w:val="20"/>
                <w:szCs w:val="20"/>
                <w:lang w:eastAsia="sk-SK"/>
              </w:rPr>
            </w:pPr>
            <w:r w:rsidRPr="008E0A83">
              <w:rPr>
                <w:b/>
                <w:sz w:val="20"/>
                <w:szCs w:val="20"/>
                <w:lang w:eastAsia="sk-SK"/>
              </w:rPr>
              <w:t xml:space="preserve">III. Záver: Stála pracovná komisia na posudzovanie vybraných vplyvov vyjadruje </w:t>
            </w:r>
          </w:p>
          <w:p w14:paraId="30B7780B" w14:textId="77777777" w:rsidR="00653B9A" w:rsidRPr="008E0A83" w:rsidRDefault="00653B9A" w:rsidP="00363F28">
            <w:pPr>
              <w:jc w:val="both"/>
              <w:rPr>
                <w:b/>
                <w:sz w:val="20"/>
                <w:szCs w:val="20"/>
                <w:lang w:eastAsia="sk-SK"/>
              </w:rPr>
            </w:pPr>
          </w:p>
          <w:p w14:paraId="09851C8F" w14:textId="77777777" w:rsidR="00653B9A" w:rsidRPr="008E0A83" w:rsidRDefault="00653B9A" w:rsidP="00363F28">
            <w:pPr>
              <w:jc w:val="both"/>
              <w:rPr>
                <w:b/>
                <w:sz w:val="20"/>
                <w:szCs w:val="20"/>
                <w:lang w:eastAsia="sk-SK"/>
              </w:rPr>
            </w:pPr>
            <w:r w:rsidRPr="008E0A83">
              <w:rPr>
                <w:b/>
                <w:sz w:val="20"/>
                <w:szCs w:val="20"/>
                <w:lang w:eastAsia="sk-SK"/>
              </w:rPr>
              <w:t>nesúhlasné stanovisko</w:t>
            </w:r>
          </w:p>
          <w:p w14:paraId="52A55644" w14:textId="77777777" w:rsidR="00653B9A" w:rsidRPr="008E0A83" w:rsidRDefault="00653B9A" w:rsidP="00363F28">
            <w:pPr>
              <w:jc w:val="both"/>
              <w:rPr>
                <w:b/>
                <w:sz w:val="20"/>
                <w:szCs w:val="20"/>
                <w:lang w:eastAsia="sk-SK"/>
              </w:rPr>
            </w:pPr>
          </w:p>
          <w:p w14:paraId="2BEB5103" w14:textId="77777777" w:rsidR="00653B9A" w:rsidRPr="008E0A83" w:rsidRDefault="00653B9A" w:rsidP="00363F28">
            <w:pPr>
              <w:jc w:val="both"/>
              <w:rPr>
                <w:b/>
                <w:sz w:val="20"/>
                <w:szCs w:val="20"/>
                <w:lang w:eastAsia="sk-SK"/>
              </w:rPr>
            </w:pPr>
            <w:r w:rsidRPr="008E0A83">
              <w:rPr>
                <w:b/>
                <w:sz w:val="20"/>
                <w:szCs w:val="20"/>
                <w:lang w:eastAsia="sk-SK"/>
              </w:rPr>
              <w:t>s materiálom predloženým na záverečné posúdenie.</w:t>
            </w:r>
          </w:p>
          <w:p w14:paraId="7D8F9F8D" w14:textId="77777777" w:rsidR="00653B9A" w:rsidRPr="008E0A83" w:rsidRDefault="00653B9A" w:rsidP="00363F28">
            <w:pPr>
              <w:jc w:val="both"/>
              <w:rPr>
                <w:b/>
                <w:sz w:val="20"/>
                <w:szCs w:val="20"/>
                <w:lang w:eastAsia="sk-SK"/>
              </w:rPr>
            </w:pPr>
          </w:p>
          <w:p w14:paraId="09E8DEA9" w14:textId="77777777" w:rsidR="00653B9A" w:rsidRPr="008E0A83" w:rsidRDefault="00653B9A" w:rsidP="00363F28">
            <w:pPr>
              <w:jc w:val="both"/>
              <w:rPr>
                <w:b/>
                <w:sz w:val="20"/>
                <w:szCs w:val="20"/>
                <w:lang w:eastAsia="sk-SK"/>
              </w:rPr>
            </w:pPr>
            <w:r w:rsidRPr="008E0A83">
              <w:rPr>
                <w:b/>
                <w:sz w:val="20"/>
                <w:szCs w:val="20"/>
                <w:lang w:eastAsia="sk-SK"/>
              </w:rPr>
              <w:t>IV. Poznámka: Predkladateľ zapracuje pripomienky a odporúčania na úpravu uvedené v bode II a uvedie stanovisko Komisie do doložky vybraných vplyvov spolu s vyhodnotením pripomienok.</w:t>
            </w:r>
          </w:p>
          <w:p w14:paraId="45B2A561" w14:textId="77777777" w:rsidR="00653B9A" w:rsidRPr="008E0A83" w:rsidRDefault="00653B9A" w:rsidP="00363F28">
            <w:pPr>
              <w:jc w:val="both"/>
              <w:rPr>
                <w:b/>
                <w:sz w:val="20"/>
                <w:szCs w:val="20"/>
                <w:lang w:eastAsia="sk-SK"/>
              </w:rPr>
            </w:pPr>
          </w:p>
          <w:p w14:paraId="717F459D" w14:textId="77777777" w:rsidR="00653B9A" w:rsidRPr="00B043B4" w:rsidRDefault="00653B9A" w:rsidP="00363F28">
            <w:pPr>
              <w:jc w:val="both"/>
              <w:rPr>
                <w:b/>
                <w:sz w:val="20"/>
                <w:szCs w:val="20"/>
                <w:lang w:eastAsia="sk-SK"/>
              </w:rPr>
            </w:pPr>
            <w:r w:rsidRPr="008E0A83">
              <w:rPr>
                <w:b/>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3A9E8DE6" w14:textId="77777777" w:rsidR="00653B9A" w:rsidRPr="00B043B4" w:rsidRDefault="00653B9A" w:rsidP="00363F28">
            <w:pPr>
              <w:rPr>
                <w:b/>
                <w:sz w:val="20"/>
                <w:szCs w:val="20"/>
                <w:lang w:eastAsia="sk-SK"/>
              </w:rPr>
            </w:pPr>
          </w:p>
        </w:tc>
      </w:tr>
    </w:tbl>
    <w:p w14:paraId="474FE8BA" w14:textId="77777777" w:rsidR="00653B9A" w:rsidRDefault="00653B9A" w:rsidP="00653B9A"/>
    <w:p w14:paraId="0D6A70BC" w14:textId="75AE7414" w:rsidR="00653B9A" w:rsidRDefault="00653B9A" w:rsidP="00F367B0">
      <w:pPr>
        <w:jc w:val="both"/>
      </w:pPr>
    </w:p>
    <w:p w14:paraId="40A8245E" w14:textId="59E62CE5" w:rsidR="00653B9A" w:rsidRDefault="00653B9A" w:rsidP="00F367B0">
      <w:pPr>
        <w:jc w:val="both"/>
      </w:pPr>
    </w:p>
    <w:p w14:paraId="6E552455" w14:textId="3BABEAF6" w:rsidR="00653B9A" w:rsidRDefault="00653B9A" w:rsidP="00F367B0">
      <w:pPr>
        <w:jc w:val="both"/>
      </w:pPr>
    </w:p>
    <w:p w14:paraId="4D61A041" w14:textId="30B2C150" w:rsidR="00653B9A" w:rsidRDefault="00653B9A" w:rsidP="00F367B0">
      <w:pPr>
        <w:jc w:val="both"/>
      </w:pPr>
    </w:p>
    <w:p w14:paraId="54AEE00B" w14:textId="0953005A" w:rsidR="00653B9A" w:rsidRDefault="00653B9A" w:rsidP="00F367B0">
      <w:pPr>
        <w:jc w:val="both"/>
      </w:pPr>
    </w:p>
    <w:p w14:paraId="504139B0" w14:textId="251D4DE0" w:rsidR="00653B9A" w:rsidRDefault="00653B9A" w:rsidP="00F367B0">
      <w:pPr>
        <w:jc w:val="both"/>
      </w:pPr>
    </w:p>
    <w:p w14:paraId="704146B1" w14:textId="4627A21C" w:rsidR="00653B9A" w:rsidRDefault="00653B9A" w:rsidP="00F367B0">
      <w:pPr>
        <w:jc w:val="both"/>
      </w:pPr>
    </w:p>
    <w:p w14:paraId="7982EE2D" w14:textId="6EF8F7B4" w:rsidR="00653B9A" w:rsidRDefault="00653B9A" w:rsidP="00F367B0">
      <w:pPr>
        <w:jc w:val="both"/>
      </w:pPr>
    </w:p>
    <w:p w14:paraId="60439978" w14:textId="527D8498" w:rsidR="00653B9A" w:rsidRDefault="00653B9A" w:rsidP="00F367B0">
      <w:pPr>
        <w:jc w:val="both"/>
      </w:pPr>
    </w:p>
    <w:p w14:paraId="3454956F" w14:textId="0DA8D729" w:rsidR="00653B9A" w:rsidRDefault="00653B9A" w:rsidP="00F367B0">
      <w:pPr>
        <w:jc w:val="both"/>
      </w:pPr>
    </w:p>
    <w:p w14:paraId="2153086D" w14:textId="370453EE" w:rsidR="00653B9A" w:rsidRDefault="00653B9A" w:rsidP="00F367B0">
      <w:pPr>
        <w:jc w:val="both"/>
      </w:pPr>
    </w:p>
    <w:p w14:paraId="3C14B3C4" w14:textId="5E23AF6C" w:rsidR="00653B9A" w:rsidRDefault="00653B9A" w:rsidP="00F367B0">
      <w:pPr>
        <w:jc w:val="both"/>
      </w:pPr>
    </w:p>
    <w:p w14:paraId="1A0D9987" w14:textId="2930F013" w:rsidR="00653B9A" w:rsidRDefault="00653B9A" w:rsidP="00F367B0">
      <w:pPr>
        <w:jc w:val="both"/>
      </w:pPr>
    </w:p>
    <w:p w14:paraId="5576C1B2" w14:textId="3EA12050" w:rsidR="00653B9A" w:rsidRDefault="00653B9A" w:rsidP="00F367B0">
      <w:pPr>
        <w:jc w:val="both"/>
      </w:pPr>
    </w:p>
    <w:p w14:paraId="46617747" w14:textId="0C761684" w:rsidR="00653B9A" w:rsidRDefault="00653B9A" w:rsidP="00F367B0">
      <w:pPr>
        <w:jc w:val="both"/>
      </w:pPr>
    </w:p>
    <w:p w14:paraId="294A8BDD" w14:textId="5DD1F226" w:rsidR="00653B9A" w:rsidRDefault="00653B9A" w:rsidP="00F367B0">
      <w:pPr>
        <w:jc w:val="both"/>
      </w:pPr>
    </w:p>
    <w:p w14:paraId="5A438AC6" w14:textId="1CCF578A" w:rsidR="00653B9A" w:rsidRDefault="00653B9A" w:rsidP="00F367B0">
      <w:pPr>
        <w:jc w:val="both"/>
      </w:pPr>
    </w:p>
    <w:p w14:paraId="595E09A5" w14:textId="0A1E0764" w:rsidR="00653B9A" w:rsidRDefault="00653B9A" w:rsidP="00F367B0">
      <w:pPr>
        <w:jc w:val="both"/>
      </w:pPr>
    </w:p>
    <w:p w14:paraId="3D0E2D8B" w14:textId="74641563" w:rsidR="00653B9A" w:rsidRDefault="00653B9A" w:rsidP="00F367B0">
      <w:pPr>
        <w:jc w:val="both"/>
      </w:pPr>
    </w:p>
    <w:p w14:paraId="3E956C61" w14:textId="7AB0CDE1" w:rsidR="00653B9A" w:rsidRDefault="00653B9A" w:rsidP="00F367B0">
      <w:pPr>
        <w:jc w:val="both"/>
      </w:pPr>
    </w:p>
    <w:p w14:paraId="6BD721F4" w14:textId="03DCABCF" w:rsidR="00653B9A" w:rsidRDefault="00653B9A" w:rsidP="00F367B0">
      <w:pPr>
        <w:jc w:val="both"/>
      </w:pPr>
    </w:p>
    <w:p w14:paraId="43B7CA0A" w14:textId="6EF1BDC7" w:rsidR="00653B9A" w:rsidRDefault="00653B9A" w:rsidP="00F367B0">
      <w:pPr>
        <w:jc w:val="both"/>
      </w:pPr>
    </w:p>
    <w:p w14:paraId="4B0A5D99" w14:textId="5CB157FF" w:rsidR="00653B9A" w:rsidRDefault="00653B9A" w:rsidP="00F367B0">
      <w:pPr>
        <w:jc w:val="both"/>
      </w:pPr>
    </w:p>
    <w:p w14:paraId="1A89C57A" w14:textId="2D1556F4" w:rsidR="00653B9A" w:rsidRDefault="00653B9A" w:rsidP="00F367B0">
      <w:pPr>
        <w:jc w:val="both"/>
      </w:pPr>
    </w:p>
    <w:p w14:paraId="26B598D2" w14:textId="75F8CBA5" w:rsidR="00653B9A" w:rsidRDefault="00653B9A" w:rsidP="00F367B0">
      <w:pPr>
        <w:jc w:val="both"/>
      </w:pPr>
    </w:p>
    <w:p w14:paraId="64A97F10" w14:textId="03B158E6" w:rsidR="00653B9A" w:rsidRDefault="00653B9A" w:rsidP="00F367B0">
      <w:pPr>
        <w:jc w:val="both"/>
      </w:pPr>
    </w:p>
    <w:p w14:paraId="45AC2A86" w14:textId="3CACD1ED" w:rsidR="00653B9A" w:rsidRDefault="00653B9A" w:rsidP="00F367B0">
      <w:pPr>
        <w:jc w:val="both"/>
      </w:pPr>
    </w:p>
    <w:p w14:paraId="4CFE46BD" w14:textId="076EDFEB" w:rsidR="00653B9A" w:rsidRDefault="00653B9A" w:rsidP="00F367B0">
      <w:pPr>
        <w:jc w:val="both"/>
      </w:pPr>
    </w:p>
    <w:p w14:paraId="4390E06F" w14:textId="030141DC" w:rsidR="00653B9A" w:rsidRDefault="00653B9A" w:rsidP="00F367B0">
      <w:pPr>
        <w:jc w:val="both"/>
      </w:pPr>
    </w:p>
    <w:p w14:paraId="62484FBD" w14:textId="366FAE84" w:rsidR="00653B9A" w:rsidRDefault="00653B9A" w:rsidP="00F367B0">
      <w:pPr>
        <w:jc w:val="both"/>
      </w:pPr>
    </w:p>
    <w:p w14:paraId="7586CF9F" w14:textId="1866A36B" w:rsidR="00653B9A" w:rsidRDefault="00653B9A" w:rsidP="00F367B0">
      <w:pPr>
        <w:jc w:val="both"/>
      </w:pPr>
    </w:p>
    <w:p w14:paraId="3497F17A" w14:textId="123F11E4" w:rsidR="00653B9A" w:rsidRDefault="00653B9A" w:rsidP="00F367B0">
      <w:pPr>
        <w:jc w:val="both"/>
      </w:pPr>
    </w:p>
    <w:p w14:paraId="189E17E5" w14:textId="38199C93" w:rsidR="00653B9A" w:rsidRDefault="00653B9A" w:rsidP="00F367B0">
      <w:pPr>
        <w:jc w:val="both"/>
      </w:pPr>
    </w:p>
    <w:p w14:paraId="49987CAF" w14:textId="452C7D3B" w:rsidR="00653B9A" w:rsidRDefault="00653B9A" w:rsidP="00F367B0">
      <w:pPr>
        <w:jc w:val="both"/>
      </w:pPr>
    </w:p>
    <w:p w14:paraId="56CD10FB" w14:textId="68944769" w:rsidR="00653B9A" w:rsidRDefault="00653B9A" w:rsidP="00F367B0">
      <w:pPr>
        <w:jc w:val="both"/>
      </w:pPr>
    </w:p>
    <w:p w14:paraId="1B8465EE" w14:textId="1FC80E21" w:rsidR="00653B9A" w:rsidRDefault="00653B9A" w:rsidP="00F367B0">
      <w:pPr>
        <w:jc w:val="both"/>
      </w:pPr>
    </w:p>
    <w:p w14:paraId="58D2CB0C" w14:textId="4F1742C9" w:rsidR="00653B9A" w:rsidRDefault="00653B9A" w:rsidP="00F367B0">
      <w:pPr>
        <w:jc w:val="both"/>
      </w:pPr>
    </w:p>
    <w:p w14:paraId="4A6A06DD" w14:textId="7FFE02A3" w:rsidR="00653B9A" w:rsidRDefault="00653B9A" w:rsidP="00F367B0">
      <w:pPr>
        <w:jc w:val="both"/>
      </w:pPr>
    </w:p>
    <w:p w14:paraId="4EB832BB" w14:textId="32182CAD" w:rsidR="00653B9A" w:rsidRDefault="00653B9A" w:rsidP="00F367B0">
      <w:pPr>
        <w:jc w:val="both"/>
      </w:pPr>
    </w:p>
    <w:p w14:paraId="6476AED4" w14:textId="280F0F9C" w:rsidR="00653B9A" w:rsidRDefault="00653B9A" w:rsidP="00F367B0">
      <w:pPr>
        <w:jc w:val="both"/>
      </w:pPr>
    </w:p>
    <w:p w14:paraId="64D68C64" w14:textId="77F3694C" w:rsidR="00653B9A" w:rsidRDefault="00653B9A" w:rsidP="00F367B0">
      <w:pPr>
        <w:jc w:val="both"/>
      </w:pPr>
    </w:p>
    <w:p w14:paraId="0E5010B1" w14:textId="12D2BC2B" w:rsidR="00AF07A1" w:rsidRDefault="00AF07A1" w:rsidP="00F367B0">
      <w:pPr>
        <w:jc w:val="both"/>
      </w:pPr>
    </w:p>
    <w:p w14:paraId="790285A3" w14:textId="03BB044E" w:rsidR="00653B9A" w:rsidRDefault="00653B9A" w:rsidP="00F367B0">
      <w:pPr>
        <w:jc w:val="both"/>
      </w:pPr>
    </w:p>
    <w:p w14:paraId="38A0CB99" w14:textId="4F03E6D1" w:rsidR="00653B9A" w:rsidRDefault="00653B9A" w:rsidP="00F367B0">
      <w:pPr>
        <w:jc w:val="both"/>
      </w:pPr>
    </w:p>
    <w:p w14:paraId="63BAC261" w14:textId="5ED0CDA4" w:rsidR="00653B9A" w:rsidRDefault="00653B9A" w:rsidP="00F367B0">
      <w:pPr>
        <w:jc w:val="both"/>
      </w:pPr>
    </w:p>
    <w:p w14:paraId="0B6E07EA" w14:textId="5999BB11" w:rsidR="00653B9A" w:rsidRDefault="00653B9A" w:rsidP="00F367B0">
      <w:pPr>
        <w:jc w:val="both"/>
      </w:pPr>
    </w:p>
    <w:p w14:paraId="79AA55D6" w14:textId="58D77491" w:rsidR="00653B9A" w:rsidRDefault="00653B9A" w:rsidP="00F367B0">
      <w:pPr>
        <w:jc w:val="both"/>
      </w:pPr>
    </w:p>
    <w:p w14:paraId="125B0197" w14:textId="77777777" w:rsidR="00D619B4" w:rsidRPr="007D5748" w:rsidRDefault="00D619B4" w:rsidP="00D619B4">
      <w:pPr>
        <w:jc w:val="center"/>
        <w:rPr>
          <w:b/>
          <w:bCs/>
          <w:sz w:val="28"/>
          <w:szCs w:val="28"/>
          <w:lang w:eastAsia="sk-SK"/>
        </w:rPr>
      </w:pPr>
      <w:r w:rsidRPr="007D5748">
        <w:rPr>
          <w:b/>
          <w:bCs/>
          <w:sz w:val="28"/>
          <w:szCs w:val="28"/>
          <w:lang w:eastAsia="sk-SK"/>
        </w:rPr>
        <w:t>Analýza vplyvov na rozpočet verejnej správy,</w:t>
      </w:r>
    </w:p>
    <w:p w14:paraId="4858A74A" w14:textId="77777777" w:rsidR="00D619B4" w:rsidRPr="007D5748" w:rsidRDefault="00D619B4" w:rsidP="00D619B4">
      <w:pPr>
        <w:jc w:val="center"/>
        <w:rPr>
          <w:b/>
          <w:bCs/>
          <w:sz w:val="28"/>
          <w:szCs w:val="28"/>
          <w:lang w:eastAsia="sk-SK"/>
        </w:rPr>
      </w:pPr>
      <w:r w:rsidRPr="007D5748">
        <w:rPr>
          <w:b/>
          <w:bCs/>
          <w:sz w:val="28"/>
          <w:szCs w:val="28"/>
          <w:lang w:eastAsia="sk-SK"/>
        </w:rPr>
        <w:t>na zamestnanosť vo verejnej správe a financovanie návrhu</w:t>
      </w:r>
    </w:p>
    <w:p w14:paraId="0C16ACE2" w14:textId="77777777" w:rsidR="00D619B4" w:rsidRPr="00212894" w:rsidRDefault="00D619B4" w:rsidP="00D619B4">
      <w:pPr>
        <w:jc w:val="right"/>
        <w:rPr>
          <w:b/>
          <w:bCs/>
          <w:lang w:eastAsia="sk-SK"/>
        </w:rPr>
      </w:pPr>
    </w:p>
    <w:p w14:paraId="5CF31C43" w14:textId="77777777" w:rsidR="00D619B4" w:rsidRPr="00212894" w:rsidRDefault="00D619B4" w:rsidP="00D619B4">
      <w:pPr>
        <w:rPr>
          <w:b/>
          <w:bCs/>
          <w:lang w:eastAsia="sk-SK"/>
        </w:rPr>
      </w:pPr>
      <w:r w:rsidRPr="00212894">
        <w:rPr>
          <w:b/>
          <w:bCs/>
          <w:lang w:eastAsia="sk-SK"/>
        </w:rPr>
        <w:t>2.1 Zhrnutie vplyvov na rozpočet verejnej správy v</w:t>
      </w:r>
      <w:r>
        <w:rPr>
          <w:b/>
          <w:bCs/>
          <w:lang w:eastAsia="sk-SK"/>
        </w:rPr>
        <w:t> </w:t>
      </w:r>
      <w:r w:rsidRPr="00212894">
        <w:rPr>
          <w:b/>
          <w:bCs/>
          <w:lang w:eastAsia="sk-SK"/>
        </w:rPr>
        <w:t>návrhu</w:t>
      </w:r>
    </w:p>
    <w:p w14:paraId="75901F16" w14:textId="77777777" w:rsidR="00D619B4" w:rsidRDefault="00D619B4" w:rsidP="00D619B4">
      <w:pPr>
        <w:jc w:val="right"/>
        <w:rPr>
          <w:sz w:val="20"/>
          <w:szCs w:val="20"/>
          <w:lang w:eastAsia="sk-SK"/>
        </w:rPr>
      </w:pPr>
      <w:r>
        <w:rPr>
          <w:sz w:val="20"/>
          <w:szCs w:val="20"/>
          <w:lang w:eastAsia="sk-SK"/>
        </w:rPr>
        <w:t>Ta</w:t>
      </w:r>
      <w:r w:rsidRPr="007D5748">
        <w:rPr>
          <w:sz w:val="20"/>
          <w:szCs w:val="20"/>
          <w:lang w:eastAsia="sk-SK"/>
        </w:rPr>
        <w:t xml:space="preserve">buľka č. 1 </w:t>
      </w:r>
    </w:p>
    <w:tbl>
      <w:tblPr>
        <w:tblW w:w="10287" w:type="dxa"/>
        <w:tblInd w:w="-374" w:type="dxa"/>
        <w:tblCellMar>
          <w:left w:w="70" w:type="dxa"/>
          <w:right w:w="70" w:type="dxa"/>
        </w:tblCellMar>
        <w:tblLook w:val="04A0" w:firstRow="1" w:lastRow="0" w:firstColumn="1" w:lastColumn="0" w:noHBand="0" w:noVBand="1"/>
      </w:tblPr>
      <w:tblGrid>
        <w:gridCol w:w="3908"/>
        <w:gridCol w:w="1559"/>
        <w:gridCol w:w="1701"/>
        <w:gridCol w:w="1701"/>
        <w:gridCol w:w="1418"/>
      </w:tblGrid>
      <w:tr w:rsidR="00D619B4" w:rsidRPr="00E0368E" w14:paraId="3CE0B4B8" w14:textId="77777777" w:rsidTr="001C13FB">
        <w:trPr>
          <w:cantSplit/>
          <w:trHeight w:val="1245"/>
        </w:trPr>
        <w:tc>
          <w:tcPr>
            <w:tcW w:w="390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5058CA6" w14:textId="77777777" w:rsidR="00D619B4" w:rsidRPr="00E0368E" w:rsidRDefault="00D619B4" w:rsidP="001C13FB">
            <w:pPr>
              <w:jc w:val="center"/>
              <w:rPr>
                <w:b/>
                <w:bCs/>
                <w:color w:val="000000"/>
                <w:lang w:eastAsia="sk-SK"/>
              </w:rPr>
            </w:pPr>
            <w:bookmarkStart w:id="0" w:name="RANGE!A1"/>
            <w:r w:rsidRPr="00E0368E">
              <w:rPr>
                <w:b/>
                <w:bCs/>
                <w:color w:val="000000"/>
                <w:lang w:eastAsia="sk-SK"/>
              </w:rPr>
              <w:t>Vplyvy na rozpočet verejnej správy</w:t>
            </w:r>
            <w:bookmarkEnd w:id="0"/>
          </w:p>
        </w:tc>
        <w:tc>
          <w:tcPr>
            <w:tcW w:w="6379" w:type="dxa"/>
            <w:gridSpan w:val="4"/>
            <w:tcBorders>
              <w:top w:val="single" w:sz="8" w:space="0" w:color="auto"/>
              <w:left w:val="nil"/>
              <w:bottom w:val="single" w:sz="8" w:space="0" w:color="auto"/>
              <w:right w:val="single" w:sz="8" w:space="0" w:color="000000"/>
            </w:tcBorders>
            <w:shd w:val="clear" w:color="000000" w:fill="BFBFBF"/>
            <w:vAlign w:val="center"/>
            <w:hideMark/>
          </w:tcPr>
          <w:p w14:paraId="30F1874F" w14:textId="77777777" w:rsidR="00D619B4" w:rsidRPr="00E0368E" w:rsidRDefault="00D619B4" w:rsidP="001C13FB">
            <w:pPr>
              <w:jc w:val="center"/>
              <w:rPr>
                <w:b/>
                <w:bCs/>
                <w:color w:val="000000"/>
                <w:lang w:eastAsia="sk-SK"/>
              </w:rPr>
            </w:pPr>
            <w:r w:rsidRPr="00E0368E">
              <w:rPr>
                <w:b/>
                <w:bCs/>
                <w:color w:val="000000"/>
                <w:lang w:eastAsia="sk-SK"/>
              </w:rPr>
              <w:t>Vplyv na rozpočet verejnej správy (v eurách)</w:t>
            </w:r>
          </w:p>
        </w:tc>
      </w:tr>
      <w:tr w:rsidR="00D619B4" w:rsidRPr="00E0368E" w14:paraId="4AC0746D" w14:textId="77777777" w:rsidTr="001C13FB">
        <w:trPr>
          <w:trHeight w:val="330"/>
        </w:trPr>
        <w:tc>
          <w:tcPr>
            <w:tcW w:w="3908" w:type="dxa"/>
            <w:vMerge/>
            <w:tcBorders>
              <w:top w:val="single" w:sz="8" w:space="0" w:color="auto"/>
              <w:left w:val="single" w:sz="8" w:space="0" w:color="auto"/>
              <w:bottom w:val="single" w:sz="8" w:space="0" w:color="000000"/>
              <w:right w:val="single" w:sz="8" w:space="0" w:color="auto"/>
            </w:tcBorders>
            <w:vAlign w:val="center"/>
            <w:hideMark/>
          </w:tcPr>
          <w:p w14:paraId="1381DA94" w14:textId="77777777" w:rsidR="00D619B4" w:rsidRPr="00E0368E" w:rsidRDefault="00D619B4" w:rsidP="001C13FB">
            <w:pPr>
              <w:rPr>
                <w:b/>
                <w:bCs/>
                <w:color w:val="000000"/>
                <w:lang w:eastAsia="sk-SK"/>
              </w:rPr>
            </w:pPr>
          </w:p>
        </w:tc>
        <w:tc>
          <w:tcPr>
            <w:tcW w:w="1559" w:type="dxa"/>
            <w:tcBorders>
              <w:top w:val="nil"/>
              <w:left w:val="nil"/>
              <w:bottom w:val="single" w:sz="8" w:space="0" w:color="auto"/>
              <w:right w:val="single" w:sz="8" w:space="0" w:color="auto"/>
            </w:tcBorders>
            <w:shd w:val="clear" w:color="000000" w:fill="BFBFBF"/>
            <w:vAlign w:val="center"/>
            <w:hideMark/>
          </w:tcPr>
          <w:p w14:paraId="77AB0A2C" w14:textId="77777777" w:rsidR="00D619B4" w:rsidRPr="00E0368E" w:rsidRDefault="00D619B4" w:rsidP="001C13FB">
            <w:pPr>
              <w:jc w:val="center"/>
              <w:rPr>
                <w:b/>
                <w:bCs/>
                <w:color w:val="000000"/>
                <w:lang w:eastAsia="sk-SK"/>
              </w:rPr>
            </w:pPr>
            <w:r w:rsidRPr="00E0368E">
              <w:rPr>
                <w:b/>
                <w:bCs/>
                <w:color w:val="000000"/>
                <w:lang w:eastAsia="sk-SK"/>
              </w:rPr>
              <w:t>2023</w:t>
            </w:r>
          </w:p>
        </w:tc>
        <w:tc>
          <w:tcPr>
            <w:tcW w:w="1701" w:type="dxa"/>
            <w:tcBorders>
              <w:top w:val="nil"/>
              <w:left w:val="nil"/>
              <w:bottom w:val="single" w:sz="8" w:space="0" w:color="auto"/>
              <w:right w:val="single" w:sz="8" w:space="0" w:color="auto"/>
            </w:tcBorders>
            <w:shd w:val="clear" w:color="000000" w:fill="BFBFBF"/>
            <w:vAlign w:val="center"/>
            <w:hideMark/>
          </w:tcPr>
          <w:p w14:paraId="77B232D7" w14:textId="77777777" w:rsidR="00D619B4" w:rsidRPr="00E0368E" w:rsidRDefault="00D619B4" w:rsidP="001C13FB">
            <w:pPr>
              <w:jc w:val="center"/>
              <w:rPr>
                <w:b/>
                <w:bCs/>
                <w:color w:val="000000"/>
                <w:lang w:eastAsia="sk-SK"/>
              </w:rPr>
            </w:pPr>
            <w:r w:rsidRPr="00E0368E">
              <w:rPr>
                <w:b/>
                <w:bCs/>
                <w:color w:val="000000"/>
                <w:lang w:eastAsia="sk-SK"/>
              </w:rPr>
              <w:t>2024</w:t>
            </w:r>
          </w:p>
        </w:tc>
        <w:tc>
          <w:tcPr>
            <w:tcW w:w="1701" w:type="dxa"/>
            <w:tcBorders>
              <w:top w:val="nil"/>
              <w:left w:val="nil"/>
              <w:bottom w:val="single" w:sz="8" w:space="0" w:color="auto"/>
              <w:right w:val="single" w:sz="8" w:space="0" w:color="auto"/>
            </w:tcBorders>
            <w:shd w:val="clear" w:color="000000" w:fill="BFBFBF"/>
            <w:vAlign w:val="center"/>
            <w:hideMark/>
          </w:tcPr>
          <w:p w14:paraId="0A5561DD" w14:textId="77777777" w:rsidR="00D619B4" w:rsidRPr="00E0368E" w:rsidRDefault="00D619B4" w:rsidP="001C13FB">
            <w:pPr>
              <w:jc w:val="center"/>
              <w:rPr>
                <w:b/>
                <w:bCs/>
                <w:color w:val="000000"/>
                <w:lang w:eastAsia="sk-SK"/>
              </w:rPr>
            </w:pPr>
            <w:r w:rsidRPr="00E0368E">
              <w:rPr>
                <w:b/>
                <w:bCs/>
                <w:color w:val="000000"/>
                <w:lang w:eastAsia="sk-SK"/>
              </w:rPr>
              <w:t>2025</w:t>
            </w:r>
          </w:p>
        </w:tc>
        <w:tc>
          <w:tcPr>
            <w:tcW w:w="1418" w:type="dxa"/>
            <w:tcBorders>
              <w:top w:val="nil"/>
              <w:left w:val="nil"/>
              <w:bottom w:val="single" w:sz="8" w:space="0" w:color="auto"/>
              <w:right w:val="single" w:sz="8" w:space="0" w:color="auto"/>
            </w:tcBorders>
            <w:shd w:val="clear" w:color="000000" w:fill="BFBFBF"/>
            <w:vAlign w:val="center"/>
            <w:hideMark/>
          </w:tcPr>
          <w:p w14:paraId="0898033A" w14:textId="77777777" w:rsidR="00D619B4" w:rsidRPr="00E0368E" w:rsidRDefault="00D619B4" w:rsidP="001C13FB">
            <w:pPr>
              <w:jc w:val="center"/>
              <w:rPr>
                <w:b/>
                <w:bCs/>
                <w:color w:val="000000"/>
                <w:lang w:eastAsia="sk-SK"/>
              </w:rPr>
            </w:pPr>
            <w:r w:rsidRPr="00E0368E">
              <w:rPr>
                <w:b/>
                <w:bCs/>
                <w:color w:val="000000"/>
                <w:lang w:eastAsia="sk-SK"/>
              </w:rPr>
              <w:t>2026</w:t>
            </w:r>
          </w:p>
        </w:tc>
      </w:tr>
      <w:tr w:rsidR="00D619B4" w:rsidRPr="00E0368E" w14:paraId="70098A51"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hideMark/>
          </w:tcPr>
          <w:p w14:paraId="543F67D1" w14:textId="77777777" w:rsidR="00D619B4" w:rsidRPr="00E0368E" w:rsidRDefault="00D619B4" w:rsidP="001C13FB">
            <w:pPr>
              <w:rPr>
                <w:b/>
                <w:bCs/>
                <w:color w:val="000000"/>
                <w:lang w:eastAsia="sk-SK"/>
              </w:rPr>
            </w:pPr>
            <w:r w:rsidRPr="00E0368E">
              <w:rPr>
                <w:b/>
                <w:bCs/>
                <w:color w:val="000000"/>
                <w:lang w:eastAsia="sk-SK"/>
              </w:rPr>
              <w:t>Príjmy verejnej správy celkom</w:t>
            </w:r>
          </w:p>
        </w:tc>
        <w:tc>
          <w:tcPr>
            <w:tcW w:w="1559" w:type="dxa"/>
            <w:tcBorders>
              <w:top w:val="nil"/>
              <w:left w:val="nil"/>
              <w:bottom w:val="single" w:sz="8" w:space="0" w:color="auto"/>
              <w:right w:val="single" w:sz="8" w:space="0" w:color="auto"/>
            </w:tcBorders>
            <w:shd w:val="clear" w:color="000000" w:fill="C0C0C0"/>
            <w:vAlign w:val="center"/>
            <w:hideMark/>
          </w:tcPr>
          <w:p w14:paraId="1F7E9E2F"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000000" w:fill="C0C0C0"/>
            <w:vAlign w:val="center"/>
            <w:hideMark/>
          </w:tcPr>
          <w:p w14:paraId="57874212"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000000" w:fill="C0C0C0"/>
            <w:vAlign w:val="center"/>
            <w:hideMark/>
          </w:tcPr>
          <w:p w14:paraId="7AFE93F0" w14:textId="77777777" w:rsidR="00D619B4" w:rsidRPr="00E0368E" w:rsidRDefault="00D619B4" w:rsidP="001C13FB">
            <w:pPr>
              <w:jc w:val="right"/>
              <w:rPr>
                <w:b/>
                <w:bCs/>
                <w:color w:val="000000"/>
                <w:lang w:eastAsia="sk-SK"/>
              </w:rPr>
            </w:pPr>
            <w:r w:rsidRPr="00E0368E">
              <w:rPr>
                <w:b/>
                <w:bCs/>
                <w:color w:val="000000"/>
                <w:lang w:eastAsia="sk-SK"/>
              </w:rPr>
              <w:t>0</w:t>
            </w:r>
          </w:p>
        </w:tc>
        <w:tc>
          <w:tcPr>
            <w:tcW w:w="1418" w:type="dxa"/>
            <w:tcBorders>
              <w:top w:val="nil"/>
              <w:left w:val="nil"/>
              <w:bottom w:val="single" w:sz="8" w:space="0" w:color="auto"/>
              <w:right w:val="single" w:sz="8" w:space="0" w:color="auto"/>
            </w:tcBorders>
            <w:shd w:val="clear" w:color="000000" w:fill="C0C0C0"/>
            <w:vAlign w:val="center"/>
            <w:hideMark/>
          </w:tcPr>
          <w:p w14:paraId="137E5181" w14:textId="77777777" w:rsidR="00D619B4" w:rsidRPr="00E0368E" w:rsidRDefault="00D619B4" w:rsidP="001C13FB">
            <w:pPr>
              <w:jc w:val="right"/>
              <w:rPr>
                <w:b/>
                <w:bCs/>
                <w:color w:val="000000"/>
                <w:lang w:eastAsia="sk-SK"/>
              </w:rPr>
            </w:pPr>
            <w:r w:rsidRPr="00E0368E">
              <w:rPr>
                <w:b/>
                <w:bCs/>
                <w:color w:val="000000"/>
                <w:lang w:eastAsia="sk-SK"/>
              </w:rPr>
              <w:t>0</w:t>
            </w:r>
          </w:p>
        </w:tc>
      </w:tr>
      <w:tr w:rsidR="00D619B4" w:rsidRPr="00E0368E" w14:paraId="423D07BB"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390C3811" w14:textId="77777777" w:rsidR="00D619B4" w:rsidRPr="00E0368E" w:rsidRDefault="00D619B4" w:rsidP="001C13FB">
            <w:pPr>
              <w:rPr>
                <w:color w:val="000000"/>
                <w:lang w:eastAsia="sk-SK"/>
              </w:rPr>
            </w:pPr>
            <w:r w:rsidRPr="00E0368E">
              <w:rPr>
                <w:color w:val="000000"/>
                <w:lang w:eastAsia="sk-SK"/>
              </w:rPr>
              <w:t>v tom: za každý subjekt verejnej správy zvlášť</w:t>
            </w:r>
          </w:p>
        </w:tc>
        <w:tc>
          <w:tcPr>
            <w:tcW w:w="1559" w:type="dxa"/>
            <w:tcBorders>
              <w:top w:val="nil"/>
              <w:left w:val="nil"/>
              <w:bottom w:val="single" w:sz="8" w:space="0" w:color="auto"/>
              <w:right w:val="single" w:sz="8" w:space="0" w:color="auto"/>
            </w:tcBorders>
            <w:shd w:val="clear" w:color="auto" w:fill="auto"/>
            <w:noWrap/>
            <w:vAlign w:val="center"/>
            <w:hideMark/>
          </w:tcPr>
          <w:p w14:paraId="24CFBAB8" w14:textId="77777777" w:rsidR="00D619B4" w:rsidRPr="00E0368E" w:rsidRDefault="00D619B4" w:rsidP="001C13FB">
            <w:pPr>
              <w:jc w:val="right"/>
              <w:rPr>
                <w:color w:val="000000"/>
                <w:lang w:eastAsia="sk-SK"/>
              </w:rPr>
            </w:pPr>
            <w:r w:rsidRPr="00E0368E">
              <w:rPr>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503AF6D1" w14:textId="77777777" w:rsidR="00D619B4" w:rsidRPr="00E0368E" w:rsidRDefault="00D619B4" w:rsidP="001C13FB">
            <w:pPr>
              <w:jc w:val="right"/>
              <w:rPr>
                <w:color w:val="000000"/>
                <w:lang w:eastAsia="sk-SK"/>
              </w:rPr>
            </w:pPr>
            <w:r w:rsidRPr="00E0368E">
              <w:rPr>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011B7ED4" w14:textId="77777777" w:rsidR="00D619B4" w:rsidRPr="00E0368E" w:rsidRDefault="00D619B4" w:rsidP="001C13FB">
            <w:pPr>
              <w:jc w:val="right"/>
              <w:rPr>
                <w:color w:val="000000"/>
                <w:lang w:eastAsia="sk-SK"/>
              </w:rPr>
            </w:pPr>
            <w:r w:rsidRPr="00E0368E">
              <w:rPr>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6DD48C2" w14:textId="77777777" w:rsidR="00D619B4" w:rsidRPr="00E0368E" w:rsidRDefault="00D619B4" w:rsidP="001C13FB">
            <w:pPr>
              <w:jc w:val="right"/>
              <w:rPr>
                <w:color w:val="000000"/>
                <w:lang w:eastAsia="sk-SK"/>
              </w:rPr>
            </w:pPr>
            <w:r w:rsidRPr="00E0368E">
              <w:rPr>
                <w:color w:val="000000"/>
                <w:lang w:eastAsia="sk-SK"/>
              </w:rPr>
              <w:t>0</w:t>
            </w:r>
          </w:p>
        </w:tc>
      </w:tr>
      <w:tr w:rsidR="00D619B4" w:rsidRPr="00E0368E" w14:paraId="7EC36CA8"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3A5E5A54" w14:textId="77777777" w:rsidR="00D619B4" w:rsidRPr="00E0368E" w:rsidRDefault="00D619B4" w:rsidP="001C13FB">
            <w:pPr>
              <w:rPr>
                <w:b/>
                <w:bCs/>
                <w:i/>
                <w:iCs/>
                <w:color w:val="000000"/>
                <w:lang w:eastAsia="sk-SK"/>
              </w:rPr>
            </w:pPr>
            <w:r w:rsidRPr="00E0368E">
              <w:rPr>
                <w:b/>
                <w:bCs/>
                <w:i/>
                <w:iCs/>
                <w:color w:val="000000"/>
                <w:lang w:eastAsia="sk-SK"/>
              </w:rPr>
              <w:t xml:space="preserve">z toho:  </w:t>
            </w:r>
          </w:p>
        </w:tc>
        <w:tc>
          <w:tcPr>
            <w:tcW w:w="1559" w:type="dxa"/>
            <w:tcBorders>
              <w:top w:val="nil"/>
              <w:left w:val="nil"/>
              <w:bottom w:val="single" w:sz="8" w:space="0" w:color="auto"/>
              <w:right w:val="single" w:sz="8" w:space="0" w:color="auto"/>
            </w:tcBorders>
            <w:shd w:val="clear" w:color="auto" w:fill="auto"/>
            <w:noWrap/>
            <w:vAlign w:val="center"/>
            <w:hideMark/>
          </w:tcPr>
          <w:p w14:paraId="50BC0BF3" w14:textId="77777777" w:rsidR="00D619B4" w:rsidRPr="00E0368E" w:rsidRDefault="00D619B4" w:rsidP="001C13FB">
            <w:pPr>
              <w:jc w:val="right"/>
              <w:rPr>
                <w:b/>
                <w:bCs/>
                <w:color w:val="000000"/>
                <w:lang w:eastAsia="sk-SK"/>
              </w:rPr>
            </w:pPr>
            <w:r w:rsidRPr="00E0368E">
              <w:rPr>
                <w:b/>
                <w:bCs/>
                <w:color w:val="000000"/>
                <w:lang w:eastAsia="sk-SK"/>
              </w:rPr>
              <w:t> </w:t>
            </w:r>
          </w:p>
        </w:tc>
        <w:tc>
          <w:tcPr>
            <w:tcW w:w="1701" w:type="dxa"/>
            <w:tcBorders>
              <w:top w:val="nil"/>
              <w:left w:val="nil"/>
              <w:bottom w:val="single" w:sz="8" w:space="0" w:color="auto"/>
              <w:right w:val="single" w:sz="8" w:space="0" w:color="auto"/>
            </w:tcBorders>
            <w:shd w:val="clear" w:color="auto" w:fill="auto"/>
            <w:noWrap/>
            <w:vAlign w:val="center"/>
            <w:hideMark/>
          </w:tcPr>
          <w:p w14:paraId="59235566" w14:textId="77777777" w:rsidR="00D619B4" w:rsidRPr="00E0368E" w:rsidRDefault="00D619B4" w:rsidP="001C13FB">
            <w:pPr>
              <w:jc w:val="right"/>
              <w:rPr>
                <w:b/>
                <w:bCs/>
                <w:color w:val="000000"/>
                <w:lang w:eastAsia="sk-SK"/>
              </w:rPr>
            </w:pPr>
            <w:r w:rsidRPr="00E0368E">
              <w:rPr>
                <w:b/>
                <w:bCs/>
                <w:color w:val="000000"/>
                <w:lang w:eastAsia="sk-SK"/>
              </w:rPr>
              <w:t> </w:t>
            </w:r>
          </w:p>
        </w:tc>
        <w:tc>
          <w:tcPr>
            <w:tcW w:w="1701" w:type="dxa"/>
            <w:tcBorders>
              <w:top w:val="nil"/>
              <w:left w:val="nil"/>
              <w:bottom w:val="single" w:sz="8" w:space="0" w:color="auto"/>
              <w:right w:val="single" w:sz="8" w:space="0" w:color="auto"/>
            </w:tcBorders>
            <w:shd w:val="clear" w:color="auto" w:fill="auto"/>
            <w:noWrap/>
            <w:vAlign w:val="center"/>
            <w:hideMark/>
          </w:tcPr>
          <w:p w14:paraId="3B900804" w14:textId="77777777" w:rsidR="00D619B4" w:rsidRPr="00E0368E" w:rsidRDefault="00D619B4" w:rsidP="001C13FB">
            <w:pPr>
              <w:jc w:val="right"/>
              <w:rPr>
                <w:b/>
                <w:bCs/>
                <w:color w:val="000000"/>
                <w:lang w:eastAsia="sk-SK"/>
              </w:rPr>
            </w:pPr>
            <w:r w:rsidRPr="00E0368E">
              <w:rPr>
                <w:b/>
                <w:bCs/>
                <w:color w:val="000000"/>
                <w:lang w:eastAsia="sk-SK"/>
              </w:rPr>
              <w:t> </w:t>
            </w:r>
          </w:p>
        </w:tc>
        <w:tc>
          <w:tcPr>
            <w:tcW w:w="1418" w:type="dxa"/>
            <w:tcBorders>
              <w:top w:val="nil"/>
              <w:left w:val="nil"/>
              <w:bottom w:val="single" w:sz="8" w:space="0" w:color="auto"/>
              <w:right w:val="single" w:sz="8" w:space="0" w:color="auto"/>
            </w:tcBorders>
            <w:shd w:val="clear" w:color="auto" w:fill="auto"/>
            <w:noWrap/>
            <w:vAlign w:val="center"/>
            <w:hideMark/>
          </w:tcPr>
          <w:p w14:paraId="1F9052C1" w14:textId="77777777" w:rsidR="00D619B4" w:rsidRPr="00E0368E" w:rsidRDefault="00D619B4" w:rsidP="001C13FB">
            <w:pPr>
              <w:jc w:val="right"/>
              <w:rPr>
                <w:b/>
                <w:bCs/>
                <w:color w:val="000000"/>
                <w:lang w:eastAsia="sk-SK"/>
              </w:rPr>
            </w:pPr>
            <w:r w:rsidRPr="00E0368E">
              <w:rPr>
                <w:b/>
                <w:bCs/>
                <w:color w:val="000000"/>
                <w:lang w:eastAsia="sk-SK"/>
              </w:rPr>
              <w:t> </w:t>
            </w:r>
          </w:p>
        </w:tc>
      </w:tr>
      <w:tr w:rsidR="00D619B4" w:rsidRPr="00E0368E" w14:paraId="3F19A5B2"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2A2C723A" w14:textId="77777777" w:rsidR="00D619B4" w:rsidRPr="00E0368E" w:rsidRDefault="00D619B4" w:rsidP="001C13FB">
            <w:pPr>
              <w:rPr>
                <w:b/>
                <w:bCs/>
                <w:i/>
                <w:i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auto" w:fill="auto"/>
            <w:noWrap/>
            <w:vAlign w:val="center"/>
            <w:hideMark/>
          </w:tcPr>
          <w:p w14:paraId="0626E507"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1D2CFBBC"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61C22BFE" w14:textId="77777777" w:rsidR="00D619B4" w:rsidRPr="00E0368E" w:rsidRDefault="00D619B4" w:rsidP="001C13FB">
            <w:pPr>
              <w:jc w:val="right"/>
              <w:rPr>
                <w:b/>
                <w:bCs/>
                <w:color w:val="000000"/>
                <w:lang w:eastAsia="sk-SK"/>
              </w:rPr>
            </w:pPr>
            <w:r w:rsidRPr="00E0368E">
              <w:rPr>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711EA129" w14:textId="77777777" w:rsidR="00D619B4" w:rsidRPr="00E0368E" w:rsidRDefault="00D619B4" w:rsidP="001C13FB">
            <w:pPr>
              <w:jc w:val="right"/>
              <w:rPr>
                <w:b/>
                <w:bCs/>
                <w:color w:val="000000"/>
                <w:lang w:eastAsia="sk-SK"/>
              </w:rPr>
            </w:pPr>
            <w:r w:rsidRPr="00E0368E">
              <w:rPr>
                <w:b/>
                <w:bCs/>
                <w:color w:val="000000"/>
                <w:lang w:eastAsia="sk-SK"/>
              </w:rPr>
              <w:t>0</w:t>
            </w:r>
          </w:p>
        </w:tc>
      </w:tr>
      <w:tr w:rsidR="00D619B4" w:rsidRPr="00E0368E" w14:paraId="284F7702"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55F6649F" w14:textId="77777777" w:rsidR="00D619B4" w:rsidRPr="00E0368E" w:rsidRDefault="00D619B4" w:rsidP="001C13FB">
            <w:pPr>
              <w:ind w:firstLineChars="100" w:firstLine="240"/>
              <w:rPr>
                <w:i/>
                <w:i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auto" w:fill="auto"/>
            <w:noWrap/>
            <w:vAlign w:val="center"/>
            <w:hideMark/>
          </w:tcPr>
          <w:p w14:paraId="687F0220"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6B8161B6"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5D8E6605" w14:textId="77777777" w:rsidR="00D619B4" w:rsidRPr="00E0368E" w:rsidRDefault="00D619B4" w:rsidP="001C13FB">
            <w:pPr>
              <w:jc w:val="right"/>
              <w:rPr>
                <w:b/>
                <w:bCs/>
                <w:color w:val="000000"/>
                <w:lang w:eastAsia="sk-SK"/>
              </w:rPr>
            </w:pPr>
            <w:r w:rsidRPr="00E0368E">
              <w:rPr>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3AECC507" w14:textId="77777777" w:rsidR="00D619B4" w:rsidRPr="00E0368E" w:rsidRDefault="00D619B4" w:rsidP="001C13FB">
            <w:pPr>
              <w:jc w:val="right"/>
              <w:rPr>
                <w:b/>
                <w:bCs/>
                <w:color w:val="000000"/>
                <w:lang w:eastAsia="sk-SK"/>
              </w:rPr>
            </w:pPr>
            <w:r w:rsidRPr="00E0368E">
              <w:rPr>
                <w:b/>
                <w:bCs/>
                <w:color w:val="000000"/>
                <w:lang w:eastAsia="sk-SK"/>
              </w:rPr>
              <w:t>0</w:t>
            </w:r>
          </w:p>
        </w:tc>
      </w:tr>
      <w:tr w:rsidR="00D619B4" w:rsidRPr="00E0368E" w14:paraId="515DF9EF"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0B955CEC" w14:textId="77777777" w:rsidR="00D619B4" w:rsidRPr="00E0368E" w:rsidRDefault="00D619B4" w:rsidP="001C13FB">
            <w:pPr>
              <w:ind w:firstLineChars="100" w:firstLine="240"/>
              <w:rPr>
                <w:i/>
                <w:iCs/>
                <w:color w:val="000000"/>
                <w:lang w:eastAsia="sk-SK"/>
              </w:rPr>
            </w:pPr>
            <w:r w:rsidRPr="00E0368E">
              <w:rPr>
                <w:i/>
                <w:iCs/>
                <w:color w:val="000000"/>
                <w:lang w:eastAsia="sk-SK"/>
              </w:rPr>
              <w:t>EÚ zdroje</w:t>
            </w:r>
          </w:p>
        </w:tc>
        <w:tc>
          <w:tcPr>
            <w:tcW w:w="1559" w:type="dxa"/>
            <w:tcBorders>
              <w:top w:val="nil"/>
              <w:left w:val="nil"/>
              <w:bottom w:val="single" w:sz="8" w:space="0" w:color="auto"/>
              <w:right w:val="single" w:sz="8" w:space="0" w:color="auto"/>
            </w:tcBorders>
            <w:shd w:val="clear" w:color="auto" w:fill="auto"/>
            <w:noWrap/>
            <w:vAlign w:val="center"/>
            <w:hideMark/>
          </w:tcPr>
          <w:p w14:paraId="7C1A915D" w14:textId="77777777" w:rsidR="00D619B4" w:rsidRPr="00E0368E" w:rsidRDefault="00D619B4" w:rsidP="001C13FB">
            <w:pPr>
              <w:jc w:val="right"/>
              <w:rPr>
                <w:color w:val="000000"/>
                <w:lang w:eastAsia="sk-SK"/>
              </w:rPr>
            </w:pPr>
            <w:r w:rsidRPr="00E0368E">
              <w:rPr>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22478F81" w14:textId="77777777" w:rsidR="00D619B4" w:rsidRPr="00E0368E" w:rsidRDefault="00D619B4" w:rsidP="001C13FB">
            <w:pPr>
              <w:jc w:val="right"/>
              <w:rPr>
                <w:color w:val="000000"/>
                <w:lang w:eastAsia="sk-SK"/>
              </w:rPr>
            </w:pPr>
            <w:r w:rsidRPr="00E0368E">
              <w:rPr>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2E58FEF0" w14:textId="77777777" w:rsidR="00D619B4" w:rsidRPr="00E0368E" w:rsidRDefault="00D619B4" w:rsidP="001C13FB">
            <w:pPr>
              <w:jc w:val="right"/>
              <w:rPr>
                <w:color w:val="000000"/>
                <w:lang w:eastAsia="sk-SK"/>
              </w:rPr>
            </w:pPr>
            <w:r w:rsidRPr="00E0368E">
              <w:rPr>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7390412" w14:textId="77777777" w:rsidR="00D619B4" w:rsidRPr="00E0368E" w:rsidRDefault="00D619B4" w:rsidP="001C13FB">
            <w:pPr>
              <w:jc w:val="right"/>
              <w:rPr>
                <w:color w:val="000000"/>
                <w:lang w:eastAsia="sk-SK"/>
              </w:rPr>
            </w:pPr>
            <w:r w:rsidRPr="00E0368E">
              <w:rPr>
                <w:color w:val="000000"/>
                <w:lang w:eastAsia="sk-SK"/>
              </w:rPr>
              <w:t>0</w:t>
            </w:r>
          </w:p>
        </w:tc>
      </w:tr>
      <w:tr w:rsidR="00D619B4" w:rsidRPr="00E0368E" w14:paraId="23BC5470"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1D4A2609"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auto" w:fill="auto"/>
            <w:noWrap/>
            <w:vAlign w:val="center"/>
            <w:hideMark/>
          </w:tcPr>
          <w:p w14:paraId="40A1E370"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1D9F140F"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7AD14B27" w14:textId="77777777" w:rsidR="00D619B4" w:rsidRPr="00E0368E" w:rsidRDefault="00D619B4" w:rsidP="001C13FB">
            <w:pPr>
              <w:jc w:val="right"/>
              <w:rPr>
                <w:b/>
                <w:bCs/>
                <w:color w:val="000000"/>
                <w:lang w:eastAsia="sk-SK"/>
              </w:rPr>
            </w:pPr>
            <w:r w:rsidRPr="00E0368E">
              <w:rPr>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4A3D10DA" w14:textId="77777777" w:rsidR="00D619B4" w:rsidRPr="00E0368E" w:rsidRDefault="00D619B4" w:rsidP="001C13FB">
            <w:pPr>
              <w:jc w:val="right"/>
              <w:rPr>
                <w:b/>
                <w:bCs/>
                <w:color w:val="000000"/>
                <w:lang w:eastAsia="sk-SK"/>
              </w:rPr>
            </w:pPr>
            <w:r w:rsidRPr="00E0368E">
              <w:rPr>
                <w:b/>
                <w:bCs/>
                <w:color w:val="000000"/>
                <w:lang w:eastAsia="sk-SK"/>
              </w:rPr>
              <w:t>0</w:t>
            </w:r>
          </w:p>
        </w:tc>
      </w:tr>
      <w:tr w:rsidR="00D619B4" w:rsidRPr="00E0368E" w14:paraId="2F55A4E4"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0B000CFB"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auto" w:fill="auto"/>
            <w:noWrap/>
            <w:vAlign w:val="center"/>
            <w:hideMark/>
          </w:tcPr>
          <w:p w14:paraId="1BFEA6D1"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13526B28" w14:textId="77777777" w:rsidR="00D619B4" w:rsidRPr="00E0368E" w:rsidRDefault="00D619B4" w:rsidP="001C13FB">
            <w:pPr>
              <w:jc w:val="right"/>
              <w:rPr>
                <w:b/>
                <w:bCs/>
                <w:color w:val="000000"/>
                <w:lang w:eastAsia="sk-SK"/>
              </w:rPr>
            </w:pPr>
            <w:r w:rsidRPr="00E0368E">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5BE59F18" w14:textId="77777777" w:rsidR="00D619B4" w:rsidRPr="00E0368E" w:rsidRDefault="00D619B4" w:rsidP="001C13FB">
            <w:pPr>
              <w:jc w:val="right"/>
              <w:rPr>
                <w:b/>
                <w:bCs/>
                <w:color w:val="000000"/>
                <w:lang w:eastAsia="sk-SK"/>
              </w:rPr>
            </w:pPr>
            <w:r w:rsidRPr="00E0368E">
              <w:rPr>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13153317" w14:textId="77777777" w:rsidR="00D619B4" w:rsidRPr="00E0368E" w:rsidRDefault="00D619B4" w:rsidP="001C13FB">
            <w:pPr>
              <w:jc w:val="right"/>
              <w:rPr>
                <w:b/>
                <w:bCs/>
                <w:color w:val="000000"/>
                <w:lang w:eastAsia="sk-SK"/>
              </w:rPr>
            </w:pPr>
            <w:r w:rsidRPr="00E0368E">
              <w:rPr>
                <w:b/>
                <w:bCs/>
                <w:color w:val="000000"/>
                <w:lang w:eastAsia="sk-SK"/>
              </w:rPr>
              <w:t>0</w:t>
            </w:r>
          </w:p>
        </w:tc>
      </w:tr>
      <w:tr w:rsidR="00D619B4" w:rsidRPr="00E0368E" w14:paraId="77AF68AC"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03A386C3"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auto" w:fill="auto"/>
            <w:noWrap/>
            <w:vAlign w:val="center"/>
            <w:hideMark/>
          </w:tcPr>
          <w:p w14:paraId="3375A8B4" w14:textId="77777777" w:rsidR="00D619B4" w:rsidRPr="00B05A3C" w:rsidRDefault="00D619B4" w:rsidP="001C13FB">
            <w:pPr>
              <w:jc w:val="right"/>
              <w:rPr>
                <w:b/>
                <w:bCs/>
                <w:color w:val="000000"/>
                <w:lang w:eastAsia="sk-SK"/>
              </w:rPr>
            </w:pPr>
            <w:r w:rsidRPr="00B05A3C">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43D5CE44" w14:textId="77777777" w:rsidR="00D619B4" w:rsidRPr="00B05A3C" w:rsidRDefault="00D619B4" w:rsidP="001C13FB">
            <w:pPr>
              <w:jc w:val="right"/>
              <w:rPr>
                <w:b/>
                <w:bCs/>
                <w:color w:val="000000"/>
                <w:lang w:eastAsia="sk-SK"/>
              </w:rPr>
            </w:pPr>
            <w:r w:rsidRPr="00B05A3C">
              <w:rPr>
                <w:b/>
                <w:bCs/>
                <w:color w:val="000000"/>
                <w:lang w:eastAsia="sk-SK"/>
              </w:rPr>
              <w:t>0</w:t>
            </w:r>
          </w:p>
        </w:tc>
        <w:tc>
          <w:tcPr>
            <w:tcW w:w="1701" w:type="dxa"/>
            <w:tcBorders>
              <w:top w:val="nil"/>
              <w:left w:val="nil"/>
              <w:bottom w:val="single" w:sz="8" w:space="0" w:color="auto"/>
              <w:right w:val="single" w:sz="8" w:space="0" w:color="auto"/>
            </w:tcBorders>
            <w:shd w:val="clear" w:color="auto" w:fill="auto"/>
            <w:noWrap/>
            <w:vAlign w:val="center"/>
            <w:hideMark/>
          </w:tcPr>
          <w:p w14:paraId="7C56EE7A" w14:textId="77777777" w:rsidR="00D619B4" w:rsidRPr="00B05A3C" w:rsidRDefault="00D619B4" w:rsidP="001C13FB">
            <w:pPr>
              <w:jc w:val="right"/>
              <w:rPr>
                <w:b/>
                <w:bCs/>
                <w:color w:val="000000"/>
                <w:lang w:eastAsia="sk-SK"/>
              </w:rPr>
            </w:pPr>
            <w:r w:rsidRPr="00B05A3C">
              <w:rPr>
                <w:b/>
                <w:bCs/>
                <w:color w:val="000000"/>
                <w:lang w:eastAsia="sk-SK"/>
              </w:rPr>
              <w:t>0</w:t>
            </w:r>
          </w:p>
        </w:tc>
        <w:tc>
          <w:tcPr>
            <w:tcW w:w="1418" w:type="dxa"/>
            <w:tcBorders>
              <w:top w:val="nil"/>
              <w:left w:val="nil"/>
              <w:bottom w:val="single" w:sz="8" w:space="0" w:color="auto"/>
              <w:right w:val="single" w:sz="8" w:space="0" w:color="auto"/>
            </w:tcBorders>
            <w:shd w:val="clear" w:color="auto" w:fill="auto"/>
            <w:noWrap/>
            <w:vAlign w:val="center"/>
            <w:hideMark/>
          </w:tcPr>
          <w:p w14:paraId="2E07AE1D" w14:textId="77777777" w:rsidR="00D619B4" w:rsidRPr="00B05A3C" w:rsidRDefault="00D619B4" w:rsidP="001C13FB">
            <w:pPr>
              <w:jc w:val="right"/>
              <w:rPr>
                <w:b/>
                <w:bCs/>
                <w:color w:val="000000"/>
                <w:lang w:eastAsia="sk-SK"/>
              </w:rPr>
            </w:pPr>
            <w:r w:rsidRPr="00B05A3C">
              <w:rPr>
                <w:b/>
                <w:bCs/>
                <w:color w:val="000000"/>
                <w:lang w:eastAsia="sk-SK"/>
              </w:rPr>
              <w:t>0</w:t>
            </w:r>
          </w:p>
        </w:tc>
      </w:tr>
      <w:tr w:rsidR="00D619B4" w:rsidRPr="00E0368E" w14:paraId="1436E8FB"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hideMark/>
          </w:tcPr>
          <w:p w14:paraId="1F4F7C08" w14:textId="77777777" w:rsidR="00D619B4" w:rsidRPr="00E0368E" w:rsidRDefault="00D619B4" w:rsidP="001C13FB">
            <w:pPr>
              <w:rPr>
                <w:b/>
                <w:bCs/>
                <w:color w:val="000000"/>
                <w:lang w:eastAsia="sk-SK"/>
              </w:rPr>
            </w:pPr>
            <w:r w:rsidRPr="00E0368E">
              <w:rPr>
                <w:b/>
                <w:bCs/>
                <w:color w:val="000000"/>
                <w:lang w:eastAsia="sk-SK"/>
              </w:rPr>
              <w:t>Výdavky verejnej správy celkom</w:t>
            </w:r>
          </w:p>
        </w:tc>
        <w:tc>
          <w:tcPr>
            <w:tcW w:w="1559" w:type="dxa"/>
            <w:tcBorders>
              <w:top w:val="nil"/>
              <w:left w:val="nil"/>
              <w:bottom w:val="single" w:sz="8" w:space="0" w:color="auto"/>
              <w:right w:val="single" w:sz="8" w:space="0" w:color="auto"/>
            </w:tcBorders>
            <w:shd w:val="clear" w:color="000000" w:fill="C0C0C0"/>
            <w:noWrap/>
            <w:vAlign w:val="center"/>
            <w:hideMark/>
          </w:tcPr>
          <w:p w14:paraId="475607F6" w14:textId="77777777" w:rsidR="00D619B4" w:rsidRPr="000C290E" w:rsidRDefault="00D619B4" w:rsidP="001C13FB">
            <w:pPr>
              <w:jc w:val="right"/>
              <w:rPr>
                <w:b/>
                <w:bCs/>
                <w:color w:val="000000"/>
                <w:lang w:eastAsia="sk-SK"/>
              </w:rPr>
            </w:pPr>
            <w:r>
              <w:rPr>
                <w:b/>
                <w:bCs/>
                <w:color w:val="000000"/>
              </w:rPr>
              <w:t>543 979</w:t>
            </w:r>
          </w:p>
        </w:tc>
        <w:tc>
          <w:tcPr>
            <w:tcW w:w="1701" w:type="dxa"/>
            <w:tcBorders>
              <w:top w:val="nil"/>
              <w:left w:val="nil"/>
              <w:bottom w:val="single" w:sz="8" w:space="0" w:color="auto"/>
              <w:right w:val="single" w:sz="8" w:space="0" w:color="auto"/>
            </w:tcBorders>
            <w:shd w:val="clear" w:color="000000" w:fill="C0C0C0"/>
            <w:noWrap/>
            <w:vAlign w:val="center"/>
            <w:hideMark/>
          </w:tcPr>
          <w:p w14:paraId="4A7C4607" w14:textId="77777777" w:rsidR="00D619B4" w:rsidRPr="00B05A3C" w:rsidRDefault="00D619B4" w:rsidP="001C13FB">
            <w:pPr>
              <w:jc w:val="right"/>
              <w:rPr>
                <w:b/>
                <w:bCs/>
                <w:color w:val="000000"/>
                <w:lang w:eastAsia="sk-SK"/>
              </w:rPr>
            </w:pPr>
            <w:r>
              <w:rPr>
                <w:b/>
                <w:bCs/>
                <w:color w:val="000000"/>
              </w:rPr>
              <w:t>1 841 826</w:t>
            </w:r>
          </w:p>
        </w:tc>
        <w:tc>
          <w:tcPr>
            <w:tcW w:w="1701" w:type="dxa"/>
            <w:tcBorders>
              <w:top w:val="nil"/>
              <w:left w:val="nil"/>
              <w:bottom w:val="single" w:sz="8" w:space="0" w:color="auto"/>
              <w:right w:val="single" w:sz="8" w:space="0" w:color="auto"/>
            </w:tcBorders>
            <w:shd w:val="clear" w:color="000000" w:fill="C0C0C0"/>
            <w:noWrap/>
            <w:hideMark/>
          </w:tcPr>
          <w:p w14:paraId="1C975655" w14:textId="77777777" w:rsidR="00D619B4" w:rsidRPr="00B05A3C" w:rsidRDefault="00D619B4" w:rsidP="001C13FB">
            <w:pPr>
              <w:jc w:val="right"/>
              <w:rPr>
                <w:b/>
                <w:bCs/>
                <w:color w:val="000000"/>
                <w:lang w:eastAsia="sk-SK"/>
              </w:rPr>
            </w:pPr>
            <w:r>
              <w:rPr>
                <w:b/>
                <w:bCs/>
                <w:color w:val="000000"/>
              </w:rPr>
              <w:t>1 841 826</w:t>
            </w:r>
          </w:p>
        </w:tc>
        <w:tc>
          <w:tcPr>
            <w:tcW w:w="1418" w:type="dxa"/>
            <w:tcBorders>
              <w:top w:val="nil"/>
              <w:left w:val="nil"/>
              <w:bottom w:val="single" w:sz="8" w:space="0" w:color="auto"/>
              <w:right w:val="single" w:sz="8" w:space="0" w:color="auto"/>
            </w:tcBorders>
            <w:shd w:val="clear" w:color="000000" w:fill="C0C0C0"/>
            <w:noWrap/>
            <w:hideMark/>
          </w:tcPr>
          <w:p w14:paraId="74D7C1E8" w14:textId="77777777" w:rsidR="00D619B4" w:rsidRPr="00B05A3C" w:rsidRDefault="00D619B4" w:rsidP="001C13FB">
            <w:pPr>
              <w:jc w:val="right"/>
              <w:rPr>
                <w:b/>
                <w:bCs/>
                <w:color w:val="000000"/>
                <w:lang w:eastAsia="sk-SK"/>
              </w:rPr>
            </w:pPr>
            <w:r>
              <w:rPr>
                <w:b/>
                <w:bCs/>
                <w:color w:val="000000"/>
              </w:rPr>
              <w:t>1 841 826</w:t>
            </w:r>
          </w:p>
        </w:tc>
      </w:tr>
      <w:tr w:rsidR="00D619B4" w:rsidRPr="00E0368E" w14:paraId="7C9A6977"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199496DD" w14:textId="77777777" w:rsidR="00D619B4" w:rsidRPr="00CA1711" w:rsidRDefault="00D619B4" w:rsidP="001C13FB">
            <w:pPr>
              <w:rPr>
                <w:b/>
                <w:color w:val="000000"/>
                <w:lang w:eastAsia="sk-SK"/>
              </w:rPr>
            </w:pPr>
            <w:r w:rsidRPr="00CA1711">
              <w:rPr>
                <w:b/>
                <w:color w:val="000000"/>
                <w:lang w:eastAsia="sk-SK"/>
              </w:rPr>
              <w:t>v tom: MIRRI SR</w:t>
            </w:r>
          </w:p>
        </w:tc>
        <w:tc>
          <w:tcPr>
            <w:tcW w:w="1559" w:type="dxa"/>
            <w:tcBorders>
              <w:top w:val="nil"/>
              <w:left w:val="nil"/>
              <w:bottom w:val="single" w:sz="8" w:space="0" w:color="auto"/>
              <w:right w:val="single" w:sz="8" w:space="0" w:color="auto"/>
            </w:tcBorders>
            <w:shd w:val="clear" w:color="auto" w:fill="auto"/>
            <w:noWrap/>
            <w:vAlign w:val="center"/>
            <w:hideMark/>
          </w:tcPr>
          <w:p w14:paraId="746C602B" w14:textId="77777777" w:rsidR="00D619B4" w:rsidRPr="000C290E" w:rsidRDefault="00D619B4" w:rsidP="001C13FB">
            <w:pPr>
              <w:jc w:val="right"/>
              <w:rPr>
                <w:b/>
                <w:bCs/>
                <w:color w:val="000000"/>
                <w:lang w:eastAsia="sk-SK"/>
              </w:rPr>
            </w:pPr>
            <w:r>
              <w:rPr>
                <w:b/>
                <w:bCs/>
                <w:color w:val="000000"/>
              </w:rPr>
              <w:t>156 434</w:t>
            </w:r>
          </w:p>
        </w:tc>
        <w:tc>
          <w:tcPr>
            <w:tcW w:w="1701" w:type="dxa"/>
            <w:tcBorders>
              <w:top w:val="nil"/>
              <w:left w:val="nil"/>
              <w:bottom w:val="single" w:sz="8" w:space="0" w:color="auto"/>
              <w:right w:val="single" w:sz="8" w:space="0" w:color="auto"/>
            </w:tcBorders>
            <w:shd w:val="clear" w:color="auto" w:fill="auto"/>
            <w:noWrap/>
            <w:vAlign w:val="center"/>
            <w:hideMark/>
          </w:tcPr>
          <w:p w14:paraId="7CB24130" w14:textId="77777777" w:rsidR="00D619B4" w:rsidRPr="00B05A3C" w:rsidRDefault="00D619B4" w:rsidP="001C13FB">
            <w:pPr>
              <w:jc w:val="right"/>
              <w:rPr>
                <w:b/>
                <w:bCs/>
                <w:color w:val="000000"/>
                <w:lang w:eastAsia="sk-SK"/>
              </w:rPr>
            </w:pPr>
            <w:r w:rsidRPr="00B05A3C">
              <w:rPr>
                <w:b/>
                <w:bCs/>
                <w:color w:val="000000"/>
              </w:rPr>
              <w:t>911 722</w:t>
            </w:r>
          </w:p>
        </w:tc>
        <w:tc>
          <w:tcPr>
            <w:tcW w:w="1701" w:type="dxa"/>
            <w:tcBorders>
              <w:top w:val="nil"/>
              <w:left w:val="nil"/>
              <w:bottom w:val="single" w:sz="8" w:space="0" w:color="auto"/>
              <w:right w:val="single" w:sz="8" w:space="0" w:color="auto"/>
            </w:tcBorders>
            <w:shd w:val="clear" w:color="auto" w:fill="auto"/>
            <w:noWrap/>
            <w:vAlign w:val="center"/>
            <w:hideMark/>
          </w:tcPr>
          <w:p w14:paraId="5D7BBA1C" w14:textId="77777777" w:rsidR="00D619B4" w:rsidRPr="00B05A3C" w:rsidRDefault="00D619B4" w:rsidP="001C13FB">
            <w:pPr>
              <w:jc w:val="right"/>
              <w:rPr>
                <w:b/>
                <w:bCs/>
                <w:color w:val="000000"/>
                <w:lang w:eastAsia="sk-SK"/>
              </w:rPr>
            </w:pPr>
            <w:r w:rsidRPr="00B05A3C">
              <w:rPr>
                <w:b/>
                <w:bCs/>
                <w:color w:val="000000"/>
              </w:rPr>
              <w:t>911 722</w:t>
            </w:r>
          </w:p>
        </w:tc>
        <w:tc>
          <w:tcPr>
            <w:tcW w:w="1418" w:type="dxa"/>
            <w:tcBorders>
              <w:top w:val="nil"/>
              <w:left w:val="nil"/>
              <w:bottom w:val="single" w:sz="8" w:space="0" w:color="auto"/>
              <w:right w:val="single" w:sz="8" w:space="0" w:color="auto"/>
            </w:tcBorders>
            <w:shd w:val="clear" w:color="auto" w:fill="auto"/>
            <w:noWrap/>
            <w:vAlign w:val="center"/>
            <w:hideMark/>
          </w:tcPr>
          <w:p w14:paraId="6E9F9EC2" w14:textId="77777777" w:rsidR="00D619B4" w:rsidRPr="00B05A3C" w:rsidRDefault="00D619B4" w:rsidP="001C13FB">
            <w:pPr>
              <w:jc w:val="right"/>
              <w:rPr>
                <w:b/>
                <w:bCs/>
                <w:color w:val="000000"/>
                <w:lang w:eastAsia="sk-SK"/>
              </w:rPr>
            </w:pPr>
            <w:r w:rsidRPr="00B05A3C">
              <w:rPr>
                <w:b/>
                <w:bCs/>
                <w:color w:val="000000"/>
              </w:rPr>
              <w:t>911 722</w:t>
            </w:r>
          </w:p>
        </w:tc>
      </w:tr>
      <w:tr w:rsidR="00D619B4" w:rsidRPr="00E0368E" w14:paraId="208B8920"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4ACCF723" w14:textId="77777777" w:rsidR="00D619B4" w:rsidRPr="00E0368E" w:rsidRDefault="00D619B4" w:rsidP="001C13FB">
            <w:pPr>
              <w:rPr>
                <w:b/>
                <w:bCs/>
                <w:i/>
                <w:iCs/>
                <w:color w:val="000000"/>
                <w:lang w:eastAsia="sk-SK"/>
              </w:rPr>
            </w:pPr>
            <w:r w:rsidRPr="00E0368E">
              <w:rPr>
                <w:b/>
                <w:bCs/>
                <w:i/>
                <w:iCs/>
                <w:color w:val="000000"/>
                <w:lang w:eastAsia="sk-SK"/>
              </w:rPr>
              <w:t xml:space="preserve">z toho: </w:t>
            </w:r>
          </w:p>
        </w:tc>
        <w:tc>
          <w:tcPr>
            <w:tcW w:w="1559" w:type="dxa"/>
            <w:tcBorders>
              <w:top w:val="nil"/>
              <w:left w:val="nil"/>
              <w:bottom w:val="single" w:sz="8" w:space="0" w:color="auto"/>
              <w:right w:val="single" w:sz="8" w:space="0" w:color="auto"/>
            </w:tcBorders>
            <w:shd w:val="clear" w:color="auto" w:fill="auto"/>
            <w:noWrap/>
            <w:vAlign w:val="center"/>
            <w:hideMark/>
          </w:tcPr>
          <w:p w14:paraId="3431CBC3" w14:textId="77777777" w:rsidR="00D619B4" w:rsidRPr="000C290E" w:rsidRDefault="00D619B4" w:rsidP="001C13FB">
            <w:pPr>
              <w:jc w:val="right"/>
              <w:rPr>
                <w:b/>
                <w:bCs/>
                <w:color w:val="000000"/>
                <w:lang w:eastAsia="sk-SK"/>
              </w:rPr>
            </w:pPr>
            <w:r w:rsidRPr="000C290E">
              <w:rPr>
                <w:b/>
                <w:bCs/>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14:paraId="7562CDB4" w14:textId="77777777" w:rsidR="00D619B4" w:rsidRPr="00B05A3C" w:rsidRDefault="00D619B4" w:rsidP="001C13FB">
            <w:pPr>
              <w:jc w:val="right"/>
              <w:rPr>
                <w:b/>
                <w:bCs/>
                <w:color w:val="000000"/>
                <w:lang w:eastAsia="sk-SK"/>
              </w:rPr>
            </w:pPr>
            <w:r w:rsidRPr="00B05A3C">
              <w:rPr>
                <w:b/>
                <w:bCs/>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14:paraId="6A7A78BC" w14:textId="77777777" w:rsidR="00D619B4" w:rsidRPr="00B05A3C" w:rsidRDefault="00D619B4" w:rsidP="001C13FB">
            <w:pPr>
              <w:jc w:val="right"/>
              <w:rPr>
                <w:b/>
                <w:bCs/>
                <w:color w:val="000000"/>
                <w:lang w:eastAsia="sk-SK"/>
              </w:rPr>
            </w:pPr>
            <w:r w:rsidRPr="00B05A3C">
              <w:rPr>
                <w:b/>
                <w:bCs/>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14:paraId="7776B85C" w14:textId="77777777" w:rsidR="00D619B4" w:rsidRPr="00B05A3C" w:rsidRDefault="00D619B4" w:rsidP="001C13FB">
            <w:pPr>
              <w:jc w:val="right"/>
              <w:rPr>
                <w:b/>
                <w:bCs/>
                <w:color w:val="000000"/>
                <w:lang w:eastAsia="sk-SK"/>
              </w:rPr>
            </w:pPr>
            <w:r w:rsidRPr="00B05A3C">
              <w:rPr>
                <w:b/>
                <w:bCs/>
                <w:color w:val="000000"/>
              </w:rPr>
              <w:t> </w:t>
            </w:r>
          </w:p>
        </w:tc>
      </w:tr>
      <w:tr w:rsidR="00D619B4" w:rsidRPr="00E0368E" w14:paraId="0D665E71"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24185317" w14:textId="77777777" w:rsidR="00D619B4" w:rsidRPr="00E0368E" w:rsidRDefault="00D619B4" w:rsidP="001C13FB">
            <w:pPr>
              <w:rPr>
                <w:b/>
                <w:bCs/>
                <w:i/>
                <w:i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auto" w:fill="auto"/>
            <w:noWrap/>
            <w:vAlign w:val="center"/>
            <w:hideMark/>
          </w:tcPr>
          <w:p w14:paraId="54385140" w14:textId="77777777" w:rsidR="00D619B4" w:rsidRPr="000C290E" w:rsidRDefault="00D619B4" w:rsidP="001C13FB">
            <w:pPr>
              <w:jc w:val="right"/>
              <w:rPr>
                <w:b/>
                <w:bCs/>
                <w:color w:val="000000"/>
                <w:lang w:eastAsia="sk-SK"/>
              </w:rPr>
            </w:pPr>
            <w:r>
              <w:rPr>
                <w:b/>
                <w:bCs/>
                <w:color w:val="000000"/>
              </w:rPr>
              <w:t>156 434</w:t>
            </w:r>
          </w:p>
        </w:tc>
        <w:tc>
          <w:tcPr>
            <w:tcW w:w="1701" w:type="dxa"/>
            <w:tcBorders>
              <w:top w:val="nil"/>
              <w:left w:val="nil"/>
              <w:bottom w:val="single" w:sz="8" w:space="0" w:color="auto"/>
              <w:right w:val="single" w:sz="8" w:space="0" w:color="auto"/>
            </w:tcBorders>
            <w:shd w:val="clear" w:color="auto" w:fill="auto"/>
            <w:noWrap/>
            <w:vAlign w:val="center"/>
            <w:hideMark/>
          </w:tcPr>
          <w:p w14:paraId="0F91F16C" w14:textId="77777777" w:rsidR="00D619B4" w:rsidRPr="00B05A3C" w:rsidRDefault="00D619B4" w:rsidP="001C13FB">
            <w:pPr>
              <w:jc w:val="right"/>
              <w:rPr>
                <w:b/>
                <w:bCs/>
                <w:color w:val="000000"/>
                <w:lang w:eastAsia="sk-SK"/>
              </w:rPr>
            </w:pPr>
            <w:r w:rsidRPr="00B05A3C">
              <w:rPr>
                <w:b/>
                <w:bCs/>
                <w:color w:val="000000"/>
              </w:rPr>
              <w:t>911 722</w:t>
            </w:r>
          </w:p>
        </w:tc>
        <w:tc>
          <w:tcPr>
            <w:tcW w:w="1701" w:type="dxa"/>
            <w:tcBorders>
              <w:top w:val="nil"/>
              <w:left w:val="nil"/>
              <w:bottom w:val="single" w:sz="8" w:space="0" w:color="auto"/>
              <w:right w:val="single" w:sz="8" w:space="0" w:color="auto"/>
            </w:tcBorders>
            <w:shd w:val="clear" w:color="auto" w:fill="auto"/>
            <w:noWrap/>
            <w:vAlign w:val="center"/>
            <w:hideMark/>
          </w:tcPr>
          <w:p w14:paraId="6CE788A9" w14:textId="77777777" w:rsidR="00D619B4" w:rsidRPr="00B05A3C" w:rsidRDefault="00D619B4" w:rsidP="001C13FB">
            <w:pPr>
              <w:jc w:val="right"/>
              <w:rPr>
                <w:b/>
                <w:bCs/>
                <w:color w:val="000000"/>
                <w:lang w:eastAsia="sk-SK"/>
              </w:rPr>
            </w:pPr>
            <w:r w:rsidRPr="00B05A3C">
              <w:rPr>
                <w:b/>
                <w:bCs/>
                <w:color w:val="000000"/>
              </w:rPr>
              <w:t>911 722</w:t>
            </w:r>
          </w:p>
        </w:tc>
        <w:tc>
          <w:tcPr>
            <w:tcW w:w="1418" w:type="dxa"/>
            <w:tcBorders>
              <w:top w:val="nil"/>
              <w:left w:val="nil"/>
              <w:bottom w:val="single" w:sz="8" w:space="0" w:color="auto"/>
              <w:right w:val="single" w:sz="8" w:space="0" w:color="auto"/>
            </w:tcBorders>
            <w:shd w:val="clear" w:color="auto" w:fill="auto"/>
            <w:noWrap/>
            <w:vAlign w:val="center"/>
            <w:hideMark/>
          </w:tcPr>
          <w:p w14:paraId="09729FBA" w14:textId="77777777" w:rsidR="00D619B4" w:rsidRPr="00B05A3C" w:rsidRDefault="00D619B4" w:rsidP="001C13FB">
            <w:pPr>
              <w:jc w:val="right"/>
              <w:rPr>
                <w:b/>
                <w:bCs/>
                <w:color w:val="000000"/>
                <w:lang w:eastAsia="sk-SK"/>
              </w:rPr>
            </w:pPr>
            <w:r w:rsidRPr="00B05A3C">
              <w:rPr>
                <w:b/>
                <w:bCs/>
                <w:color w:val="000000"/>
              </w:rPr>
              <w:t>911 722</w:t>
            </w:r>
          </w:p>
        </w:tc>
      </w:tr>
      <w:tr w:rsidR="00D619B4" w:rsidRPr="00E0368E" w14:paraId="3E0E209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2B41CD8C" w14:textId="77777777" w:rsidR="00D619B4" w:rsidRPr="00E0368E" w:rsidRDefault="00D619B4" w:rsidP="001C13FB">
            <w:pPr>
              <w:ind w:firstLineChars="100" w:firstLine="240"/>
              <w:rPr>
                <w:i/>
                <w:i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auto" w:fill="auto"/>
            <w:noWrap/>
            <w:vAlign w:val="center"/>
            <w:hideMark/>
          </w:tcPr>
          <w:p w14:paraId="16774C0E"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9AD608B" w14:textId="77777777" w:rsidR="00D619B4" w:rsidRPr="00B05A3C" w:rsidRDefault="00D619B4" w:rsidP="001C13FB">
            <w:pPr>
              <w:jc w:val="right"/>
              <w:rPr>
                <w:b/>
                <w:bCs/>
                <w:color w:val="000000"/>
                <w:lang w:eastAsia="sk-SK"/>
              </w:rPr>
            </w:pPr>
            <w:r w:rsidRPr="00B05A3C">
              <w:rPr>
                <w:b/>
                <w:bCs/>
                <w:color w:val="000000"/>
              </w:rPr>
              <w:t>536 307</w:t>
            </w:r>
          </w:p>
        </w:tc>
        <w:tc>
          <w:tcPr>
            <w:tcW w:w="1701" w:type="dxa"/>
            <w:tcBorders>
              <w:top w:val="nil"/>
              <w:left w:val="nil"/>
              <w:bottom w:val="single" w:sz="8" w:space="0" w:color="auto"/>
              <w:right w:val="single" w:sz="8" w:space="0" w:color="auto"/>
            </w:tcBorders>
            <w:shd w:val="clear" w:color="auto" w:fill="auto"/>
            <w:noWrap/>
            <w:vAlign w:val="center"/>
            <w:hideMark/>
          </w:tcPr>
          <w:p w14:paraId="0B5D9BD3" w14:textId="77777777" w:rsidR="00D619B4" w:rsidRPr="00B05A3C" w:rsidRDefault="00D619B4" w:rsidP="001C13FB">
            <w:pPr>
              <w:jc w:val="right"/>
              <w:rPr>
                <w:b/>
                <w:bCs/>
                <w:color w:val="000000"/>
                <w:lang w:eastAsia="sk-SK"/>
              </w:rPr>
            </w:pPr>
            <w:r w:rsidRPr="00B05A3C">
              <w:rPr>
                <w:b/>
                <w:bCs/>
                <w:color w:val="000000"/>
              </w:rPr>
              <w:t>536 307</w:t>
            </w:r>
          </w:p>
        </w:tc>
        <w:tc>
          <w:tcPr>
            <w:tcW w:w="1418" w:type="dxa"/>
            <w:tcBorders>
              <w:top w:val="nil"/>
              <w:left w:val="nil"/>
              <w:bottom w:val="single" w:sz="8" w:space="0" w:color="auto"/>
              <w:right w:val="single" w:sz="8" w:space="0" w:color="auto"/>
            </w:tcBorders>
            <w:shd w:val="clear" w:color="auto" w:fill="auto"/>
            <w:noWrap/>
            <w:vAlign w:val="center"/>
            <w:hideMark/>
          </w:tcPr>
          <w:p w14:paraId="212FB3B6" w14:textId="77777777" w:rsidR="00D619B4" w:rsidRPr="00B05A3C" w:rsidRDefault="00D619B4" w:rsidP="001C13FB">
            <w:pPr>
              <w:jc w:val="right"/>
              <w:rPr>
                <w:b/>
                <w:bCs/>
                <w:color w:val="000000"/>
                <w:lang w:eastAsia="sk-SK"/>
              </w:rPr>
            </w:pPr>
            <w:r w:rsidRPr="00B05A3C">
              <w:rPr>
                <w:b/>
                <w:bCs/>
                <w:color w:val="000000"/>
              </w:rPr>
              <w:t>911 722</w:t>
            </w:r>
          </w:p>
        </w:tc>
      </w:tr>
      <w:tr w:rsidR="00D619B4" w:rsidRPr="00E0368E" w14:paraId="5641190B"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3F0501AB" w14:textId="77777777" w:rsidR="00D619B4" w:rsidRPr="00E0368E" w:rsidRDefault="00D619B4" w:rsidP="001C13FB">
            <w:pPr>
              <w:rPr>
                <w:i/>
                <w:iCs/>
                <w:color w:val="000000"/>
                <w:lang w:eastAsia="sk-SK"/>
              </w:rPr>
            </w:pPr>
            <w:r w:rsidRPr="00E0368E">
              <w:rPr>
                <w:i/>
                <w:iCs/>
                <w:color w:val="000000"/>
                <w:lang w:eastAsia="sk-SK"/>
              </w:rPr>
              <w:t xml:space="preserve">    EÚ zdroje (POO)</w:t>
            </w:r>
          </w:p>
        </w:tc>
        <w:tc>
          <w:tcPr>
            <w:tcW w:w="1559" w:type="dxa"/>
            <w:tcBorders>
              <w:top w:val="nil"/>
              <w:left w:val="nil"/>
              <w:bottom w:val="single" w:sz="8" w:space="0" w:color="auto"/>
              <w:right w:val="single" w:sz="8" w:space="0" w:color="auto"/>
            </w:tcBorders>
            <w:shd w:val="clear" w:color="auto" w:fill="auto"/>
            <w:noWrap/>
            <w:vAlign w:val="center"/>
            <w:hideMark/>
          </w:tcPr>
          <w:p w14:paraId="3E1DDB88" w14:textId="77777777" w:rsidR="00D619B4" w:rsidRPr="000C290E" w:rsidRDefault="00D619B4" w:rsidP="001C13FB">
            <w:pPr>
              <w:jc w:val="right"/>
              <w:rPr>
                <w:color w:val="000000"/>
                <w:lang w:eastAsia="sk-SK"/>
              </w:rPr>
            </w:pPr>
            <w:r>
              <w:rPr>
                <w:b/>
                <w:bCs/>
                <w:color w:val="000000"/>
              </w:rPr>
              <w:t>156 434</w:t>
            </w:r>
          </w:p>
        </w:tc>
        <w:tc>
          <w:tcPr>
            <w:tcW w:w="1701" w:type="dxa"/>
            <w:tcBorders>
              <w:top w:val="nil"/>
              <w:left w:val="nil"/>
              <w:bottom w:val="single" w:sz="8" w:space="0" w:color="auto"/>
              <w:right w:val="single" w:sz="8" w:space="0" w:color="auto"/>
            </w:tcBorders>
            <w:shd w:val="clear" w:color="auto" w:fill="auto"/>
            <w:noWrap/>
            <w:vAlign w:val="center"/>
            <w:hideMark/>
          </w:tcPr>
          <w:p w14:paraId="1A7BC527" w14:textId="77777777" w:rsidR="00D619B4" w:rsidRPr="00FF1DB1" w:rsidRDefault="00D619B4" w:rsidP="001C13FB">
            <w:pPr>
              <w:jc w:val="right"/>
              <w:rPr>
                <w:b/>
                <w:color w:val="000000"/>
                <w:lang w:eastAsia="sk-SK"/>
              </w:rPr>
            </w:pPr>
            <w:r w:rsidRPr="00FF1DB1">
              <w:rPr>
                <w:b/>
                <w:color w:val="000000"/>
              </w:rPr>
              <w:t>375 415</w:t>
            </w:r>
          </w:p>
        </w:tc>
        <w:tc>
          <w:tcPr>
            <w:tcW w:w="1701" w:type="dxa"/>
            <w:tcBorders>
              <w:top w:val="nil"/>
              <w:left w:val="nil"/>
              <w:bottom w:val="single" w:sz="8" w:space="0" w:color="auto"/>
              <w:right w:val="single" w:sz="8" w:space="0" w:color="auto"/>
            </w:tcBorders>
            <w:shd w:val="clear" w:color="auto" w:fill="auto"/>
            <w:noWrap/>
            <w:vAlign w:val="center"/>
            <w:hideMark/>
          </w:tcPr>
          <w:p w14:paraId="19472D5B" w14:textId="77777777" w:rsidR="00D619B4" w:rsidRPr="00FF1DB1" w:rsidRDefault="00D619B4" w:rsidP="001C13FB">
            <w:pPr>
              <w:jc w:val="right"/>
              <w:rPr>
                <w:b/>
                <w:color w:val="000000"/>
                <w:lang w:eastAsia="sk-SK"/>
              </w:rPr>
            </w:pPr>
            <w:r w:rsidRPr="00FF1DB1">
              <w:rPr>
                <w:b/>
                <w:color w:val="000000"/>
              </w:rPr>
              <w:t>375 415</w:t>
            </w:r>
          </w:p>
        </w:tc>
        <w:tc>
          <w:tcPr>
            <w:tcW w:w="1418" w:type="dxa"/>
            <w:tcBorders>
              <w:top w:val="nil"/>
              <w:left w:val="nil"/>
              <w:bottom w:val="single" w:sz="8" w:space="0" w:color="auto"/>
              <w:right w:val="single" w:sz="8" w:space="0" w:color="auto"/>
            </w:tcBorders>
            <w:shd w:val="clear" w:color="auto" w:fill="auto"/>
            <w:noWrap/>
            <w:vAlign w:val="center"/>
            <w:hideMark/>
          </w:tcPr>
          <w:p w14:paraId="5AA3BAC6" w14:textId="77777777" w:rsidR="00D619B4" w:rsidRPr="00B05A3C" w:rsidRDefault="00D619B4" w:rsidP="001C13FB">
            <w:pPr>
              <w:jc w:val="right"/>
              <w:rPr>
                <w:color w:val="000000"/>
                <w:lang w:eastAsia="sk-SK"/>
              </w:rPr>
            </w:pPr>
            <w:r w:rsidRPr="00B05A3C">
              <w:rPr>
                <w:color w:val="000000"/>
              </w:rPr>
              <w:t>0</w:t>
            </w:r>
          </w:p>
        </w:tc>
      </w:tr>
      <w:tr w:rsidR="00D619B4" w:rsidRPr="00E0368E" w14:paraId="7D382D2E"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1A6A900B" w14:textId="77777777" w:rsidR="00D619B4" w:rsidRPr="00E0368E" w:rsidRDefault="00D619B4" w:rsidP="001C13FB">
            <w:pPr>
              <w:rPr>
                <w:i/>
                <w:iCs/>
                <w:color w:val="000000"/>
                <w:lang w:eastAsia="sk-SK"/>
              </w:rPr>
            </w:pPr>
            <w:r w:rsidRPr="00E0368E">
              <w:rPr>
                <w:i/>
                <w:iCs/>
                <w:color w:val="000000"/>
                <w:lang w:eastAsia="sk-SK"/>
              </w:rPr>
              <w:t xml:space="preserve">    spolufinancovanie</w:t>
            </w:r>
          </w:p>
        </w:tc>
        <w:tc>
          <w:tcPr>
            <w:tcW w:w="1559" w:type="dxa"/>
            <w:tcBorders>
              <w:top w:val="nil"/>
              <w:left w:val="nil"/>
              <w:bottom w:val="single" w:sz="8" w:space="0" w:color="auto"/>
              <w:right w:val="single" w:sz="8" w:space="0" w:color="auto"/>
            </w:tcBorders>
            <w:shd w:val="clear" w:color="auto" w:fill="auto"/>
            <w:noWrap/>
            <w:vAlign w:val="center"/>
            <w:hideMark/>
          </w:tcPr>
          <w:p w14:paraId="0524AFB2" w14:textId="77777777" w:rsidR="00D619B4" w:rsidRPr="000C290E" w:rsidRDefault="00D619B4" w:rsidP="001C13FB">
            <w:pPr>
              <w:jc w:val="right"/>
              <w:rPr>
                <w:color w:val="000000"/>
                <w:lang w:eastAsia="sk-SK"/>
              </w:rPr>
            </w:pPr>
            <w:r w:rsidRPr="000C290E">
              <w:rPr>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6B74EDE4" w14:textId="77777777" w:rsidR="00D619B4" w:rsidRPr="00B05A3C" w:rsidRDefault="00D619B4" w:rsidP="001C13FB">
            <w:pPr>
              <w:jc w:val="right"/>
              <w:rPr>
                <w:color w:val="000000"/>
                <w:lang w:eastAsia="sk-SK"/>
              </w:rPr>
            </w:pPr>
            <w:r w:rsidRPr="00B05A3C">
              <w:rPr>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FD746CD" w14:textId="77777777" w:rsidR="00D619B4" w:rsidRPr="00B05A3C" w:rsidRDefault="00D619B4" w:rsidP="001C13FB">
            <w:pPr>
              <w:jc w:val="right"/>
              <w:rPr>
                <w:color w:val="000000"/>
                <w:lang w:eastAsia="sk-SK"/>
              </w:rPr>
            </w:pPr>
            <w:r w:rsidRPr="00B05A3C">
              <w:rPr>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00C413CC" w14:textId="77777777" w:rsidR="00D619B4" w:rsidRPr="00B05A3C" w:rsidRDefault="00D619B4" w:rsidP="001C13FB">
            <w:pPr>
              <w:jc w:val="right"/>
              <w:rPr>
                <w:color w:val="000000"/>
                <w:lang w:eastAsia="sk-SK"/>
              </w:rPr>
            </w:pPr>
            <w:r w:rsidRPr="00B05A3C">
              <w:rPr>
                <w:color w:val="000000"/>
              </w:rPr>
              <w:t>0</w:t>
            </w:r>
          </w:p>
        </w:tc>
      </w:tr>
      <w:tr w:rsidR="00D619B4" w:rsidRPr="00E0368E" w14:paraId="152B233C"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6F2A4721"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auto" w:fill="auto"/>
            <w:noWrap/>
            <w:vAlign w:val="center"/>
            <w:hideMark/>
          </w:tcPr>
          <w:p w14:paraId="43F7A750"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0EDA7850"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6E465D24"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1C70243E"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2A4C6DC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32F37DEE" w14:textId="77777777" w:rsidR="00D619B4" w:rsidRPr="00E0368E" w:rsidRDefault="00D619B4" w:rsidP="001C13FB">
            <w:pPr>
              <w:ind w:firstLineChars="100" w:firstLine="240"/>
              <w:rPr>
                <w:i/>
                <w:iCs/>
                <w:color w:val="000000"/>
                <w:lang w:eastAsia="sk-SK"/>
              </w:rPr>
            </w:pPr>
            <w:r w:rsidRPr="00E0368E">
              <w:rPr>
                <w:i/>
                <w:iCs/>
                <w:color w:val="000000"/>
                <w:lang w:eastAsia="sk-SK"/>
              </w:rPr>
              <w:t>z toho vplyv nových úloh v zmysle ods. 2 Čl. 6 ústavného zákona č. 493/2011 Z. z. o rozpočtovej zodpovednosti</w:t>
            </w:r>
          </w:p>
        </w:tc>
        <w:tc>
          <w:tcPr>
            <w:tcW w:w="1559" w:type="dxa"/>
            <w:tcBorders>
              <w:top w:val="nil"/>
              <w:left w:val="nil"/>
              <w:bottom w:val="single" w:sz="8" w:space="0" w:color="auto"/>
              <w:right w:val="single" w:sz="8" w:space="0" w:color="auto"/>
            </w:tcBorders>
            <w:shd w:val="clear" w:color="auto" w:fill="auto"/>
            <w:noWrap/>
            <w:vAlign w:val="center"/>
            <w:hideMark/>
          </w:tcPr>
          <w:p w14:paraId="4232D1BA" w14:textId="77777777" w:rsidR="00D619B4" w:rsidRPr="000C290E" w:rsidRDefault="00D619B4" w:rsidP="001C13FB">
            <w:pPr>
              <w:jc w:val="right"/>
              <w:rPr>
                <w:color w:val="000000"/>
                <w:lang w:eastAsia="sk-SK"/>
              </w:rPr>
            </w:pPr>
            <w:r w:rsidRPr="000C290E">
              <w:rPr>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32A4A43D" w14:textId="77777777" w:rsidR="00D619B4" w:rsidRPr="00B05A3C" w:rsidRDefault="00D619B4" w:rsidP="001C13FB">
            <w:pPr>
              <w:jc w:val="right"/>
              <w:rPr>
                <w:color w:val="000000"/>
                <w:lang w:eastAsia="sk-SK"/>
              </w:rPr>
            </w:pPr>
            <w:r w:rsidRPr="00B05A3C">
              <w:rPr>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13D7F90" w14:textId="77777777" w:rsidR="00D619B4" w:rsidRPr="00B05A3C" w:rsidRDefault="00D619B4" w:rsidP="001C13FB">
            <w:pPr>
              <w:jc w:val="right"/>
              <w:rPr>
                <w:color w:val="000000"/>
                <w:lang w:eastAsia="sk-SK"/>
              </w:rPr>
            </w:pPr>
            <w:r w:rsidRPr="00B05A3C">
              <w:rPr>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5F53BB7C" w14:textId="77777777" w:rsidR="00D619B4" w:rsidRPr="00B05A3C" w:rsidRDefault="00D619B4" w:rsidP="001C13FB">
            <w:pPr>
              <w:jc w:val="right"/>
              <w:rPr>
                <w:color w:val="000000"/>
                <w:lang w:eastAsia="sk-SK"/>
              </w:rPr>
            </w:pPr>
            <w:r w:rsidRPr="00B05A3C">
              <w:rPr>
                <w:color w:val="000000"/>
              </w:rPr>
              <w:t>0</w:t>
            </w:r>
          </w:p>
        </w:tc>
      </w:tr>
      <w:tr w:rsidR="00D619B4" w:rsidRPr="00E0368E" w14:paraId="71AEC428"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511C03B8"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auto" w:fill="auto"/>
            <w:noWrap/>
            <w:vAlign w:val="center"/>
            <w:hideMark/>
          </w:tcPr>
          <w:p w14:paraId="3AC78BED"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144FD406"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5585A440"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02FAFC54"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74F2C6F0"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58A821BA" w14:textId="77777777" w:rsidR="00D619B4" w:rsidRPr="00E0368E" w:rsidRDefault="00D619B4" w:rsidP="001C13FB">
            <w:pPr>
              <w:ind w:firstLineChars="100" w:firstLine="240"/>
              <w:rPr>
                <w:i/>
                <w:iCs/>
                <w:color w:val="000000"/>
                <w:lang w:eastAsia="sk-SK"/>
              </w:rPr>
            </w:pPr>
            <w:r w:rsidRPr="00E0368E">
              <w:rPr>
                <w:i/>
                <w:iCs/>
                <w:color w:val="000000"/>
                <w:lang w:eastAsia="sk-SK"/>
              </w:rPr>
              <w:t>z toho vplyv nových úloh v zmysle ods. 2 Čl. 6 ústavného zákona č. 493/2011 Z. z. o rozpočtovej zodpovednosti</w:t>
            </w:r>
          </w:p>
        </w:tc>
        <w:tc>
          <w:tcPr>
            <w:tcW w:w="1559" w:type="dxa"/>
            <w:tcBorders>
              <w:top w:val="nil"/>
              <w:left w:val="nil"/>
              <w:bottom w:val="single" w:sz="8" w:space="0" w:color="auto"/>
              <w:right w:val="single" w:sz="8" w:space="0" w:color="auto"/>
            </w:tcBorders>
            <w:shd w:val="clear" w:color="auto" w:fill="auto"/>
            <w:noWrap/>
            <w:vAlign w:val="center"/>
            <w:hideMark/>
          </w:tcPr>
          <w:p w14:paraId="4522BC67" w14:textId="77777777" w:rsidR="00D619B4" w:rsidRPr="000C290E" w:rsidRDefault="00D619B4" w:rsidP="001C13FB">
            <w:pPr>
              <w:jc w:val="right"/>
              <w:rPr>
                <w:color w:val="000000"/>
                <w:lang w:eastAsia="sk-SK"/>
              </w:rPr>
            </w:pPr>
            <w:r w:rsidRPr="000C290E">
              <w:rPr>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60A2A178" w14:textId="77777777" w:rsidR="00D619B4" w:rsidRPr="00B05A3C" w:rsidRDefault="00D619B4" w:rsidP="001C13FB">
            <w:pPr>
              <w:jc w:val="right"/>
              <w:rPr>
                <w:color w:val="000000"/>
                <w:lang w:eastAsia="sk-SK"/>
              </w:rPr>
            </w:pPr>
            <w:r w:rsidRPr="00B05A3C">
              <w:rPr>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5A196191" w14:textId="77777777" w:rsidR="00D619B4" w:rsidRPr="00B05A3C" w:rsidRDefault="00D619B4" w:rsidP="001C13FB">
            <w:pPr>
              <w:jc w:val="right"/>
              <w:rPr>
                <w:color w:val="000000"/>
                <w:lang w:eastAsia="sk-SK"/>
              </w:rPr>
            </w:pPr>
            <w:r w:rsidRPr="00B05A3C">
              <w:rPr>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1AC0E3E0" w14:textId="77777777" w:rsidR="00D619B4" w:rsidRPr="00B05A3C" w:rsidRDefault="00D619B4" w:rsidP="001C13FB">
            <w:pPr>
              <w:jc w:val="right"/>
              <w:rPr>
                <w:color w:val="000000"/>
                <w:lang w:eastAsia="sk-SK"/>
              </w:rPr>
            </w:pPr>
            <w:r w:rsidRPr="00B05A3C">
              <w:rPr>
                <w:color w:val="000000"/>
              </w:rPr>
              <w:t>0</w:t>
            </w:r>
          </w:p>
        </w:tc>
      </w:tr>
      <w:tr w:rsidR="00D619B4" w:rsidRPr="00E0368E" w14:paraId="55AB4622"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20C6D8BB"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auto" w:fill="auto"/>
            <w:noWrap/>
            <w:vAlign w:val="center"/>
            <w:hideMark/>
          </w:tcPr>
          <w:p w14:paraId="07753502"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367F549C"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4DDDB811"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4DEB4462"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6893EA58"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26AE5AB9" w14:textId="77777777" w:rsidR="00D619B4" w:rsidRPr="00D916BF" w:rsidRDefault="00D619B4" w:rsidP="001C13FB">
            <w:pPr>
              <w:rPr>
                <w:b/>
                <w:bCs/>
                <w:i/>
                <w:iCs/>
                <w:color w:val="000000"/>
                <w:lang w:eastAsia="sk-SK"/>
              </w:rPr>
            </w:pPr>
            <w:r w:rsidRPr="00CA1711">
              <w:rPr>
                <w:b/>
                <w:color w:val="000000"/>
                <w:lang w:eastAsia="sk-SK"/>
              </w:rPr>
              <w:t>v tom: MDaV SR</w:t>
            </w:r>
            <w:r>
              <w:rPr>
                <w:b/>
                <w:color w:val="000000"/>
                <w:lang w:eastAsia="sk-SK"/>
              </w:rPr>
              <w:t xml:space="preserve"> </w:t>
            </w:r>
            <w:r w:rsidRPr="00CA1711">
              <w:rPr>
                <w:color w:val="000000"/>
                <w:lang w:eastAsia="sk-SK"/>
              </w:rPr>
              <w:t>OEK-podprogram</w:t>
            </w:r>
          </w:p>
        </w:tc>
        <w:tc>
          <w:tcPr>
            <w:tcW w:w="1559" w:type="dxa"/>
            <w:tcBorders>
              <w:top w:val="nil"/>
              <w:left w:val="nil"/>
              <w:bottom w:val="single" w:sz="8" w:space="0" w:color="auto"/>
              <w:right w:val="single" w:sz="8" w:space="0" w:color="auto"/>
            </w:tcBorders>
            <w:shd w:val="clear" w:color="auto" w:fill="auto"/>
            <w:noWrap/>
            <w:vAlign w:val="center"/>
          </w:tcPr>
          <w:p w14:paraId="09DB32EB" w14:textId="77777777" w:rsidR="00D619B4" w:rsidRPr="000C290E" w:rsidRDefault="00D619B4" w:rsidP="001C13FB">
            <w:pPr>
              <w:jc w:val="right"/>
              <w:rPr>
                <w:b/>
                <w:bCs/>
                <w:color w:val="000000"/>
              </w:rPr>
            </w:pPr>
            <w:r>
              <w:rPr>
                <w:b/>
                <w:bCs/>
                <w:color w:val="000000"/>
              </w:rPr>
              <w:t>110727</w:t>
            </w:r>
          </w:p>
        </w:tc>
        <w:tc>
          <w:tcPr>
            <w:tcW w:w="1701" w:type="dxa"/>
            <w:tcBorders>
              <w:top w:val="nil"/>
              <w:left w:val="nil"/>
              <w:bottom w:val="single" w:sz="8" w:space="0" w:color="auto"/>
              <w:right w:val="single" w:sz="8" w:space="0" w:color="auto"/>
            </w:tcBorders>
            <w:shd w:val="clear" w:color="auto" w:fill="auto"/>
            <w:noWrap/>
            <w:vAlign w:val="center"/>
          </w:tcPr>
          <w:p w14:paraId="393D0E54" w14:textId="77777777" w:rsidR="00D619B4" w:rsidRPr="00B05A3C" w:rsidRDefault="00D619B4" w:rsidP="001C13FB">
            <w:pPr>
              <w:jc w:val="right"/>
              <w:rPr>
                <w:b/>
                <w:bCs/>
                <w:color w:val="000000"/>
              </w:rPr>
            </w:pPr>
            <w:r>
              <w:rPr>
                <w:b/>
                <w:bCs/>
                <w:color w:val="000000"/>
              </w:rPr>
              <w:t>265744</w:t>
            </w:r>
          </w:p>
        </w:tc>
        <w:tc>
          <w:tcPr>
            <w:tcW w:w="1701" w:type="dxa"/>
            <w:tcBorders>
              <w:top w:val="nil"/>
              <w:left w:val="nil"/>
              <w:bottom w:val="single" w:sz="8" w:space="0" w:color="auto"/>
              <w:right w:val="single" w:sz="8" w:space="0" w:color="auto"/>
            </w:tcBorders>
            <w:shd w:val="clear" w:color="auto" w:fill="auto"/>
            <w:noWrap/>
          </w:tcPr>
          <w:p w14:paraId="765B85C1" w14:textId="77777777" w:rsidR="00D619B4" w:rsidRPr="00B05A3C" w:rsidRDefault="00D619B4" w:rsidP="001C13FB">
            <w:pPr>
              <w:jc w:val="right"/>
              <w:rPr>
                <w:b/>
                <w:bCs/>
                <w:color w:val="000000"/>
              </w:rPr>
            </w:pPr>
            <w:r w:rsidRPr="00397275">
              <w:rPr>
                <w:b/>
                <w:bCs/>
                <w:color w:val="000000"/>
              </w:rPr>
              <w:t>265744</w:t>
            </w:r>
          </w:p>
        </w:tc>
        <w:tc>
          <w:tcPr>
            <w:tcW w:w="1418" w:type="dxa"/>
            <w:tcBorders>
              <w:top w:val="nil"/>
              <w:left w:val="nil"/>
              <w:bottom w:val="single" w:sz="8" w:space="0" w:color="auto"/>
              <w:right w:val="single" w:sz="8" w:space="0" w:color="auto"/>
            </w:tcBorders>
            <w:shd w:val="clear" w:color="auto" w:fill="auto"/>
            <w:noWrap/>
          </w:tcPr>
          <w:p w14:paraId="302723C4" w14:textId="77777777" w:rsidR="00D619B4" w:rsidRPr="00B05A3C" w:rsidRDefault="00D619B4" w:rsidP="001C13FB">
            <w:pPr>
              <w:jc w:val="right"/>
              <w:rPr>
                <w:b/>
                <w:bCs/>
                <w:color w:val="000000"/>
              </w:rPr>
            </w:pPr>
            <w:r w:rsidRPr="00397275">
              <w:rPr>
                <w:b/>
                <w:bCs/>
                <w:color w:val="000000"/>
              </w:rPr>
              <w:t>265744</w:t>
            </w:r>
          </w:p>
        </w:tc>
      </w:tr>
      <w:tr w:rsidR="00D619B4" w:rsidRPr="00E0368E" w14:paraId="04DC5D9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0D923180" w14:textId="77777777" w:rsidR="00D619B4" w:rsidRPr="00E0368E" w:rsidRDefault="00D619B4" w:rsidP="001C13FB">
            <w:pPr>
              <w:rPr>
                <w:b/>
                <w:bCs/>
                <w:i/>
                <w:iCs/>
                <w:color w:val="000000"/>
                <w:lang w:eastAsia="sk-SK"/>
              </w:rPr>
            </w:pPr>
            <w:r w:rsidRPr="00E0368E">
              <w:rPr>
                <w:b/>
                <w:bCs/>
                <w:i/>
                <w:iCs/>
                <w:color w:val="000000"/>
                <w:lang w:eastAsia="sk-SK"/>
              </w:rPr>
              <w:t xml:space="preserve">z toho: </w:t>
            </w:r>
          </w:p>
        </w:tc>
        <w:tc>
          <w:tcPr>
            <w:tcW w:w="1559" w:type="dxa"/>
            <w:tcBorders>
              <w:top w:val="nil"/>
              <w:left w:val="nil"/>
              <w:bottom w:val="single" w:sz="8" w:space="0" w:color="auto"/>
              <w:right w:val="single" w:sz="8" w:space="0" w:color="auto"/>
            </w:tcBorders>
            <w:shd w:val="clear" w:color="auto" w:fill="auto"/>
            <w:noWrap/>
            <w:vAlign w:val="center"/>
          </w:tcPr>
          <w:p w14:paraId="3C81B4D2" w14:textId="77777777" w:rsidR="00D619B4" w:rsidRPr="000C290E" w:rsidRDefault="00D619B4" w:rsidP="001C13FB">
            <w:pPr>
              <w:jc w:val="right"/>
              <w:rPr>
                <w:b/>
                <w:bCs/>
                <w:color w:val="000000"/>
              </w:rPr>
            </w:pPr>
          </w:p>
        </w:tc>
        <w:tc>
          <w:tcPr>
            <w:tcW w:w="1701" w:type="dxa"/>
            <w:tcBorders>
              <w:top w:val="nil"/>
              <w:left w:val="nil"/>
              <w:bottom w:val="single" w:sz="8" w:space="0" w:color="auto"/>
              <w:right w:val="single" w:sz="8" w:space="0" w:color="auto"/>
            </w:tcBorders>
            <w:shd w:val="clear" w:color="auto" w:fill="auto"/>
            <w:noWrap/>
            <w:vAlign w:val="center"/>
          </w:tcPr>
          <w:p w14:paraId="5702B467" w14:textId="77777777" w:rsidR="00D619B4" w:rsidRPr="00B05A3C" w:rsidRDefault="00D619B4" w:rsidP="001C13FB">
            <w:pPr>
              <w:jc w:val="right"/>
              <w:rPr>
                <w:b/>
                <w:bCs/>
                <w:color w:val="000000"/>
              </w:rPr>
            </w:pPr>
          </w:p>
        </w:tc>
        <w:tc>
          <w:tcPr>
            <w:tcW w:w="1701" w:type="dxa"/>
            <w:tcBorders>
              <w:top w:val="nil"/>
              <w:left w:val="nil"/>
              <w:bottom w:val="single" w:sz="8" w:space="0" w:color="auto"/>
              <w:right w:val="single" w:sz="8" w:space="0" w:color="auto"/>
            </w:tcBorders>
            <w:shd w:val="clear" w:color="auto" w:fill="auto"/>
            <w:noWrap/>
            <w:vAlign w:val="center"/>
          </w:tcPr>
          <w:p w14:paraId="1DCFC4A3" w14:textId="77777777" w:rsidR="00D619B4" w:rsidRPr="00B05A3C" w:rsidRDefault="00D619B4" w:rsidP="001C13FB">
            <w:pPr>
              <w:jc w:val="right"/>
              <w:rPr>
                <w:b/>
                <w:bCs/>
                <w:color w:val="000000"/>
              </w:rPr>
            </w:pPr>
          </w:p>
        </w:tc>
        <w:tc>
          <w:tcPr>
            <w:tcW w:w="1418" w:type="dxa"/>
            <w:tcBorders>
              <w:top w:val="nil"/>
              <w:left w:val="nil"/>
              <w:bottom w:val="single" w:sz="8" w:space="0" w:color="auto"/>
              <w:right w:val="single" w:sz="8" w:space="0" w:color="auto"/>
            </w:tcBorders>
            <w:shd w:val="clear" w:color="auto" w:fill="auto"/>
            <w:noWrap/>
            <w:vAlign w:val="center"/>
          </w:tcPr>
          <w:p w14:paraId="46B7664C" w14:textId="77777777" w:rsidR="00D619B4" w:rsidRPr="00B05A3C" w:rsidRDefault="00D619B4" w:rsidP="001C13FB">
            <w:pPr>
              <w:jc w:val="right"/>
              <w:rPr>
                <w:b/>
                <w:bCs/>
                <w:color w:val="000000"/>
              </w:rPr>
            </w:pPr>
          </w:p>
        </w:tc>
      </w:tr>
      <w:tr w:rsidR="00D619B4" w:rsidRPr="00E0368E" w14:paraId="53007BDB"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14FEED28" w14:textId="77777777" w:rsidR="00D619B4" w:rsidRPr="00E0368E" w:rsidRDefault="00D619B4" w:rsidP="001C13FB">
            <w:pPr>
              <w:rPr>
                <w:b/>
                <w:bCs/>
                <w:i/>
                <w:i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auto" w:fill="auto"/>
            <w:noWrap/>
            <w:vAlign w:val="center"/>
          </w:tcPr>
          <w:p w14:paraId="12DCCAB6" w14:textId="77777777" w:rsidR="00D619B4" w:rsidRPr="000C290E" w:rsidRDefault="00D619B4" w:rsidP="001C13FB">
            <w:pPr>
              <w:jc w:val="right"/>
              <w:rPr>
                <w:b/>
                <w:bCs/>
                <w:color w:val="000000"/>
              </w:rPr>
            </w:pPr>
            <w:r>
              <w:rPr>
                <w:b/>
                <w:bCs/>
                <w:color w:val="000000"/>
              </w:rPr>
              <w:t>110727</w:t>
            </w:r>
          </w:p>
        </w:tc>
        <w:tc>
          <w:tcPr>
            <w:tcW w:w="1701" w:type="dxa"/>
            <w:tcBorders>
              <w:top w:val="nil"/>
              <w:left w:val="nil"/>
              <w:bottom w:val="single" w:sz="8" w:space="0" w:color="auto"/>
              <w:right w:val="single" w:sz="8" w:space="0" w:color="auto"/>
            </w:tcBorders>
            <w:shd w:val="clear" w:color="auto" w:fill="auto"/>
            <w:noWrap/>
            <w:vAlign w:val="center"/>
          </w:tcPr>
          <w:p w14:paraId="3B595DEB" w14:textId="77777777" w:rsidR="00D619B4" w:rsidRPr="00B05A3C" w:rsidRDefault="00D619B4" w:rsidP="001C13FB">
            <w:pPr>
              <w:jc w:val="right"/>
              <w:rPr>
                <w:b/>
                <w:bCs/>
                <w:color w:val="000000"/>
              </w:rPr>
            </w:pPr>
            <w:r>
              <w:rPr>
                <w:b/>
                <w:bCs/>
                <w:color w:val="000000"/>
              </w:rPr>
              <w:t>265744</w:t>
            </w:r>
          </w:p>
        </w:tc>
        <w:tc>
          <w:tcPr>
            <w:tcW w:w="1701" w:type="dxa"/>
            <w:tcBorders>
              <w:top w:val="nil"/>
              <w:left w:val="nil"/>
              <w:bottom w:val="single" w:sz="8" w:space="0" w:color="auto"/>
              <w:right w:val="single" w:sz="8" w:space="0" w:color="auto"/>
            </w:tcBorders>
            <w:shd w:val="clear" w:color="auto" w:fill="auto"/>
            <w:noWrap/>
          </w:tcPr>
          <w:p w14:paraId="6E74C3E1" w14:textId="77777777" w:rsidR="00D619B4" w:rsidRPr="00B05A3C" w:rsidRDefault="00D619B4" w:rsidP="001C13FB">
            <w:pPr>
              <w:jc w:val="right"/>
              <w:rPr>
                <w:b/>
                <w:bCs/>
                <w:color w:val="000000"/>
              </w:rPr>
            </w:pPr>
            <w:r w:rsidRPr="00397275">
              <w:rPr>
                <w:b/>
                <w:bCs/>
                <w:color w:val="000000"/>
              </w:rPr>
              <w:t>265744</w:t>
            </w:r>
          </w:p>
        </w:tc>
        <w:tc>
          <w:tcPr>
            <w:tcW w:w="1418" w:type="dxa"/>
            <w:tcBorders>
              <w:top w:val="nil"/>
              <w:left w:val="nil"/>
              <w:bottom w:val="single" w:sz="8" w:space="0" w:color="auto"/>
              <w:right w:val="single" w:sz="8" w:space="0" w:color="auto"/>
            </w:tcBorders>
            <w:shd w:val="clear" w:color="auto" w:fill="auto"/>
            <w:noWrap/>
          </w:tcPr>
          <w:p w14:paraId="108B81D5" w14:textId="77777777" w:rsidR="00D619B4" w:rsidRPr="00B05A3C" w:rsidRDefault="00D619B4" w:rsidP="001C13FB">
            <w:pPr>
              <w:jc w:val="right"/>
              <w:rPr>
                <w:b/>
                <w:bCs/>
                <w:color w:val="000000"/>
              </w:rPr>
            </w:pPr>
            <w:r w:rsidRPr="00397275">
              <w:rPr>
                <w:b/>
                <w:bCs/>
                <w:color w:val="000000"/>
              </w:rPr>
              <w:t>265744</w:t>
            </w:r>
          </w:p>
        </w:tc>
      </w:tr>
      <w:tr w:rsidR="00D619B4" w:rsidRPr="00E0368E" w14:paraId="084810A3"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549C523B" w14:textId="77777777" w:rsidR="00D619B4" w:rsidRPr="00E0368E" w:rsidRDefault="00D619B4" w:rsidP="001C13FB">
            <w:pPr>
              <w:rPr>
                <w:b/>
                <w:bCs/>
                <w:i/>
                <w:i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auto" w:fill="auto"/>
            <w:noWrap/>
            <w:vAlign w:val="center"/>
          </w:tcPr>
          <w:p w14:paraId="0C0B7AD4" w14:textId="77777777" w:rsidR="00D619B4" w:rsidRPr="000C290E" w:rsidRDefault="00D619B4" w:rsidP="001C13FB">
            <w:pPr>
              <w:jc w:val="right"/>
              <w:rPr>
                <w:b/>
                <w:bCs/>
                <w:color w:val="000000"/>
              </w:rPr>
            </w:pPr>
            <w:r>
              <w:rPr>
                <w:b/>
                <w:bCs/>
                <w:color w:val="000000"/>
              </w:rPr>
              <w:t>110727</w:t>
            </w:r>
          </w:p>
        </w:tc>
        <w:tc>
          <w:tcPr>
            <w:tcW w:w="1701" w:type="dxa"/>
            <w:tcBorders>
              <w:top w:val="nil"/>
              <w:left w:val="nil"/>
              <w:bottom w:val="single" w:sz="8" w:space="0" w:color="auto"/>
              <w:right w:val="single" w:sz="8" w:space="0" w:color="auto"/>
            </w:tcBorders>
            <w:shd w:val="clear" w:color="auto" w:fill="auto"/>
            <w:noWrap/>
            <w:vAlign w:val="center"/>
          </w:tcPr>
          <w:p w14:paraId="2F73BEE1" w14:textId="77777777" w:rsidR="00D619B4" w:rsidRPr="00B05A3C" w:rsidRDefault="00D619B4" w:rsidP="001C13FB">
            <w:pPr>
              <w:jc w:val="right"/>
              <w:rPr>
                <w:b/>
                <w:bCs/>
                <w:color w:val="000000"/>
              </w:rPr>
            </w:pPr>
            <w:r>
              <w:rPr>
                <w:b/>
                <w:bCs/>
                <w:color w:val="000000"/>
              </w:rPr>
              <w:t>265744</w:t>
            </w:r>
          </w:p>
        </w:tc>
        <w:tc>
          <w:tcPr>
            <w:tcW w:w="1701" w:type="dxa"/>
            <w:tcBorders>
              <w:top w:val="nil"/>
              <w:left w:val="nil"/>
              <w:bottom w:val="single" w:sz="8" w:space="0" w:color="auto"/>
              <w:right w:val="single" w:sz="8" w:space="0" w:color="auto"/>
            </w:tcBorders>
            <w:shd w:val="clear" w:color="auto" w:fill="auto"/>
            <w:noWrap/>
          </w:tcPr>
          <w:p w14:paraId="066E897F" w14:textId="77777777" w:rsidR="00D619B4" w:rsidRPr="00B05A3C" w:rsidRDefault="00D619B4" w:rsidP="001C13FB">
            <w:pPr>
              <w:jc w:val="right"/>
              <w:rPr>
                <w:b/>
                <w:bCs/>
                <w:color w:val="000000"/>
              </w:rPr>
            </w:pPr>
            <w:r w:rsidRPr="00397275">
              <w:rPr>
                <w:b/>
                <w:bCs/>
                <w:color w:val="000000"/>
              </w:rPr>
              <w:t>265744</w:t>
            </w:r>
          </w:p>
        </w:tc>
        <w:tc>
          <w:tcPr>
            <w:tcW w:w="1418" w:type="dxa"/>
            <w:tcBorders>
              <w:top w:val="nil"/>
              <w:left w:val="nil"/>
              <w:bottom w:val="single" w:sz="8" w:space="0" w:color="auto"/>
              <w:right w:val="single" w:sz="8" w:space="0" w:color="auto"/>
            </w:tcBorders>
            <w:shd w:val="clear" w:color="auto" w:fill="auto"/>
            <w:noWrap/>
          </w:tcPr>
          <w:p w14:paraId="599D72C0" w14:textId="77777777" w:rsidR="00D619B4" w:rsidRPr="00B05A3C" w:rsidRDefault="00D619B4" w:rsidP="001C13FB">
            <w:pPr>
              <w:jc w:val="right"/>
              <w:rPr>
                <w:b/>
                <w:bCs/>
                <w:color w:val="000000"/>
              </w:rPr>
            </w:pPr>
            <w:r w:rsidRPr="00397275">
              <w:rPr>
                <w:b/>
                <w:bCs/>
                <w:color w:val="000000"/>
              </w:rPr>
              <w:t>265744</w:t>
            </w:r>
          </w:p>
        </w:tc>
      </w:tr>
      <w:tr w:rsidR="00D619B4" w:rsidRPr="00E0368E" w14:paraId="03BB167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4FB2EB5F" w14:textId="77777777" w:rsidR="00D619B4" w:rsidRPr="00E0368E" w:rsidRDefault="00D619B4" w:rsidP="001C13FB">
            <w:pPr>
              <w:rPr>
                <w:b/>
                <w:bCs/>
                <w:i/>
                <w:iCs/>
                <w:color w:val="000000"/>
                <w:lang w:eastAsia="sk-SK"/>
              </w:rPr>
            </w:pPr>
            <w:r w:rsidRPr="00E0368E">
              <w:rPr>
                <w:i/>
                <w:iCs/>
                <w:color w:val="000000"/>
                <w:lang w:eastAsia="sk-SK"/>
              </w:rPr>
              <w:t xml:space="preserve">    EÚ zdroje (POO)</w:t>
            </w:r>
          </w:p>
        </w:tc>
        <w:tc>
          <w:tcPr>
            <w:tcW w:w="1559" w:type="dxa"/>
            <w:tcBorders>
              <w:top w:val="nil"/>
              <w:left w:val="nil"/>
              <w:bottom w:val="single" w:sz="8" w:space="0" w:color="auto"/>
              <w:right w:val="single" w:sz="8" w:space="0" w:color="auto"/>
            </w:tcBorders>
            <w:shd w:val="clear" w:color="auto" w:fill="auto"/>
            <w:noWrap/>
            <w:vAlign w:val="center"/>
          </w:tcPr>
          <w:p w14:paraId="1DFC7128"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788DD69B"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746EF8A8"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60464B14" w14:textId="77777777" w:rsidR="00D619B4" w:rsidRPr="00B05A3C" w:rsidRDefault="00D619B4" w:rsidP="001C13FB">
            <w:pPr>
              <w:jc w:val="right"/>
              <w:rPr>
                <w:b/>
                <w:bCs/>
                <w:color w:val="000000"/>
              </w:rPr>
            </w:pPr>
            <w:r>
              <w:rPr>
                <w:b/>
                <w:bCs/>
                <w:color w:val="000000"/>
              </w:rPr>
              <w:t>0</w:t>
            </w:r>
          </w:p>
        </w:tc>
      </w:tr>
      <w:tr w:rsidR="00D619B4" w:rsidRPr="00E0368E" w14:paraId="5F7C833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3B595854" w14:textId="77777777" w:rsidR="00D619B4" w:rsidRPr="00E0368E" w:rsidRDefault="00D619B4" w:rsidP="001C13FB">
            <w:pPr>
              <w:rPr>
                <w:b/>
                <w:bCs/>
                <w:i/>
                <w:iCs/>
                <w:color w:val="000000"/>
                <w:lang w:eastAsia="sk-SK"/>
              </w:rPr>
            </w:pPr>
            <w:r w:rsidRPr="00E0368E">
              <w:rPr>
                <w:i/>
                <w:iCs/>
                <w:color w:val="000000"/>
                <w:lang w:eastAsia="sk-SK"/>
              </w:rPr>
              <w:t xml:space="preserve">    spolufinancovanie</w:t>
            </w:r>
          </w:p>
        </w:tc>
        <w:tc>
          <w:tcPr>
            <w:tcW w:w="1559" w:type="dxa"/>
            <w:tcBorders>
              <w:top w:val="nil"/>
              <w:left w:val="nil"/>
              <w:bottom w:val="single" w:sz="8" w:space="0" w:color="auto"/>
              <w:right w:val="single" w:sz="8" w:space="0" w:color="auto"/>
            </w:tcBorders>
            <w:shd w:val="clear" w:color="auto" w:fill="auto"/>
            <w:noWrap/>
            <w:vAlign w:val="center"/>
          </w:tcPr>
          <w:p w14:paraId="6D9E4F7A"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6D5BE7AA"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79D357C5"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3BDB19E0" w14:textId="77777777" w:rsidR="00D619B4" w:rsidRPr="00B05A3C" w:rsidRDefault="00D619B4" w:rsidP="001C13FB">
            <w:pPr>
              <w:jc w:val="right"/>
              <w:rPr>
                <w:b/>
                <w:bCs/>
                <w:color w:val="000000"/>
              </w:rPr>
            </w:pPr>
            <w:r>
              <w:rPr>
                <w:b/>
                <w:bCs/>
                <w:color w:val="000000"/>
              </w:rPr>
              <w:t>0</w:t>
            </w:r>
          </w:p>
        </w:tc>
      </w:tr>
      <w:tr w:rsidR="00D619B4" w:rsidRPr="00E0368E" w14:paraId="52F943CC"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46C28A7B"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auto" w:fill="auto"/>
            <w:noWrap/>
            <w:vAlign w:val="center"/>
          </w:tcPr>
          <w:p w14:paraId="30475EAF"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3D083CC9"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0010C35D"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1E23802F" w14:textId="77777777" w:rsidR="00D619B4" w:rsidRPr="00B05A3C" w:rsidRDefault="00D619B4" w:rsidP="001C13FB">
            <w:pPr>
              <w:jc w:val="right"/>
              <w:rPr>
                <w:b/>
                <w:bCs/>
                <w:color w:val="000000"/>
              </w:rPr>
            </w:pPr>
            <w:r>
              <w:rPr>
                <w:b/>
                <w:bCs/>
                <w:color w:val="000000"/>
              </w:rPr>
              <w:t>0</w:t>
            </w:r>
          </w:p>
        </w:tc>
      </w:tr>
      <w:tr w:rsidR="00D619B4" w:rsidRPr="00E0368E" w14:paraId="449DCFCD"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3FAABD7B" w14:textId="77777777" w:rsidR="00D619B4" w:rsidRPr="00E0368E" w:rsidRDefault="00D619B4" w:rsidP="001C13FB">
            <w:pPr>
              <w:rPr>
                <w:b/>
                <w:bCs/>
                <w:i/>
                <w:iCs/>
                <w:color w:val="000000"/>
                <w:lang w:eastAsia="sk-SK"/>
              </w:rPr>
            </w:pPr>
            <w:r w:rsidRPr="00E0368E">
              <w:rPr>
                <w:i/>
                <w:iCs/>
                <w:color w:val="000000"/>
                <w:lang w:eastAsia="sk-SK"/>
              </w:rPr>
              <w:t>z toho vplyv nových úloh v zmysle ods. 2 Čl. 6 ústavného zákona č. 493/2011 Z. z. o rozpočtovej zodpovednosti</w:t>
            </w:r>
          </w:p>
        </w:tc>
        <w:tc>
          <w:tcPr>
            <w:tcW w:w="1559" w:type="dxa"/>
            <w:tcBorders>
              <w:top w:val="nil"/>
              <w:left w:val="nil"/>
              <w:bottom w:val="single" w:sz="8" w:space="0" w:color="auto"/>
              <w:right w:val="single" w:sz="8" w:space="0" w:color="auto"/>
            </w:tcBorders>
            <w:shd w:val="clear" w:color="auto" w:fill="auto"/>
            <w:noWrap/>
            <w:vAlign w:val="center"/>
          </w:tcPr>
          <w:p w14:paraId="1433DF65"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250DD2A6"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1E57038C"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0B2FD227" w14:textId="77777777" w:rsidR="00D619B4" w:rsidRPr="00B05A3C" w:rsidRDefault="00D619B4" w:rsidP="001C13FB">
            <w:pPr>
              <w:jc w:val="right"/>
              <w:rPr>
                <w:b/>
                <w:bCs/>
                <w:color w:val="000000"/>
              </w:rPr>
            </w:pPr>
            <w:r>
              <w:rPr>
                <w:b/>
                <w:bCs/>
                <w:color w:val="000000"/>
              </w:rPr>
              <w:t>0</w:t>
            </w:r>
          </w:p>
        </w:tc>
      </w:tr>
      <w:tr w:rsidR="00D619B4" w:rsidRPr="00E0368E" w14:paraId="1A85B984"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7539B6B3"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auto" w:fill="auto"/>
            <w:noWrap/>
            <w:vAlign w:val="center"/>
          </w:tcPr>
          <w:p w14:paraId="4222D8F4"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4DE9E015"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20465E7F"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46A3F1F2" w14:textId="77777777" w:rsidR="00D619B4" w:rsidRPr="00B05A3C" w:rsidRDefault="00D619B4" w:rsidP="001C13FB">
            <w:pPr>
              <w:jc w:val="right"/>
              <w:rPr>
                <w:b/>
                <w:bCs/>
                <w:color w:val="000000"/>
              </w:rPr>
            </w:pPr>
            <w:r>
              <w:rPr>
                <w:b/>
                <w:bCs/>
                <w:color w:val="000000"/>
              </w:rPr>
              <w:t>0</w:t>
            </w:r>
          </w:p>
        </w:tc>
      </w:tr>
      <w:tr w:rsidR="00D619B4" w:rsidRPr="00E0368E" w14:paraId="16DA6399"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172AC650" w14:textId="77777777" w:rsidR="00D619B4" w:rsidRPr="00E0368E" w:rsidRDefault="00D619B4" w:rsidP="001C13FB">
            <w:pPr>
              <w:rPr>
                <w:b/>
                <w:bCs/>
                <w:i/>
                <w:iCs/>
                <w:color w:val="000000"/>
                <w:lang w:eastAsia="sk-SK"/>
              </w:rPr>
            </w:pPr>
            <w:r w:rsidRPr="00E0368E">
              <w:rPr>
                <w:i/>
                <w:iCs/>
                <w:color w:val="000000"/>
                <w:lang w:eastAsia="sk-SK"/>
              </w:rPr>
              <w:t>z toho vplyv nových úloh v zmysle ods. 2 Čl. 6 ústavného zákona č. 493/2011 Z. z. o rozpočtovej zodpovednosti</w:t>
            </w:r>
          </w:p>
        </w:tc>
        <w:tc>
          <w:tcPr>
            <w:tcW w:w="1559" w:type="dxa"/>
            <w:tcBorders>
              <w:top w:val="nil"/>
              <w:left w:val="nil"/>
              <w:bottom w:val="single" w:sz="8" w:space="0" w:color="auto"/>
              <w:right w:val="single" w:sz="8" w:space="0" w:color="auto"/>
            </w:tcBorders>
            <w:shd w:val="clear" w:color="auto" w:fill="auto"/>
            <w:noWrap/>
            <w:vAlign w:val="center"/>
          </w:tcPr>
          <w:p w14:paraId="5F0697DE"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1AFD1151"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798E18F4"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B60423F" w14:textId="77777777" w:rsidR="00D619B4" w:rsidRPr="00B05A3C" w:rsidRDefault="00D619B4" w:rsidP="001C13FB">
            <w:pPr>
              <w:jc w:val="right"/>
              <w:rPr>
                <w:b/>
                <w:bCs/>
                <w:color w:val="000000"/>
              </w:rPr>
            </w:pPr>
            <w:r>
              <w:rPr>
                <w:b/>
                <w:bCs/>
                <w:color w:val="000000"/>
              </w:rPr>
              <w:t>0</w:t>
            </w:r>
          </w:p>
        </w:tc>
      </w:tr>
      <w:tr w:rsidR="00D619B4" w:rsidRPr="00E0368E" w14:paraId="4104FDEB"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532BAFF6"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auto" w:fill="auto"/>
            <w:noWrap/>
            <w:vAlign w:val="center"/>
          </w:tcPr>
          <w:p w14:paraId="4E0A3FDE"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7A40F6C5"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2947DC94"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44E5DABA" w14:textId="77777777" w:rsidR="00D619B4" w:rsidRPr="00B05A3C" w:rsidRDefault="00D619B4" w:rsidP="001C13FB">
            <w:pPr>
              <w:jc w:val="right"/>
              <w:rPr>
                <w:b/>
                <w:bCs/>
                <w:color w:val="000000"/>
              </w:rPr>
            </w:pPr>
            <w:r>
              <w:rPr>
                <w:b/>
                <w:bCs/>
                <w:color w:val="000000"/>
              </w:rPr>
              <w:t>0</w:t>
            </w:r>
          </w:p>
        </w:tc>
      </w:tr>
      <w:tr w:rsidR="00D619B4" w:rsidRPr="00E0368E" w14:paraId="3F25BBA7"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778DECDF" w14:textId="77777777" w:rsidR="00D619B4" w:rsidRPr="00E0368E" w:rsidRDefault="00D619B4" w:rsidP="001C13FB">
            <w:pPr>
              <w:rPr>
                <w:b/>
                <w:bCs/>
                <w:i/>
                <w:iCs/>
                <w:color w:val="000000"/>
                <w:lang w:eastAsia="sk-SK"/>
              </w:rPr>
            </w:pPr>
            <w:r w:rsidRPr="00CA1711">
              <w:rPr>
                <w:b/>
                <w:color w:val="000000"/>
                <w:lang w:eastAsia="sk-SK"/>
              </w:rPr>
              <w:t>v tom: MV SR</w:t>
            </w:r>
            <w:r>
              <w:rPr>
                <w:b/>
                <w:color w:val="000000"/>
                <w:lang w:eastAsia="sk-SK"/>
              </w:rPr>
              <w:t xml:space="preserve"> </w:t>
            </w:r>
            <w:r w:rsidRPr="00CA1711">
              <w:rPr>
                <w:color w:val="000000"/>
                <w:lang w:eastAsia="sk-SK"/>
              </w:rPr>
              <w:t>OEK-podprogram</w:t>
            </w:r>
          </w:p>
        </w:tc>
        <w:tc>
          <w:tcPr>
            <w:tcW w:w="1559" w:type="dxa"/>
            <w:tcBorders>
              <w:top w:val="nil"/>
              <w:left w:val="nil"/>
              <w:bottom w:val="single" w:sz="8" w:space="0" w:color="auto"/>
              <w:right w:val="single" w:sz="8" w:space="0" w:color="auto"/>
            </w:tcBorders>
            <w:shd w:val="clear" w:color="auto" w:fill="auto"/>
            <w:noWrap/>
            <w:vAlign w:val="center"/>
          </w:tcPr>
          <w:p w14:paraId="1AC51250" w14:textId="77777777" w:rsidR="00D619B4" w:rsidRDefault="00D619B4" w:rsidP="001C13FB">
            <w:pPr>
              <w:jc w:val="right"/>
              <w:rPr>
                <w:b/>
                <w:bCs/>
                <w:color w:val="000000"/>
              </w:rPr>
            </w:pPr>
            <w:r>
              <w:rPr>
                <w:b/>
                <w:bCs/>
                <w:sz w:val="20"/>
                <w:szCs w:val="20"/>
                <w:lang w:eastAsia="sk-SK"/>
              </w:rPr>
              <w:t>276 818</w:t>
            </w:r>
          </w:p>
        </w:tc>
        <w:tc>
          <w:tcPr>
            <w:tcW w:w="1701" w:type="dxa"/>
            <w:tcBorders>
              <w:top w:val="nil"/>
              <w:left w:val="nil"/>
              <w:bottom w:val="single" w:sz="8" w:space="0" w:color="auto"/>
              <w:right w:val="single" w:sz="8" w:space="0" w:color="auto"/>
            </w:tcBorders>
            <w:shd w:val="clear" w:color="auto" w:fill="auto"/>
            <w:noWrap/>
            <w:vAlign w:val="center"/>
          </w:tcPr>
          <w:p w14:paraId="155C3EBD" w14:textId="77777777" w:rsidR="00D619B4" w:rsidRDefault="00D619B4" w:rsidP="001C13FB">
            <w:pPr>
              <w:jc w:val="right"/>
              <w:rPr>
                <w:b/>
                <w:bCs/>
                <w:color w:val="000000"/>
              </w:rPr>
            </w:pPr>
            <w:r>
              <w:rPr>
                <w:b/>
              </w:rPr>
              <w:t>664 360</w:t>
            </w:r>
          </w:p>
        </w:tc>
        <w:tc>
          <w:tcPr>
            <w:tcW w:w="1701" w:type="dxa"/>
            <w:tcBorders>
              <w:top w:val="nil"/>
              <w:left w:val="nil"/>
              <w:bottom w:val="single" w:sz="8" w:space="0" w:color="auto"/>
              <w:right w:val="single" w:sz="8" w:space="0" w:color="auto"/>
            </w:tcBorders>
            <w:shd w:val="clear" w:color="auto" w:fill="auto"/>
            <w:noWrap/>
          </w:tcPr>
          <w:p w14:paraId="0EDF8A91" w14:textId="77777777" w:rsidR="00D619B4" w:rsidRDefault="00D619B4" w:rsidP="001C13FB">
            <w:pPr>
              <w:jc w:val="right"/>
              <w:rPr>
                <w:b/>
                <w:bCs/>
                <w:color w:val="000000"/>
              </w:rPr>
            </w:pPr>
            <w:r>
              <w:rPr>
                <w:b/>
              </w:rPr>
              <w:t>664 360</w:t>
            </w:r>
          </w:p>
        </w:tc>
        <w:tc>
          <w:tcPr>
            <w:tcW w:w="1418" w:type="dxa"/>
            <w:tcBorders>
              <w:top w:val="nil"/>
              <w:left w:val="nil"/>
              <w:bottom w:val="single" w:sz="8" w:space="0" w:color="auto"/>
              <w:right w:val="single" w:sz="8" w:space="0" w:color="auto"/>
            </w:tcBorders>
            <w:shd w:val="clear" w:color="auto" w:fill="auto"/>
            <w:noWrap/>
          </w:tcPr>
          <w:p w14:paraId="30D38F1B" w14:textId="77777777" w:rsidR="00D619B4" w:rsidRDefault="00D619B4" w:rsidP="001C13FB">
            <w:pPr>
              <w:jc w:val="right"/>
              <w:rPr>
                <w:b/>
                <w:bCs/>
                <w:color w:val="000000"/>
              </w:rPr>
            </w:pPr>
            <w:r>
              <w:rPr>
                <w:b/>
              </w:rPr>
              <w:t>664 360</w:t>
            </w:r>
          </w:p>
        </w:tc>
      </w:tr>
      <w:tr w:rsidR="00D619B4" w:rsidRPr="00E0368E" w14:paraId="5C6B94AE"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259CBC07" w14:textId="77777777" w:rsidR="00D619B4" w:rsidRPr="00E0368E" w:rsidRDefault="00D619B4" w:rsidP="001C13FB">
            <w:pPr>
              <w:rPr>
                <w:b/>
                <w:bCs/>
                <w:i/>
                <w:iCs/>
                <w:color w:val="000000"/>
                <w:lang w:eastAsia="sk-SK"/>
              </w:rPr>
            </w:pPr>
            <w:r w:rsidRPr="00E0368E">
              <w:rPr>
                <w:b/>
                <w:bCs/>
                <w:i/>
                <w:iCs/>
                <w:color w:val="000000"/>
                <w:lang w:eastAsia="sk-SK"/>
              </w:rPr>
              <w:t xml:space="preserve">z toho: </w:t>
            </w:r>
          </w:p>
        </w:tc>
        <w:tc>
          <w:tcPr>
            <w:tcW w:w="1559" w:type="dxa"/>
            <w:tcBorders>
              <w:top w:val="nil"/>
              <w:left w:val="nil"/>
              <w:bottom w:val="single" w:sz="8" w:space="0" w:color="auto"/>
              <w:right w:val="single" w:sz="8" w:space="0" w:color="auto"/>
            </w:tcBorders>
            <w:shd w:val="clear" w:color="auto" w:fill="auto"/>
            <w:noWrap/>
            <w:vAlign w:val="center"/>
          </w:tcPr>
          <w:p w14:paraId="08E62187" w14:textId="77777777" w:rsidR="00D619B4" w:rsidRDefault="00D619B4" w:rsidP="001C13FB">
            <w:pPr>
              <w:jc w:val="right"/>
              <w:rPr>
                <w:b/>
                <w:bCs/>
                <w:color w:val="000000"/>
              </w:rPr>
            </w:pPr>
          </w:p>
        </w:tc>
        <w:tc>
          <w:tcPr>
            <w:tcW w:w="1701" w:type="dxa"/>
            <w:tcBorders>
              <w:top w:val="nil"/>
              <w:left w:val="nil"/>
              <w:bottom w:val="single" w:sz="8" w:space="0" w:color="auto"/>
              <w:right w:val="single" w:sz="8" w:space="0" w:color="auto"/>
            </w:tcBorders>
            <w:shd w:val="clear" w:color="auto" w:fill="auto"/>
            <w:noWrap/>
            <w:vAlign w:val="center"/>
          </w:tcPr>
          <w:p w14:paraId="7FA0E85E" w14:textId="77777777" w:rsidR="00D619B4" w:rsidRDefault="00D619B4" w:rsidP="001C13FB">
            <w:pPr>
              <w:jc w:val="right"/>
              <w:rPr>
                <w:b/>
                <w:bCs/>
                <w:color w:val="000000"/>
              </w:rPr>
            </w:pPr>
          </w:p>
        </w:tc>
        <w:tc>
          <w:tcPr>
            <w:tcW w:w="1701" w:type="dxa"/>
            <w:tcBorders>
              <w:top w:val="nil"/>
              <w:left w:val="nil"/>
              <w:bottom w:val="single" w:sz="8" w:space="0" w:color="auto"/>
              <w:right w:val="single" w:sz="8" w:space="0" w:color="auto"/>
            </w:tcBorders>
            <w:shd w:val="clear" w:color="auto" w:fill="auto"/>
            <w:noWrap/>
            <w:vAlign w:val="center"/>
          </w:tcPr>
          <w:p w14:paraId="5AFF646B" w14:textId="77777777" w:rsidR="00D619B4" w:rsidRDefault="00D619B4" w:rsidP="001C13FB">
            <w:pPr>
              <w:jc w:val="right"/>
              <w:rPr>
                <w:b/>
                <w:bCs/>
                <w:color w:val="000000"/>
              </w:rPr>
            </w:pPr>
          </w:p>
        </w:tc>
        <w:tc>
          <w:tcPr>
            <w:tcW w:w="1418" w:type="dxa"/>
            <w:tcBorders>
              <w:top w:val="nil"/>
              <w:left w:val="nil"/>
              <w:bottom w:val="single" w:sz="8" w:space="0" w:color="auto"/>
              <w:right w:val="single" w:sz="8" w:space="0" w:color="auto"/>
            </w:tcBorders>
            <w:shd w:val="clear" w:color="auto" w:fill="auto"/>
            <w:noWrap/>
            <w:vAlign w:val="center"/>
          </w:tcPr>
          <w:p w14:paraId="12BC49E5" w14:textId="77777777" w:rsidR="00D619B4" w:rsidRDefault="00D619B4" w:rsidP="001C13FB">
            <w:pPr>
              <w:jc w:val="right"/>
              <w:rPr>
                <w:b/>
                <w:bCs/>
                <w:color w:val="000000"/>
              </w:rPr>
            </w:pPr>
          </w:p>
        </w:tc>
      </w:tr>
      <w:tr w:rsidR="00D619B4" w:rsidRPr="00E0368E" w14:paraId="08EFC0A7"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2633C3C9" w14:textId="77777777" w:rsidR="00D619B4" w:rsidRPr="00E0368E" w:rsidRDefault="00D619B4" w:rsidP="001C13FB">
            <w:pPr>
              <w:rPr>
                <w:b/>
                <w:bCs/>
                <w:i/>
                <w:i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auto" w:fill="auto"/>
            <w:noWrap/>
            <w:vAlign w:val="center"/>
          </w:tcPr>
          <w:p w14:paraId="2AEAB111" w14:textId="77777777" w:rsidR="00D619B4" w:rsidRDefault="00D619B4" w:rsidP="001C13FB">
            <w:pPr>
              <w:jc w:val="right"/>
              <w:rPr>
                <w:b/>
                <w:bCs/>
                <w:color w:val="000000"/>
              </w:rPr>
            </w:pPr>
            <w:r>
              <w:rPr>
                <w:b/>
                <w:bCs/>
                <w:sz w:val="20"/>
                <w:szCs w:val="20"/>
                <w:lang w:eastAsia="sk-SK"/>
              </w:rPr>
              <w:t>276 818</w:t>
            </w:r>
          </w:p>
        </w:tc>
        <w:tc>
          <w:tcPr>
            <w:tcW w:w="1701" w:type="dxa"/>
            <w:tcBorders>
              <w:top w:val="nil"/>
              <w:left w:val="nil"/>
              <w:bottom w:val="single" w:sz="8" w:space="0" w:color="auto"/>
              <w:right w:val="single" w:sz="8" w:space="0" w:color="auto"/>
            </w:tcBorders>
            <w:shd w:val="clear" w:color="auto" w:fill="auto"/>
            <w:noWrap/>
            <w:vAlign w:val="center"/>
          </w:tcPr>
          <w:p w14:paraId="089791C0" w14:textId="77777777" w:rsidR="00D619B4" w:rsidRDefault="00D619B4" w:rsidP="001C13FB">
            <w:pPr>
              <w:jc w:val="right"/>
              <w:rPr>
                <w:b/>
                <w:bCs/>
                <w:color w:val="000000"/>
              </w:rPr>
            </w:pPr>
            <w:r>
              <w:rPr>
                <w:b/>
              </w:rPr>
              <w:t>664 360</w:t>
            </w:r>
          </w:p>
        </w:tc>
        <w:tc>
          <w:tcPr>
            <w:tcW w:w="1701" w:type="dxa"/>
            <w:tcBorders>
              <w:top w:val="nil"/>
              <w:left w:val="nil"/>
              <w:bottom w:val="single" w:sz="8" w:space="0" w:color="auto"/>
              <w:right w:val="single" w:sz="8" w:space="0" w:color="auto"/>
            </w:tcBorders>
            <w:shd w:val="clear" w:color="auto" w:fill="auto"/>
            <w:noWrap/>
          </w:tcPr>
          <w:p w14:paraId="39BF2B8C" w14:textId="77777777" w:rsidR="00D619B4" w:rsidRDefault="00D619B4" w:rsidP="001C13FB">
            <w:pPr>
              <w:jc w:val="right"/>
              <w:rPr>
                <w:b/>
                <w:bCs/>
                <w:color w:val="000000"/>
              </w:rPr>
            </w:pPr>
            <w:r>
              <w:rPr>
                <w:b/>
              </w:rPr>
              <w:t>664 360</w:t>
            </w:r>
          </w:p>
        </w:tc>
        <w:tc>
          <w:tcPr>
            <w:tcW w:w="1418" w:type="dxa"/>
            <w:tcBorders>
              <w:top w:val="nil"/>
              <w:left w:val="nil"/>
              <w:bottom w:val="single" w:sz="8" w:space="0" w:color="auto"/>
              <w:right w:val="single" w:sz="8" w:space="0" w:color="auto"/>
            </w:tcBorders>
            <w:shd w:val="clear" w:color="auto" w:fill="auto"/>
            <w:noWrap/>
          </w:tcPr>
          <w:p w14:paraId="75F6678F" w14:textId="77777777" w:rsidR="00D619B4" w:rsidRDefault="00D619B4" w:rsidP="001C13FB">
            <w:pPr>
              <w:jc w:val="right"/>
              <w:rPr>
                <w:b/>
                <w:bCs/>
                <w:color w:val="000000"/>
              </w:rPr>
            </w:pPr>
            <w:r>
              <w:rPr>
                <w:b/>
              </w:rPr>
              <w:t>664 360</w:t>
            </w:r>
          </w:p>
        </w:tc>
      </w:tr>
      <w:tr w:rsidR="00D619B4" w:rsidRPr="00E0368E" w14:paraId="200EDAB2"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70BE8920" w14:textId="77777777" w:rsidR="00D619B4" w:rsidRPr="00E0368E" w:rsidRDefault="00D619B4" w:rsidP="001C13FB">
            <w:pPr>
              <w:rPr>
                <w:b/>
                <w:bCs/>
                <w:i/>
                <w:i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auto" w:fill="auto"/>
            <w:noWrap/>
            <w:vAlign w:val="center"/>
          </w:tcPr>
          <w:p w14:paraId="589F953F" w14:textId="77777777" w:rsidR="00D619B4" w:rsidRDefault="00D619B4" w:rsidP="001C13FB">
            <w:pPr>
              <w:jc w:val="right"/>
              <w:rPr>
                <w:b/>
                <w:bCs/>
                <w:color w:val="000000"/>
              </w:rPr>
            </w:pPr>
            <w:r>
              <w:rPr>
                <w:b/>
                <w:bCs/>
                <w:sz w:val="20"/>
                <w:szCs w:val="20"/>
                <w:lang w:eastAsia="sk-SK"/>
              </w:rPr>
              <w:t>276 818</w:t>
            </w:r>
          </w:p>
        </w:tc>
        <w:tc>
          <w:tcPr>
            <w:tcW w:w="1701" w:type="dxa"/>
            <w:tcBorders>
              <w:top w:val="nil"/>
              <w:left w:val="nil"/>
              <w:bottom w:val="single" w:sz="8" w:space="0" w:color="auto"/>
              <w:right w:val="single" w:sz="8" w:space="0" w:color="auto"/>
            </w:tcBorders>
            <w:shd w:val="clear" w:color="auto" w:fill="auto"/>
            <w:noWrap/>
            <w:vAlign w:val="center"/>
          </w:tcPr>
          <w:p w14:paraId="7D2D7F34" w14:textId="77777777" w:rsidR="00D619B4" w:rsidRDefault="00D619B4" w:rsidP="001C13FB">
            <w:pPr>
              <w:jc w:val="right"/>
              <w:rPr>
                <w:b/>
                <w:bCs/>
                <w:color w:val="000000"/>
              </w:rPr>
            </w:pPr>
            <w:r>
              <w:rPr>
                <w:b/>
              </w:rPr>
              <w:t>664 360</w:t>
            </w:r>
          </w:p>
        </w:tc>
        <w:tc>
          <w:tcPr>
            <w:tcW w:w="1701" w:type="dxa"/>
            <w:tcBorders>
              <w:top w:val="nil"/>
              <w:left w:val="nil"/>
              <w:bottom w:val="single" w:sz="8" w:space="0" w:color="auto"/>
              <w:right w:val="single" w:sz="8" w:space="0" w:color="auto"/>
            </w:tcBorders>
            <w:shd w:val="clear" w:color="auto" w:fill="auto"/>
            <w:noWrap/>
          </w:tcPr>
          <w:p w14:paraId="5575EE9E" w14:textId="77777777" w:rsidR="00D619B4" w:rsidRDefault="00D619B4" w:rsidP="001C13FB">
            <w:pPr>
              <w:jc w:val="right"/>
              <w:rPr>
                <w:b/>
                <w:bCs/>
                <w:color w:val="000000"/>
              </w:rPr>
            </w:pPr>
            <w:r>
              <w:rPr>
                <w:b/>
              </w:rPr>
              <w:t>664 360</w:t>
            </w:r>
          </w:p>
        </w:tc>
        <w:tc>
          <w:tcPr>
            <w:tcW w:w="1418" w:type="dxa"/>
            <w:tcBorders>
              <w:top w:val="nil"/>
              <w:left w:val="nil"/>
              <w:bottom w:val="single" w:sz="8" w:space="0" w:color="auto"/>
              <w:right w:val="single" w:sz="8" w:space="0" w:color="auto"/>
            </w:tcBorders>
            <w:shd w:val="clear" w:color="auto" w:fill="auto"/>
            <w:noWrap/>
          </w:tcPr>
          <w:p w14:paraId="284FFFA3" w14:textId="77777777" w:rsidR="00D619B4" w:rsidRDefault="00D619B4" w:rsidP="001C13FB">
            <w:pPr>
              <w:jc w:val="right"/>
              <w:rPr>
                <w:b/>
                <w:bCs/>
                <w:color w:val="000000"/>
              </w:rPr>
            </w:pPr>
            <w:r>
              <w:rPr>
                <w:b/>
              </w:rPr>
              <w:t>664 360</w:t>
            </w:r>
          </w:p>
        </w:tc>
      </w:tr>
      <w:tr w:rsidR="00D619B4" w:rsidRPr="00E0368E" w14:paraId="1D1B63F4"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74E8A744" w14:textId="77777777" w:rsidR="00D619B4" w:rsidRPr="00E0368E" w:rsidRDefault="00D619B4" w:rsidP="001C13FB">
            <w:pPr>
              <w:rPr>
                <w:b/>
                <w:bCs/>
                <w:i/>
                <w:iCs/>
                <w:color w:val="000000"/>
                <w:lang w:eastAsia="sk-SK"/>
              </w:rPr>
            </w:pPr>
            <w:r w:rsidRPr="00E0368E">
              <w:rPr>
                <w:i/>
                <w:iCs/>
                <w:color w:val="000000"/>
                <w:lang w:eastAsia="sk-SK"/>
              </w:rPr>
              <w:t xml:space="preserve">    EÚ zdroje (POO)</w:t>
            </w:r>
          </w:p>
        </w:tc>
        <w:tc>
          <w:tcPr>
            <w:tcW w:w="1559" w:type="dxa"/>
            <w:tcBorders>
              <w:top w:val="nil"/>
              <w:left w:val="nil"/>
              <w:bottom w:val="single" w:sz="8" w:space="0" w:color="auto"/>
              <w:right w:val="single" w:sz="8" w:space="0" w:color="auto"/>
            </w:tcBorders>
            <w:shd w:val="clear" w:color="auto" w:fill="auto"/>
            <w:noWrap/>
            <w:vAlign w:val="center"/>
          </w:tcPr>
          <w:p w14:paraId="1C65DC48"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0AC0844F"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16A08F7C"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8AD5826" w14:textId="77777777" w:rsidR="00D619B4" w:rsidRDefault="00D619B4" w:rsidP="001C13FB">
            <w:pPr>
              <w:jc w:val="right"/>
              <w:rPr>
                <w:b/>
                <w:bCs/>
                <w:color w:val="000000"/>
              </w:rPr>
            </w:pPr>
            <w:r>
              <w:rPr>
                <w:b/>
                <w:bCs/>
                <w:color w:val="000000"/>
              </w:rPr>
              <w:t>0</w:t>
            </w:r>
          </w:p>
        </w:tc>
      </w:tr>
      <w:tr w:rsidR="00D619B4" w:rsidRPr="00E0368E" w14:paraId="5FE8720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3ED63952" w14:textId="77777777" w:rsidR="00D619B4" w:rsidRPr="00E0368E" w:rsidRDefault="00D619B4" w:rsidP="001C13FB">
            <w:pPr>
              <w:rPr>
                <w:b/>
                <w:bCs/>
                <w:i/>
                <w:iCs/>
                <w:color w:val="000000"/>
                <w:lang w:eastAsia="sk-SK"/>
              </w:rPr>
            </w:pPr>
            <w:r w:rsidRPr="00E0368E">
              <w:rPr>
                <w:i/>
                <w:iCs/>
                <w:color w:val="000000"/>
                <w:lang w:eastAsia="sk-SK"/>
              </w:rPr>
              <w:t xml:space="preserve">    spolufinancovanie</w:t>
            </w:r>
          </w:p>
        </w:tc>
        <w:tc>
          <w:tcPr>
            <w:tcW w:w="1559" w:type="dxa"/>
            <w:tcBorders>
              <w:top w:val="nil"/>
              <w:left w:val="nil"/>
              <w:bottom w:val="single" w:sz="8" w:space="0" w:color="auto"/>
              <w:right w:val="single" w:sz="8" w:space="0" w:color="auto"/>
            </w:tcBorders>
            <w:shd w:val="clear" w:color="auto" w:fill="auto"/>
            <w:noWrap/>
            <w:vAlign w:val="center"/>
          </w:tcPr>
          <w:p w14:paraId="3B61C2AD"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3076300E"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411E4E52"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42AF7356" w14:textId="77777777" w:rsidR="00D619B4" w:rsidRDefault="00D619B4" w:rsidP="001C13FB">
            <w:pPr>
              <w:jc w:val="right"/>
              <w:rPr>
                <w:b/>
                <w:bCs/>
                <w:color w:val="000000"/>
              </w:rPr>
            </w:pPr>
            <w:r>
              <w:rPr>
                <w:b/>
                <w:bCs/>
                <w:color w:val="000000"/>
              </w:rPr>
              <w:t>0</w:t>
            </w:r>
          </w:p>
        </w:tc>
      </w:tr>
      <w:tr w:rsidR="00D619B4" w:rsidRPr="00E0368E" w14:paraId="5F7F82F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736B2A77"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auto" w:fill="auto"/>
            <w:noWrap/>
            <w:vAlign w:val="center"/>
          </w:tcPr>
          <w:p w14:paraId="714912B6"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1B5FB725"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4201D6FD"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BA18BDD" w14:textId="77777777" w:rsidR="00D619B4" w:rsidRDefault="00D619B4" w:rsidP="001C13FB">
            <w:pPr>
              <w:jc w:val="right"/>
              <w:rPr>
                <w:b/>
                <w:bCs/>
                <w:color w:val="000000"/>
              </w:rPr>
            </w:pPr>
            <w:r>
              <w:rPr>
                <w:b/>
                <w:bCs/>
                <w:color w:val="000000"/>
              </w:rPr>
              <w:t>0</w:t>
            </w:r>
          </w:p>
        </w:tc>
      </w:tr>
      <w:tr w:rsidR="00D619B4" w:rsidRPr="00E0368E" w14:paraId="470B2218"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39D003DD" w14:textId="77777777" w:rsidR="00D619B4" w:rsidRPr="00E0368E" w:rsidRDefault="00D619B4" w:rsidP="001C13FB">
            <w:pPr>
              <w:rPr>
                <w:b/>
                <w:bCs/>
                <w:i/>
                <w:iCs/>
                <w:color w:val="000000"/>
                <w:lang w:eastAsia="sk-SK"/>
              </w:rPr>
            </w:pPr>
            <w:r w:rsidRPr="00E0368E">
              <w:rPr>
                <w:i/>
                <w:iCs/>
                <w:color w:val="000000"/>
                <w:lang w:eastAsia="sk-SK"/>
              </w:rPr>
              <w:t>z toho vplyv nových úloh v zmysle ods. 2 Čl. 6 ústavného zákona č. 493/2011 Z. z. o rozpočtovej zodpovednosti</w:t>
            </w:r>
          </w:p>
        </w:tc>
        <w:tc>
          <w:tcPr>
            <w:tcW w:w="1559" w:type="dxa"/>
            <w:tcBorders>
              <w:top w:val="nil"/>
              <w:left w:val="nil"/>
              <w:bottom w:val="single" w:sz="8" w:space="0" w:color="auto"/>
              <w:right w:val="single" w:sz="8" w:space="0" w:color="auto"/>
            </w:tcBorders>
            <w:shd w:val="clear" w:color="auto" w:fill="auto"/>
            <w:noWrap/>
            <w:vAlign w:val="center"/>
          </w:tcPr>
          <w:p w14:paraId="7C310FB8"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01350F44"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6B975C46"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28BBC897" w14:textId="77777777" w:rsidR="00D619B4" w:rsidRDefault="00D619B4" w:rsidP="001C13FB">
            <w:pPr>
              <w:jc w:val="right"/>
              <w:rPr>
                <w:b/>
                <w:bCs/>
                <w:color w:val="000000"/>
              </w:rPr>
            </w:pPr>
            <w:r>
              <w:rPr>
                <w:b/>
                <w:bCs/>
                <w:color w:val="000000"/>
              </w:rPr>
              <w:t>0</w:t>
            </w:r>
          </w:p>
        </w:tc>
      </w:tr>
      <w:tr w:rsidR="00D619B4" w:rsidRPr="00E0368E" w14:paraId="2DEE0A65"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1127D960"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auto" w:fill="auto"/>
            <w:noWrap/>
            <w:vAlign w:val="center"/>
          </w:tcPr>
          <w:p w14:paraId="40CAE582"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42D37774"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459A8511"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53EFB48B" w14:textId="77777777" w:rsidR="00D619B4" w:rsidRDefault="00D619B4" w:rsidP="001C13FB">
            <w:pPr>
              <w:jc w:val="right"/>
              <w:rPr>
                <w:b/>
                <w:bCs/>
                <w:color w:val="000000"/>
              </w:rPr>
            </w:pPr>
            <w:r>
              <w:rPr>
                <w:b/>
                <w:bCs/>
                <w:color w:val="000000"/>
              </w:rPr>
              <w:t>0</w:t>
            </w:r>
          </w:p>
        </w:tc>
      </w:tr>
      <w:tr w:rsidR="00D619B4" w:rsidRPr="00E0368E" w14:paraId="2F0F2DC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20118CA0" w14:textId="77777777" w:rsidR="00D619B4" w:rsidRPr="00E0368E" w:rsidRDefault="00D619B4" w:rsidP="001C13FB">
            <w:pPr>
              <w:rPr>
                <w:b/>
                <w:bCs/>
                <w:i/>
                <w:iCs/>
                <w:color w:val="000000"/>
                <w:lang w:eastAsia="sk-SK"/>
              </w:rPr>
            </w:pPr>
            <w:r w:rsidRPr="00E0368E">
              <w:rPr>
                <w:i/>
                <w:iCs/>
                <w:color w:val="000000"/>
                <w:lang w:eastAsia="sk-SK"/>
              </w:rPr>
              <w:t>z toho vplyv nových úloh v zmysle ods. 2 Čl. 6 ústavného zákona č. 493/2011 Z. z. o rozpočtovej zodpovednosti</w:t>
            </w:r>
          </w:p>
        </w:tc>
        <w:tc>
          <w:tcPr>
            <w:tcW w:w="1559" w:type="dxa"/>
            <w:tcBorders>
              <w:top w:val="nil"/>
              <w:left w:val="nil"/>
              <w:bottom w:val="single" w:sz="8" w:space="0" w:color="auto"/>
              <w:right w:val="single" w:sz="8" w:space="0" w:color="auto"/>
            </w:tcBorders>
            <w:shd w:val="clear" w:color="auto" w:fill="auto"/>
            <w:noWrap/>
            <w:vAlign w:val="center"/>
          </w:tcPr>
          <w:p w14:paraId="5C4C97FC"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016F91CA"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3038B3CC"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0A56628B" w14:textId="77777777" w:rsidR="00D619B4" w:rsidRDefault="00D619B4" w:rsidP="001C13FB">
            <w:pPr>
              <w:jc w:val="right"/>
              <w:rPr>
                <w:b/>
                <w:bCs/>
                <w:color w:val="000000"/>
              </w:rPr>
            </w:pPr>
            <w:r>
              <w:rPr>
                <w:b/>
                <w:bCs/>
                <w:color w:val="000000"/>
              </w:rPr>
              <w:t>0</w:t>
            </w:r>
          </w:p>
        </w:tc>
      </w:tr>
      <w:tr w:rsidR="00D619B4" w:rsidRPr="00E0368E" w14:paraId="23ED767B"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745BDAC2"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auto" w:fill="auto"/>
            <w:noWrap/>
            <w:vAlign w:val="center"/>
          </w:tcPr>
          <w:p w14:paraId="02E43429"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07B1C584"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49F30A68"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0BE3241F" w14:textId="77777777" w:rsidR="00D619B4" w:rsidRDefault="00D619B4" w:rsidP="001C13FB">
            <w:pPr>
              <w:jc w:val="right"/>
              <w:rPr>
                <w:b/>
                <w:bCs/>
                <w:color w:val="000000"/>
              </w:rPr>
            </w:pPr>
            <w:r>
              <w:rPr>
                <w:b/>
                <w:bCs/>
                <w:color w:val="000000"/>
              </w:rPr>
              <w:t>0</w:t>
            </w:r>
          </w:p>
        </w:tc>
      </w:tr>
      <w:tr w:rsidR="00D619B4" w:rsidRPr="00E0368E" w14:paraId="3116CAC9"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hideMark/>
          </w:tcPr>
          <w:p w14:paraId="67E70F84" w14:textId="77777777" w:rsidR="00D619B4" w:rsidRPr="00E0368E" w:rsidRDefault="00D619B4" w:rsidP="001C13FB">
            <w:pPr>
              <w:rPr>
                <w:b/>
                <w:bCs/>
                <w:color w:val="000000"/>
                <w:lang w:eastAsia="sk-SK"/>
              </w:rPr>
            </w:pPr>
            <w:r w:rsidRPr="00E0368E">
              <w:rPr>
                <w:b/>
                <w:bCs/>
                <w:color w:val="000000"/>
                <w:lang w:eastAsia="sk-SK"/>
              </w:rPr>
              <w:t xml:space="preserve">Vplyv na počet zamestnancov </w:t>
            </w:r>
          </w:p>
        </w:tc>
        <w:tc>
          <w:tcPr>
            <w:tcW w:w="1559" w:type="dxa"/>
            <w:tcBorders>
              <w:top w:val="nil"/>
              <w:left w:val="nil"/>
              <w:bottom w:val="single" w:sz="8" w:space="0" w:color="auto"/>
              <w:right w:val="single" w:sz="8" w:space="0" w:color="auto"/>
            </w:tcBorders>
            <w:shd w:val="clear" w:color="000000" w:fill="BFBFBF"/>
            <w:noWrap/>
            <w:vAlign w:val="center"/>
            <w:hideMark/>
          </w:tcPr>
          <w:p w14:paraId="264B3C0E" w14:textId="77777777" w:rsidR="00D619B4" w:rsidRPr="000C290E" w:rsidRDefault="00D619B4" w:rsidP="001C13FB">
            <w:pPr>
              <w:jc w:val="right"/>
              <w:rPr>
                <w:b/>
                <w:bCs/>
                <w:color w:val="000000"/>
                <w:lang w:eastAsia="sk-SK"/>
              </w:rPr>
            </w:pPr>
            <w:r>
              <w:rPr>
                <w:b/>
                <w:bCs/>
                <w:color w:val="000000"/>
              </w:rPr>
              <w:t>28</w:t>
            </w:r>
          </w:p>
        </w:tc>
        <w:tc>
          <w:tcPr>
            <w:tcW w:w="1701" w:type="dxa"/>
            <w:tcBorders>
              <w:top w:val="nil"/>
              <w:left w:val="nil"/>
              <w:bottom w:val="single" w:sz="8" w:space="0" w:color="auto"/>
              <w:right w:val="single" w:sz="8" w:space="0" w:color="auto"/>
            </w:tcBorders>
            <w:shd w:val="clear" w:color="000000" w:fill="BFBFBF"/>
            <w:noWrap/>
            <w:vAlign w:val="center"/>
            <w:hideMark/>
          </w:tcPr>
          <w:p w14:paraId="2F4BBDA7" w14:textId="77777777" w:rsidR="00D619B4" w:rsidRPr="00B05A3C" w:rsidRDefault="00D619B4" w:rsidP="001C13FB">
            <w:pPr>
              <w:jc w:val="right"/>
              <w:rPr>
                <w:b/>
                <w:bCs/>
                <w:color w:val="000000"/>
                <w:lang w:eastAsia="sk-SK"/>
              </w:rPr>
            </w:pPr>
            <w:r>
              <w:rPr>
                <w:b/>
                <w:bCs/>
                <w:color w:val="000000"/>
              </w:rPr>
              <w:t>38</w:t>
            </w:r>
          </w:p>
        </w:tc>
        <w:tc>
          <w:tcPr>
            <w:tcW w:w="1701" w:type="dxa"/>
            <w:tcBorders>
              <w:top w:val="nil"/>
              <w:left w:val="nil"/>
              <w:bottom w:val="single" w:sz="8" w:space="0" w:color="auto"/>
              <w:right w:val="single" w:sz="8" w:space="0" w:color="auto"/>
            </w:tcBorders>
            <w:shd w:val="clear" w:color="000000" w:fill="BFBFBF"/>
            <w:noWrap/>
            <w:vAlign w:val="center"/>
            <w:hideMark/>
          </w:tcPr>
          <w:p w14:paraId="07B77DF9" w14:textId="77777777" w:rsidR="00D619B4" w:rsidRPr="00B05A3C" w:rsidRDefault="00D619B4" w:rsidP="001C13FB">
            <w:pPr>
              <w:jc w:val="right"/>
              <w:rPr>
                <w:b/>
                <w:bCs/>
                <w:color w:val="000000"/>
                <w:lang w:eastAsia="sk-SK"/>
              </w:rPr>
            </w:pPr>
            <w:r>
              <w:rPr>
                <w:b/>
                <w:bCs/>
                <w:color w:val="000000"/>
              </w:rPr>
              <w:t>38</w:t>
            </w:r>
          </w:p>
        </w:tc>
        <w:tc>
          <w:tcPr>
            <w:tcW w:w="1418" w:type="dxa"/>
            <w:tcBorders>
              <w:top w:val="nil"/>
              <w:left w:val="nil"/>
              <w:bottom w:val="single" w:sz="8" w:space="0" w:color="auto"/>
              <w:right w:val="single" w:sz="8" w:space="0" w:color="auto"/>
            </w:tcBorders>
            <w:shd w:val="clear" w:color="000000" w:fill="BFBFBF"/>
            <w:noWrap/>
            <w:vAlign w:val="center"/>
            <w:hideMark/>
          </w:tcPr>
          <w:p w14:paraId="256865D1" w14:textId="77777777" w:rsidR="00D619B4" w:rsidRPr="00B05A3C" w:rsidRDefault="00D619B4" w:rsidP="001C13FB">
            <w:pPr>
              <w:jc w:val="right"/>
              <w:rPr>
                <w:b/>
                <w:bCs/>
                <w:color w:val="000000"/>
                <w:lang w:eastAsia="sk-SK"/>
              </w:rPr>
            </w:pPr>
            <w:r>
              <w:rPr>
                <w:b/>
                <w:bCs/>
                <w:color w:val="000000"/>
              </w:rPr>
              <w:t>38</w:t>
            </w:r>
          </w:p>
        </w:tc>
      </w:tr>
      <w:tr w:rsidR="00D619B4" w:rsidRPr="00E0368E" w14:paraId="08CDB252"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526E3BEA" w14:textId="77777777" w:rsidR="00D619B4" w:rsidRPr="00E0368E" w:rsidRDefault="00D619B4" w:rsidP="001C13FB">
            <w:pPr>
              <w:rPr>
                <w:b/>
                <w:bCs/>
                <w:i/>
                <w:iCs/>
                <w:color w:val="000000"/>
                <w:lang w:eastAsia="sk-SK"/>
              </w:rPr>
            </w:pPr>
            <w:r>
              <w:rPr>
                <w:b/>
                <w:bCs/>
                <w:i/>
                <w:iCs/>
                <w:color w:val="000000"/>
                <w:lang w:eastAsia="sk-SK"/>
              </w:rPr>
              <w:t>V tom: MIRRI SR:</w:t>
            </w:r>
          </w:p>
        </w:tc>
        <w:tc>
          <w:tcPr>
            <w:tcW w:w="1559" w:type="dxa"/>
            <w:tcBorders>
              <w:top w:val="nil"/>
              <w:left w:val="nil"/>
              <w:bottom w:val="single" w:sz="8" w:space="0" w:color="auto"/>
              <w:right w:val="single" w:sz="8" w:space="0" w:color="auto"/>
            </w:tcBorders>
            <w:shd w:val="clear" w:color="auto" w:fill="auto"/>
            <w:noWrap/>
            <w:vAlign w:val="center"/>
          </w:tcPr>
          <w:p w14:paraId="69FD5101" w14:textId="77777777" w:rsidR="00D619B4" w:rsidRDefault="00D619B4" w:rsidP="001C13FB">
            <w:pPr>
              <w:jc w:val="right"/>
              <w:rPr>
                <w:b/>
                <w:bCs/>
                <w:color w:val="000000"/>
              </w:rPr>
            </w:pPr>
            <w:r>
              <w:rPr>
                <w:b/>
                <w:bCs/>
                <w:color w:val="000000"/>
              </w:rPr>
              <w:t>7</w:t>
            </w:r>
          </w:p>
        </w:tc>
        <w:tc>
          <w:tcPr>
            <w:tcW w:w="1701" w:type="dxa"/>
            <w:tcBorders>
              <w:top w:val="nil"/>
              <w:left w:val="nil"/>
              <w:bottom w:val="single" w:sz="8" w:space="0" w:color="auto"/>
              <w:right w:val="single" w:sz="8" w:space="0" w:color="auto"/>
            </w:tcBorders>
            <w:shd w:val="clear" w:color="auto" w:fill="auto"/>
            <w:noWrap/>
            <w:vAlign w:val="center"/>
          </w:tcPr>
          <w:p w14:paraId="36197AC4" w14:textId="77777777" w:rsidR="00D619B4" w:rsidRDefault="00D619B4" w:rsidP="001C13FB">
            <w:pPr>
              <w:jc w:val="right"/>
              <w:rPr>
                <w:b/>
                <w:bCs/>
                <w:color w:val="000000"/>
              </w:rPr>
            </w:pPr>
            <w:r>
              <w:rPr>
                <w:b/>
                <w:bCs/>
                <w:color w:val="000000"/>
              </w:rPr>
              <w:t>17</w:t>
            </w:r>
          </w:p>
        </w:tc>
        <w:tc>
          <w:tcPr>
            <w:tcW w:w="1701" w:type="dxa"/>
            <w:tcBorders>
              <w:top w:val="nil"/>
              <w:left w:val="nil"/>
              <w:bottom w:val="single" w:sz="8" w:space="0" w:color="auto"/>
              <w:right w:val="single" w:sz="8" w:space="0" w:color="auto"/>
            </w:tcBorders>
            <w:shd w:val="clear" w:color="auto" w:fill="auto"/>
            <w:noWrap/>
            <w:vAlign w:val="center"/>
          </w:tcPr>
          <w:p w14:paraId="0A877E28" w14:textId="77777777" w:rsidR="00D619B4" w:rsidRDefault="00D619B4" w:rsidP="001C13FB">
            <w:pPr>
              <w:jc w:val="right"/>
              <w:rPr>
                <w:b/>
                <w:bCs/>
                <w:color w:val="000000"/>
              </w:rPr>
            </w:pPr>
            <w:r>
              <w:rPr>
                <w:b/>
                <w:bCs/>
                <w:color w:val="000000"/>
              </w:rPr>
              <w:t>17</w:t>
            </w:r>
          </w:p>
        </w:tc>
        <w:tc>
          <w:tcPr>
            <w:tcW w:w="1418" w:type="dxa"/>
            <w:tcBorders>
              <w:top w:val="nil"/>
              <w:left w:val="nil"/>
              <w:bottom w:val="single" w:sz="8" w:space="0" w:color="auto"/>
              <w:right w:val="single" w:sz="8" w:space="0" w:color="auto"/>
            </w:tcBorders>
            <w:shd w:val="clear" w:color="auto" w:fill="auto"/>
            <w:noWrap/>
            <w:vAlign w:val="center"/>
          </w:tcPr>
          <w:p w14:paraId="0AFF8CEA" w14:textId="77777777" w:rsidR="00D619B4" w:rsidRDefault="00D619B4" w:rsidP="001C13FB">
            <w:pPr>
              <w:jc w:val="right"/>
              <w:rPr>
                <w:b/>
                <w:bCs/>
                <w:color w:val="000000"/>
              </w:rPr>
            </w:pPr>
            <w:r>
              <w:rPr>
                <w:b/>
                <w:bCs/>
                <w:color w:val="000000"/>
              </w:rPr>
              <w:t>17</w:t>
            </w:r>
          </w:p>
        </w:tc>
      </w:tr>
      <w:tr w:rsidR="00D619B4" w:rsidRPr="00E0368E" w14:paraId="3803191E"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563EA7F0" w14:textId="77777777" w:rsidR="00D619B4" w:rsidRPr="00E0368E" w:rsidRDefault="00D619B4" w:rsidP="001C13FB">
            <w:pPr>
              <w:rPr>
                <w:b/>
                <w:bCs/>
                <w:i/>
                <w:i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auto" w:fill="auto"/>
            <w:noWrap/>
            <w:vAlign w:val="center"/>
            <w:hideMark/>
          </w:tcPr>
          <w:p w14:paraId="3CBD8C36" w14:textId="77777777" w:rsidR="00D619B4" w:rsidRPr="000C290E" w:rsidRDefault="00D619B4" w:rsidP="001C13FB">
            <w:pPr>
              <w:jc w:val="right"/>
              <w:rPr>
                <w:b/>
                <w:bCs/>
                <w:color w:val="000000"/>
                <w:lang w:eastAsia="sk-SK"/>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4EB8CE48" w14:textId="77777777" w:rsidR="00D619B4" w:rsidRPr="00B05A3C" w:rsidRDefault="00D619B4" w:rsidP="001C13FB">
            <w:pPr>
              <w:jc w:val="right"/>
              <w:rPr>
                <w:b/>
                <w:bCs/>
                <w:color w:val="000000"/>
                <w:lang w:eastAsia="sk-SK"/>
              </w:rPr>
            </w:pPr>
            <w:r>
              <w:rPr>
                <w:b/>
                <w:bCs/>
                <w:color w:val="000000"/>
              </w:rPr>
              <w:t>10</w:t>
            </w:r>
          </w:p>
        </w:tc>
        <w:tc>
          <w:tcPr>
            <w:tcW w:w="1701" w:type="dxa"/>
            <w:tcBorders>
              <w:top w:val="nil"/>
              <w:left w:val="nil"/>
              <w:bottom w:val="single" w:sz="8" w:space="0" w:color="auto"/>
              <w:right w:val="single" w:sz="8" w:space="0" w:color="auto"/>
            </w:tcBorders>
            <w:shd w:val="clear" w:color="auto" w:fill="auto"/>
            <w:noWrap/>
            <w:vAlign w:val="center"/>
            <w:hideMark/>
          </w:tcPr>
          <w:p w14:paraId="22CE71C1" w14:textId="77777777" w:rsidR="00D619B4" w:rsidRPr="00B05A3C" w:rsidRDefault="00D619B4" w:rsidP="001C13FB">
            <w:pPr>
              <w:jc w:val="right"/>
              <w:rPr>
                <w:b/>
                <w:bCs/>
                <w:color w:val="000000"/>
                <w:lang w:eastAsia="sk-SK"/>
              </w:rPr>
            </w:pPr>
            <w:r>
              <w:rPr>
                <w:b/>
                <w:bCs/>
                <w:color w:val="000000"/>
              </w:rPr>
              <w:t>10</w:t>
            </w:r>
          </w:p>
        </w:tc>
        <w:tc>
          <w:tcPr>
            <w:tcW w:w="1418" w:type="dxa"/>
            <w:tcBorders>
              <w:top w:val="nil"/>
              <w:left w:val="nil"/>
              <w:bottom w:val="single" w:sz="8" w:space="0" w:color="auto"/>
              <w:right w:val="single" w:sz="8" w:space="0" w:color="auto"/>
            </w:tcBorders>
            <w:shd w:val="clear" w:color="auto" w:fill="auto"/>
            <w:noWrap/>
            <w:vAlign w:val="center"/>
            <w:hideMark/>
          </w:tcPr>
          <w:p w14:paraId="64EECB88" w14:textId="77777777" w:rsidR="00D619B4" w:rsidRPr="00B05A3C" w:rsidRDefault="00D619B4" w:rsidP="001C13FB">
            <w:pPr>
              <w:jc w:val="right"/>
              <w:rPr>
                <w:b/>
                <w:bCs/>
                <w:color w:val="000000"/>
                <w:lang w:eastAsia="sk-SK"/>
              </w:rPr>
            </w:pPr>
            <w:r>
              <w:rPr>
                <w:b/>
                <w:bCs/>
                <w:color w:val="000000"/>
              </w:rPr>
              <w:t>17</w:t>
            </w:r>
          </w:p>
        </w:tc>
      </w:tr>
      <w:tr w:rsidR="00D619B4" w:rsidRPr="00E0368E" w14:paraId="5B90E808"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69E75F46" w14:textId="77777777" w:rsidR="00D619B4" w:rsidRPr="00E0368E" w:rsidRDefault="00D619B4" w:rsidP="001C13FB">
            <w:pPr>
              <w:rPr>
                <w:b/>
                <w:bCs/>
                <w:i/>
                <w:iCs/>
                <w:color w:val="000000"/>
                <w:lang w:eastAsia="sk-SK"/>
              </w:rPr>
            </w:pPr>
            <w:r w:rsidRPr="00E0368E">
              <w:rPr>
                <w:b/>
                <w:bCs/>
                <w:i/>
                <w:iCs/>
                <w:color w:val="000000"/>
                <w:lang w:eastAsia="sk-SK"/>
              </w:rPr>
              <w:t>- vplyv na EÚ zdroje (POO)</w:t>
            </w:r>
          </w:p>
        </w:tc>
        <w:tc>
          <w:tcPr>
            <w:tcW w:w="1559" w:type="dxa"/>
            <w:tcBorders>
              <w:top w:val="nil"/>
              <w:left w:val="nil"/>
              <w:bottom w:val="single" w:sz="8" w:space="0" w:color="auto"/>
              <w:right w:val="single" w:sz="8" w:space="0" w:color="auto"/>
            </w:tcBorders>
            <w:shd w:val="clear" w:color="auto" w:fill="auto"/>
            <w:noWrap/>
            <w:vAlign w:val="center"/>
            <w:hideMark/>
          </w:tcPr>
          <w:p w14:paraId="6C3EF64A" w14:textId="77777777" w:rsidR="00D619B4" w:rsidRPr="000C290E" w:rsidRDefault="00D619B4" w:rsidP="001C13FB">
            <w:pPr>
              <w:jc w:val="right"/>
              <w:rPr>
                <w:b/>
                <w:bCs/>
                <w:color w:val="000000"/>
                <w:lang w:eastAsia="sk-SK"/>
              </w:rPr>
            </w:pPr>
            <w:r w:rsidRPr="000C290E">
              <w:rPr>
                <w:b/>
                <w:bCs/>
                <w:color w:val="000000"/>
              </w:rPr>
              <w:t>7</w:t>
            </w:r>
          </w:p>
        </w:tc>
        <w:tc>
          <w:tcPr>
            <w:tcW w:w="1701" w:type="dxa"/>
            <w:tcBorders>
              <w:top w:val="nil"/>
              <w:left w:val="nil"/>
              <w:bottom w:val="single" w:sz="8" w:space="0" w:color="auto"/>
              <w:right w:val="single" w:sz="8" w:space="0" w:color="auto"/>
            </w:tcBorders>
            <w:shd w:val="clear" w:color="auto" w:fill="auto"/>
            <w:noWrap/>
            <w:vAlign w:val="center"/>
            <w:hideMark/>
          </w:tcPr>
          <w:p w14:paraId="467B6A5F" w14:textId="77777777" w:rsidR="00D619B4" w:rsidRPr="00B05A3C" w:rsidRDefault="00D619B4" w:rsidP="001C13FB">
            <w:pPr>
              <w:jc w:val="right"/>
              <w:rPr>
                <w:b/>
                <w:bCs/>
                <w:color w:val="000000"/>
                <w:lang w:eastAsia="sk-SK"/>
              </w:rPr>
            </w:pPr>
            <w:r w:rsidRPr="00B05A3C">
              <w:rPr>
                <w:b/>
                <w:bCs/>
                <w:color w:val="000000"/>
              </w:rPr>
              <w:t>7</w:t>
            </w:r>
          </w:p>
        </w:tc>
        <w:tc>
          <w:tcPr>
            <w:tcW w:w="1701" w:type="dxa"/>
            <w:tcBorders>
              <w:top w:val="nil"/>
              <w:left w:val="nil"/>
              <w:bottom w:val="single" w:sz="8" w:space="0" w:color="auto"/>
              <w:right w:val="single" w:sz="8" w:space="0" w:color="auto"/>
            </w:tcBorders>
            <w:shd w:val="clear" w:color="auto" w:fill="auto"/>
            <w:noWrap/>
            <w:vAlign w:val="center"/>
            <w:hideMark/>
          </w:tcPr>
          <w:p w14:paraId="07AC9129" w14:textId="77777777" w:rsidR="00D619B4" w:rsidRPr="00B05A3C" w:rsidRDefault="00D619B4" w:rsidP="001C13FB">
            <w:pPr>
              <w:jc w:val="right"/>
              <w:rPr>
                <w:b/>
                <w:bCs/>
                <w:color w:val="000000"/>
                <w:lang w:eastAsia="sk-SK"/>
              </w:rPr>
            </w:pPr>
            <w:r w:rsidRPr="00B05A3C">
              <w:rPr>
                <w:b/>
                <w:bCs/>
                <w:color w:val="000000"/>
              </w:rPr>
              <w:t>7</w:t>
            </w:r>
          </w:p>
        </w:tc>
        <w:tc>
          <w:tcPr>
            <w:tcW w:w="1418" w:type="dxa"/>
            <w:tcBorders>
              <w:top w:val="nil"/>
              <w:left w:val="nil"/>
              <w:bottom w:val="single" w:sz="8" w:space="0" w:color="auto"/>
              <w:right w:val="single" w:sz="8" w:space="0" w:color="auto"/>
            </w:tcBorders>
            <w:shd w:val="clear" w:color="auto" w:fill="auto"/>
            <w:noWrap/>
            <w:vAlign w:val="center"/>
            <w:hideMark/>
          </w:tcPr>
          <w:p w14:paraId="024992C9" w14:textId="77777777" w:rsidR="00D619B4" w:rsidRPr="00B05A3C" w:rsidRDefault="00D619B4" w:rsidP="001C13FB">
            <w:pPr>
              <w:jc w:val="right"/>
              <w:rPr>
                <w:b/>
                <w:bCs/>
                <w:color w:val="000000"/>
                <w:lang w:eastAsia="sk-SK"/>
              </w:rPr>
            </w:pPr>
            <w:r>
              <w:rPr>
                <w:b/>
                <w:bCs/>
                <w:color w:val="000000"/>
              </w:rPr>
              <w:t>0</w:t>
            </w:r>
          </w:p>
        </w:tc>
      </w:tr>
      <w:tr w:rsidR="00D619B4" w:rsidRPr="00E0368E" w14:paraId="11334ACE"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612271E5"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auto" w:fill="auto"/>
            <w:noWrap/>
            <w:vAlign w:val="center"/>
            <w:hideMark/>
          </w:tcPr>
          <w:p w14:paraId="017839C2"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C4C799A"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1CE1F6A5"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23BFD3F6"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448583E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77C96A6B"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auto" w:fill="auto"/>
            <w:noWrap/>
            <w:vAlign w:val="center"/>
            <w:hideMark/>
          </w:tcPr>
          <w:p w14:paraId="050483CF"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19415645"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A976623"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1D363B16"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4C22FE23"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5121DE47"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auto" w:fill="auto"/>
            <w:noWrap/>
            <w:vAlign w:val="center"/>
            <w:hideMark/>
          </w:tcPr>
          <w:p w14:paraId="1B592DD3"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473FBDEF"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3666232"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39D21957"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7DC94751"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757C7541" w14:textId="77777777" w:rsidR="00D619B4" w:rsidRPr="00E0368E" w:rsidRDefault="00D619B4" w:rsidP="001C13FB">
            <w:pPr>
              <w:rPr>
                <w:b/>
                <w:bCs/>
                <w:color w:val="000000"/>
                <w:lang w:eastAsia="sk-SK"/>
              </w:rPr>
            </w:pPr>
            <w:r>
              <w:rPr>
                <w:b/>
                <w:bCs/>
                <w:color w:val="000000"/>
                <w:lang w:eastAsia="sk-SK"/>
              </w:rPr>
              <w:t>V tom: MD SR</w:t>
            </w:r>
          </w:p>
        </w:tc>
        <w:tc>
          <w:tcPr>
            <w:tcW w:w="1559" w:type="dxa"/>
            <w:tcBorders>
              <w:top w:val="nil"/>
              <w:left w:val="nil"/>
              <w:bottom w:val="single" w:sz="8" w:space="0" w:color="auto"/>
              <w:right w:val="single" w:sz="8" w:space="0" w:color="auto"/>
            </w:tcBorders>
            <w:shd w:val="clear" w:color="000000" w:fill="BFBFBF"/>
            <w:noWrap/>
            <w:vAlign w:val="center"/>
          </w:tcPr>
          <w:p w14:paraId="42AB3812" w14:textId="77777777" w:rsidR="00D619B4" w:rsidRDefault="00D619B4" w:rsidP="001C13FB">
            <w:pPr>
              <w:jc w:val="right"/>
              <w:rPr>
                <w:b/>
                <w:bCs/>
                <w:color w:val="000000"/>
              </w:rPr>
            </w:pPr>
            <w:r>
              <w:rPr>
                <w:b/>
                <w:bCs/>
                <w:color w:val="000000"/>
              </w:rPr>
              <w:t>6</w:t>
            </w:r>
          </w:p>
        </w:tc>
        <w:tc>
          <w:tcPr>
            <w:tcW w:w="1701" w:type="dxa"/>
            <w:tcBorders>
              <w:top w:val="nil"/>
              <w:left w:val="nil"/>
              <w:bottom w:val="single" w:sz="8" w:space="0" w:color="auto"/>
              <w:right w:val="single" w:sz="8" w:space="0" w:color="auto"/>
            </w:tcBorders>
            <w:shd w:val="clear" w:color="000000" w:fill="BFBFBF"/>
            <w:noWrap/>
          </w:tcPr>
          <w:p w14:paraId="3D92F550" w14:textId="77777777" w:rsidR="00D619B4" w:rsidRPr="000C3854" w:rsidRDefault="00D619B4" w:rsidP="001C13FB">
            <w:pPr>
              <w:jc w:val="right"/>
              <w:rPr>
                <w:b/>
                <w:bCs/>
                <w:color w:val="000000"/>
              </w:rPr>
            </w:pPr>
            <w:r>
              <w:rPr>
                <w:b/>
                <w:bCs/>
                <w:color w:val="000000"/>
              </w:rPr>
              <w:t>6</w:t>
            </w:r>
          </w:p>
        </w:tc>
        <w:tc>
          <w:tcPr>
            <w:tcW w:w="1701" w:type="dxa"/>
            <w:tcBorders>
              <w:top w:val="nil"/>
              <w:left w:val="nil"/>
              <w:bottom w:val="single" w:sz="8" w:space="0" w:color="auto"/>
              <w:right w:val="single" w:sz="8" w:space="0" w:color="auto"/>
            </w:tcBorders>
            <w:shd w:val="clear" w:color="000000" w:fill="BFBFBF"/>
            <w:noWrap/>
          </w:tcPr>
          <w:p w14:paraId="49D9D1AF" w14:textId="77777777" w:rsidR="00D619B4" w:rsidRPr="000C3854" w:rsidRDefault="00D619B4" w:rsidP="001C13FB">
            <w:pPr>
              <w:jc w:val="right"/>
              <w:rPr>
                <w:b/>
                <w:bCs/>
                <w:color w:val="000000"/>
              </w:rPr>
            </w:pPr>
            <w:r>
              <w:rPr>
                <w:b/>
                <w:bCs/>
                <w:color w:val="000000"/>
              </w:rPr>
              <w:t>6</w:t>
            </w:r>
          </w:p>
        </w:tc>
        <w:tc>
          <w:tcPr>
            <w:tcW w:w="1418" w:type="dxa"/>
            <w:tcBorders>
              <w:top w:val="nil"/>
              <w:left w:val="nil"/>
              <w:bottom w:val="single" w:sz="8" w:space="0" w:color="auto"/>
              <w:right w:val="single" w:sz="8" w:space="0" w:color="auto"/>
            </w:tcBorders>
            <w:shd w:val="clear" w:color="000000" w:fill="BFBFBF"/>
            <w:noWrap/>
          </w:tcPr>
          <w:p w14:paraId="444DF553" w14:textId="77777777" w:rsidR="00D619B4" w:rsidRPr="000C3854" w:rsidRDefault="00D619B4" w:rsidP="001C13FB">
            <w:pPr>
              <w:jc w:val="right"/>
              <w:rPr>
                <w:b/>
                <w:bCs/>
                <w:color w:val="000000"/>
              </w:rPr>
            </w:pPr>
            <w:r>
              <w:rPr>
                <w:b/>
                <w:bCs/>
                <w:color w:val="000000"/>
              </w:rPr>
              <w:t>6</w:t>
            </w:r>
          </w:p>
        </w:tc>
      </w:tr>
      <w:tr w:rsidR="00D619B4" w:rsidRPr="00E0368E" w14:paraId="5A7A4326"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2DC1EA49" w14:textId="77777777" w:rsidR="00D619B4" w:rsidRPr="00E0368E" w:rsidRDefault="00D619B4" w:rsidP="001C13FB">
            <w:pPr>
              <w:rPr>
                <w:b/>
                <w:b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000000" w:fill="BFBFBF"/>
            <w:noWrap/>
            <w:vAlign w:val="center"/>
          </w:tcPr>
          <w:p w14:paraId="0345AFBD" w14:textId="77777777" w:rsidR="00D619B4" w:rsidRDefault="00D619B4" w:rsidP="001C13FB">
            <w:pPr>
              <w:jc w:val="right"/>
              <w:rPr>
                <w:b/>
                <w:bCs/>
                <w:color w:val="000000"/>
              </w:rPr>
            </w:pPr>
            <w:r>
              <w:rPr>
                <w:b/>
                <w:bCs/>
                <w:color w:val="000000"/>
              </w:rPr>
              <w:t>6</w:t>
            </w:r>
          </w:p>
        </w:tc>
        <w:tc>
          <w:tcPr>
            <w:tcW w:w="1701" w:type="dxa"/>
            <w:tcBorders>
              <w:top w:val="nil"/>
              <w:left w:val="nil"/>
              <w:bottom w:val="single" w:sz="8" w:space="0" w:color="auto"/>
              <w:right w:val="single" w:sz="8" w:space="0" w:color="auto"/>
            </w:tcBorders>
            <w:shd w:val="clear" w:color="000000" w:fill="BFBFBF"/>
            <w:noWrap/>
          </w:tcPr>
          <w:p w14:paraId="2373A880" w14:textId="77777777" w:rsidR="00D619B4" w:rsidRPr="000C3854" w:rsidRDefault="00D619B4" w:rsidP="001C13FB">
            <w:pPr>
              <w:jc w:val="right"/>
              <w:rPr>
                <w:b/>
                <w:bCs/>
                <w:color w:val="000000"/>
              </w:rPr>
            </w:pPr>
            <w:r>
              <w:rPr>
                <w:b/>
                <w:bCs/>
                <w:color w:val="000000"/>
              </w:rPr>
              <w:t>6</w:t>
            </w:r>
          </w:p>
        </w:tc>
        <w:tc>
          <w:tcPr>
            <w:tcW w:w="1701" w:type="dxa"/>
            <w:tcBorders>
              <w:top w:val="nil"/>
              <w:left w:val="nil"/>
              <w:bottom w:val="single" w:sz="8" w:space="0" w:color="auto"/>
              <w:right w:val="single" w:sz="8" w:space="0" w:color="auto"/>
            </w:tcBorders>
            <w:shd w:val="clear" w:color="000000" w:fill="BFBFBF"/>
            <w:noWrap/>
          </w:tcPr>
          <w:p w14:paraId="2713EAE1" w14:textId="77777777" w:rsidR="00D619B4" w:rsidRPr="000C3854" w:rsidRDefault="00D619B4" w:rsidP="001C13FB">
            <w:pPr>
              <w:jc w:val="right"/>
              <w:rPr>
                <w:b/>
                <w:bCs/>
                <w:color w:val="000000"/>
              </w:rPr>
            </w:pPr>
            <w:r>
              <w:rPr>
                <w:b/>
                <w:bCs/>
                <w:color w:val="000000"/>
              </w:rPr>
              <w:t>6</w:t>
            </w:r>
          </w:p>
        </w:tc>
        <w:tc>
          <w:tcPr>
            <w:tcW w:w="1418" w:type="dxa"/>
            <w:tcBorders>
              <w:top w:val="nil"/>
              <w:left w:val="nil"/>
              <w:bottom w:val="single" w:sz="8" w:space="0" w:color="auto"/>
              <w:right w:val="single" w:sz="8" w:space="0" w:color="auto"/>
            </w:tcBorders>
            <w:shd w:val="clear" w:color="000000" w:fill="BFBFBF"/>
            <w:noWrap/>
          </w:tcPr>
          <w:p w14:paraId="422682F2" w14:textId="77777777" w:rsidR="00D619B4" w:rsidRPr="000C3854" w:rsidRDefault="00D619B4" w:rsidP="001C13FB">
            <w:pPr>
              <w:jc w:val="right"/>
              <w:rPr>
                <w:b/>
                <w:bCs/>
                <w:color w:val="000000"/>
              </w:rPr>
            </w:pPr>
            <w:r>
              <w:rPr>
                <w:b/>
                <w:bCs/>
                <w:color w:val="000000"/>
              </w:rPr>
              <w:t>6</w:t>
            </w:r>
          </w:p>
        </w:tc>
      </w:tr>
      <w:tr w:rsidR="00D619B4" w:rsidRPr="00E0368E" w14:paraId="03536983"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1F6EDC5A" w14:textId="77777777" w:rsidR="00D619B4" w:rsidRPr="00E0368E" w:rsidRDefault="00D619B4" w:rsidP="001C13FB">
            <w:pPr>
              <w:rPr>
                <w:b/>
                <w:bCs/>
                <w:color w:val="000000"/>
                <w:lang w:eastAsia="sk-SK"/>
              </w:rPr>
            </w:pPr>
            <w:r w:rsidRPr="00E0368E">
              <w:rPr>
                <w:b/>
                <w:bCs/>
                <w:i/>
                <w:iCs/>
                <w:color w:val="000000"/>
                <w:lang w:eastAsia="sk-SK"/>
              </w:rPr>
              <w:t>- vplyv na EÚ zdroje (POO)</w:t>
            </w:r>
          </w:p>
        </w:tc>
        <w:tc>
          <w:tcPr>
            <w:tcW w:w="1559" w:type="dxa"/>
            <w:tcBorders>
              <w:top w:val="nil"/>
              <w:left w:val="nil"/>
              <w:bottom w:val="single" w:sz="8" w:space="0" w:color="auto"/>
              <w:right w:val="single" w:sz="8" w:space="0" w:color="auto"/>
            </w:tcBorders>
            <w:shd w:val="clear" w:color="000000" w:fill="BFBFBF"/>
            <w:noWrap/>
            <w:vAlign w:val="center"/>
          </w:tcPr>
          <w:p w14:paraId="7B083079"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BFBFBF"/>
            <w:noWrap/>
          </w:tcPr>
          <w:p w14:paraId="0438929D" w14:textId="77777777" w:rsidR="00D619B4" w:rsidRPr="000C385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BFBFBF"/>
            <w:noWrap/>
          </w:tcPr>
          <w:p w14:paraId="095D3FDE" w14:textId="77777777" w:rsidR="00D619B4" w:rsidRPr="000C385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tcPr>
          <w:p w14:paraId="5967EF47" w14:textId="77777777" w:rsidR="00D619B4" w:rsidRPr="000C3854" w:rsidRDefault="00D619B4" w:rsidP="001C13FB">
            <w:pPr>
              <w:jc w:val="right"/>
              <w:rPr>
                <w:b/>
                <w:bCs/>
                <w:color w:val="000000"/>
              </w:rPr>
            </w:pPr>
            <w:r>
              <w:rPr>
                <w:b/>
                <w:bCs/>
                <w:color w:val="000000"/>
              </w:rPr>
              <w:t>0</w:t>
            </w:r>
          </w:p>
        </w:tc>
      </w:tr>
      <w:tr w:rsidR="00D619B4" w:rsidRPr="00E0368E" w14:paraId="4010E998"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32037D97" w14:textId="77777777" w:rsidR="00D619B4" w:rsidRPr="00E0368E" w:rsidRDefault="00D619B4" w:rsidP="001C13FB">
            <w:pPr>
              <w:rPr>
                <w:b/>
                <w:b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000000" w:fill="BFBFBF"/>
            <w:noWrap/>
            <w:vAlign w:val="center"/>
          </w:tcPr>
          <w:p w14:paraId="4AF5C9C5" w14:textId="77777777" w:rsidR="00D619B4" w:rsidRDefault="00D619B4" w:rsidP="001C13FB">
            <w:pPr>
              <w:jc w:val="right"/>
              <w:rPr>
                <w:b/>
                <w:bCs/>
                <w:color w:val="000000"/>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524A7916" w14:textId="77777777" w:rsidR="00D619B4" w:rsidRPr="000C3854" w:rsidRDefault="00D619B4" w:rsidP="001C13FB">
            <w:pPr>
              <w:jc w:val="right"/>
              <w:rPr>
                <w:b/>
                <w:bCs/>
                <w:color w:val="000000"/>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0E1417C3" w14:textId="77777777" w:rsidR="00D619B4" w:rsidRPr="000C3854" w:rsidRDefault="00D619B4" w:rsidP="001C13FB">
            <w:pPr>
              <w:jc w:val="right"/>
              <w:rPr>
                <w:b/>
                <w:bCs/>
                <w:color w:val="000000"/>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33E0545B" w14:textId="77777777" w:rsidR="00D619B4" w:rsidRPr="000C3854" w:rsidRDefault="00D619B4" w:rsidP="001C13FB">
            <w:pPr>
              <w:jc w:val="right"/>
              <w:rPr>
                <w:b/>
                <w:bCs/>
                <w:color w:val="000000"/>
              </w:rPr>
            </w:pPr>
            <w:r w:rsidRPr="00B05A3C">
              <w:rPr>
                <w:b/>
                <w:bCs/>
                <w:color w:val="000000"/>
              </w:rPr>
              <w:t>0</w:t>
            </w:r>
          </w:p>
        </w:tc>
      </w:tr>
      <w:tr w:rsidR="00D619B4" w:rsidRPr="00E0368E" w14:paraId="777F8EAB"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63DE5172" w14:textId="77777777" w:rsidR="00D619B4" w:rsidRPr="00E0368E" w:rsidRDefault="00D619B4" w:rsidP="001C13FB">
            <w:pPr>
              <w:rPr>
                <w:b/>
                <w:b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000000" w:fill="BFBFBF"/>
            <w:noWrap/>
            <w:vAlign w:val="center"/>
          </w:tcPr>
          <w:p w14:paraId="62E76B76" w14:textId="77777777" w:rsidR="00D619B4" w:rsidRDefault="00D619B4" w:rsidP="001C13FB">
            <w:pPr>
              <w:jc w:val="right"/>
              <w:rPr>
                <w:b/>
                <w:bCs/>
                <w:color w:val="000000"/>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63128108" w14:textId="77777777" w:rsidR="00D619B4" w:rsidRPr="000C3854" w:rsidRDefault="00D619B4" w:rsidP="001C13FB">
            <w:pPr>
              <w:jc w:val="right"/>
              <w:rPr>
                <w:b/>
                <w:bCs/>
                <w:color w:val="000000"/>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57ECF0B6" w14:textId="77777777" w:rsidR="00D619B4" w:rsidRPr="000C3854" w:rsidRDefault="00D619B4" w:rsidP="001C13FB">
            <w:pPr>
              <w:jc w:val="right"/>
              <w:rPr>
                <w:b/>
                <w:bCs/>
                <w:color w:val="000000"/>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37DB6A08" w14:textId="77777777" w:rsidR="00D619B4" w:rsidRPr="000C3854" w:rsidRDefault="00D619B4" w:rsidP="001C13FB">
            <w:pPr>
              <w:jc w:val="right"/>
              <w:rPr>
                <w:b/>
                <w:bCs/>
                <w:color w:val="000000"/>
              </w:rPr>
            </w:pPr>
            <w:r w:rsidRPr="00B05A3C">
              <w:rPr>
                <w:b/>
                <w:bCs/>
                <w:color w:val="000000"/>
              </w:rPr>
              <w:t>0</w:t>
            </w:r>
          </w:p>
        </w:tc>
      </w:tr>
      <w:tr w:rsidR="00D619B4" w:rsidRPr="00E0368E" w14:paraId="67569050"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7391272F" w14:textId="77777777" w:rsidR="00D619B4" w:rsidRPr="00E0368E" w:rsidRDefault="00D619B4" w:rsidP="001C13FB">
            <w:pPr>
              <w:rPr>
                <w:b/>
                <w:b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000000" w:fill="BFBFBF"/>
            <w:noWrap/>
            <w:vAlign w:val="center"/>
          </w:tcPr>
          <w:p w14:paraId="22993A06" w14:textId="77777777" w:rsidR="00D619B4" w:rsidRDefault="00D619B4" w:rsidP="001C13FB">
            <w:pPr>
              <w:jc w:val="right"/>
              <w:rPr>
                <w:b/>
                <w:bCs/>
                <w:color w:val="000000"/>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6B53CD12" w14:textId="77777777" w:rsidR="00D619B4" w:rsidRPr="000C3854" w:rsidRDefault="00D619B4" w:rsidP="001C13FB">
            <w:pPr>
              <w:jc w:val="right"/>
              <w:rPr>
                <w:b/>
                <w:bCs/>
                <w:color w:val="000000"/>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08EF2407" w14:textId="77777777" w:rsidR="00D619B4" w:rsidRPr="000C3854" w:rsidRDefault="00D619B4" w:rsidP="001C13FB">
            <w:pPr>
              <w:jc w:val="right"/>
              <w:rPr>
                <w:b/>
                <w:bCs/>
                <w:color w:val="000000"/>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5945D704" w14:textId="77777777" w:rsidR="00D619B4" w:rsidRPr="000C3854" w:rsidRDefault="00D619B4" w:rsidP="001C13FB">
            <w:pPr>
              <w:jc w:val="right"/>
              <w:rPr>
                <w:b/>
                <w:bCs/>
                <w:color w:val="000000"/>
              </w:rPr>
            </w:pPr>
            <w:r w:rsidRPr="00B05A3C">
              <w:rPr>
                <w:b/>
                <w:bCs/>
                <w:color w:val="000000"/>
              </w:rPr>
              <w:t>0</w:t>
            </w:r>
          </w:p>
        </w:tc>
      </w:tr>
      <w:tr w:rsidR="00D619B4" w:rsidRPr="00E0368E" w14:paraId="430B21D1"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7EEB416C" w14:textId="77777777" w:rsidR="00D619B4" w:rsidRPr="00E0368E" w:rsidRDefault="00D619B4" w:rsidP="001C13FB">
            <w:pPr>
              <w:rPr>
                <w:b/>
                <w:bCs/>
                <w:i/>
                <w:iCs/>
                <w:color w:val="000000"/>
                <w:lang w:eastAsia="sk-SK"/>
              </w:rPr>
            </w:pPr>
            <w:r>
              <w:rPr>
                <w:b/>
                <w:bCs/>
                <w:color w:val="000000"/>
                <w:lang w:eastAsia="sk-SK"/>
              </w:rPr>
              <w:t>V tom: MV SR</w:t>
            </w:r>
          </w:p>
        </w:tc>
        <w:tc>
          <w:tcPr>
            <w:tcW w:w="1559" w:type="dxa"/>
            <w:tcBorders>
              <w:top w:val="nil"/>
              <w:left w:val="nil"/>
              <w:bottom w:val="single" w:sz="8" w:space="0" w:color="auto"/>
              <w:right w:val="single" w:sz="8" w:space="0" w:color="auto"/>
            </w:tcBorders>
            <w:shd w:val="clear" w:color="000000" w:fill="BFBFBF"/>
            <w:noWrap/>
            <w:vAlign w:val="center"/>
          </w:tcPr>
          <w:p w14:paraId="2239CFD0" w14:textId="77777777" w:rsidR="00D619B4" w:rsidRPr="000C290E" w:rsidRDefault="00D619B4" w:rsidP="001C13FB">
            <w:pPr>
              <w:jc w:val="right"/>
              <w:rPr>
                <w:b/>
                <w:bCs/>
                <w:color w:val="000000"/>
              </w:rPr>
            </w:pPr>
            <w:r>
              <w:rPr>
                <w:b/>
                <w:bCs/>
                <w:color w:val="000000"/>
              </w:rPr>
              <w:t>15</w:t>
            </w:r>
          </w:p>
        </w:tc>
        <w:tc>
          <w:tcPr>
            <w:tcW w:w="1701" w:type="dxa"/>
            <w:tcBorders>
              <w:top w:val="nil"/>
              <w:left w:val="nil"/>
              <w:bottom w:val="single" w:sz="8" w:space="0" w:color="auto"/>
              <w:right w:val="single" w:sz="8" w:space="0" w:color="auto"/>
            </w:tcBorders>
            <w:shd w:val="clear" w:color="000000" w:fill="BFBFBF"/>
            <w:noWrap/>
          </w:tcPr>
          <w:p w14:paraId="1EE6108B" w14:textId="77777777" w:rsidR="00D619B4" w:rsidRPr="00B05A3C" w:rsidRDefault="00D619B4" w:rsidP="001C13FB">
            <w:pPr>
              <w:jc w:val="right"/>
              <w:rPr>
                <w:b/>
                <w:bCs/>
                <w:color w:val="000000"/>
              </w:rPr>
            </w:pPr>
            <w:r>
              <w:rPr>
                <w:b/>
                <w:bCs/>
                <w:color w:val="000000"/>
              </w:rPr>
              <w:t>15</w:t>
            </w:r>
          </w:p>
        </w:tc>
        <w:tc>
          <w:tcPr>
            <w:tcW w:w="1701" w:type="dxa"/>
            <w:tcBorders>
              <w:top w:val="nil"/>
              <w:left w:val="nil"/>
              <w:bottom w:val="single" w:sz="8" w:space="0" w:color="auto"/>
              <w:right w:val="single" w:sz="8" w:space="0" w:color="auto"/>
            </w:tcBorders>
            <w:shd w:val="clear" w:color="000000" w:fill="BFBFBF"/>
            <w:noWrap/>
          </w:tcPr>
          <w:p w14:paraId="7B155DE3" w14:textId="77777777" w:rsidR="00D619B4" w:rsidRPr="00B05A3C" w:rsidRDefault="00D619B4" w:rsidP="001C13FB">
            <w:pPr>
              <w:jc w:val="right"/>
              <w:rPr>
                <w:b/>
                <w:bCs/>
                <w:color w:val="000000"/>
              </w:rPr>
            </w:pPr>
            <w:r>
              <w:rPr>
                <w:b/>
                <w:bCs/>
                <w:color w:val="000000"/>
              </w:rPr>
              <w:t>15</w:t>
            </w:r>
          </w:p>
        </w:tc>
        <w:tc>
          <w:tcPr>
            <w:tcW w:w="1418" w:type="dxa"/>
            <w:tcBorders>
              <w:top w:val="nil"/>
              <w:left w:val="nil"/>
              <w:bottom w:val="single" w:sz="8" w:space="0" w:color="auto"/>
              <w:right w:val="single" w:sz="8" w:space="0" w:color="auto"/>
            </w:tcBorders>
            <w:shd w:val="clear" w:color="000000" w:fill="BFBFBF"/>
            <w:noWrap/>
          </w:tcPr>
          <w:p w14:paraId="7DBFD2E9" w14:textId="77777777" w:rsidR="00D619B4" w:rsidRPr="00B05A3C" w:rsidRDefault="00D619B4" w:rsidP="001C13FB">
            <w:pPr>
              <w:jc w:val="right"/>
              <w:rPr>
                <w:b/>
                <w:bCs/>
                <w:color w:val="000000"/>
              </w:rPr>
            </w:pPr>
            <w:r>
              <w:rPr>
                <w:b/>
                <w:bCs/>
                <w:color w:val="000000"/>
              </w:rPr>
              <w:t>15</w:t>
            </w:r>
          </w:p>
        </w:tc>
      </w:tr>
      <w:tr w:rsidR="00D619B4" w:rsidRPr="00E0368E" w14:paraId="5F1FE953"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1D1D1B6E" w14:textId="77777777" w:rsidR="00D619B4" w:rsidRPr="00E0368E" w:rsidRDefault="00D619B4" w:rsidP="001C13FB">
            <w:pPr>
              <w:rPr>
                <w:b/>
                <w:bCs/>
                <w:i/>
                <w:iCs/>
                <w:color w:val="000000"/>
                <w:lang w:eastAsia="sk-SK"/>
              </w:rPr>
            </w:pPr>
            <w:r w:rsidRPr="00E0368E">
              <w:rPr>
                <w:b/>
                <w:bCs/>
                <w:i/>
                <w:iCs/>
                <w:color w:val="000000"/>
                <w:lang w:eastAsia="sk-SK"/>
              </w:rPr>
              <w:t>- vplyv na ŠR</w:t>
            </w:r>
          </w:p>
        </w:tc>
        <w:tc>
          <w:tcPr>
            <w:tcW w:w="1559" w:type="dxa"/>
            <w:tcBorders>
              <w:top w:val="nil"/>
              <w:left w:val="nil"/>
              <w:bottom w:val="single" w:sz="8" w:space="0" w:color="auto"/>
              <w:right w:val="single" w:sz="8" w:space="0" w:color="auto"/>
            </w:tcBorders>
            <w:shd w:val="clear" w:color="000000" w:fill="BFBFBF"/>
            <w:noWrap/>
            <w:vAlign w:val="center"/>
          </w:tcPr>
          <w:p w14:paraId="00B20FE6" w14:textId="77777777" w:rsidR="00D619B4" w:rsidRPr="000C290E" w:rsidRDefault="00D619B4" w:rsidP="001C13FB">
            <w:pPr>
              <w:jc w:val="right"/>
              <w:rPr>
                <w:b/>
                <w:bCs/>
                <w:color w:val="000000"/>
              </w:rPr>
            </w:pPr>
            <w:r>
              <w:rPr>
                <w:b/>
                <w:bCs/>
                <w:color w:val="000000"/>
              </w:rPr>
              <w:t>15</w:t>
            </w:r>
          </w:p>
        </w:tc>
        <w:tc>
          <w:tcPr>
            <w:tcW w:w="1701" w:type="dxa"/>
            <w:tcBorders>
              <w:top w:val="nil"/>
              <w:left w:val="nil"/>
              <w:bottom w:val="single" w:sz="8" w:space="0" w:color="auto"/>
              <w:right w:val="single" w:sz="8" w:space="0" w:color="auto"/>
            </w:tcBorders>
            <w:shd w:val="clear" w:color="000000" w:fill="BFBFBF"/>
            <w:noWrap/>
          </w:tcPr>
          <w:p w14:paraId="4A18A23A" w14:textId="77777777" w:rsidR="00D619B4" w:rsidRPr="00B05A3C" w:rsidRDefault="00D619B4" w:rsidP="001C13FB">
            <w:pPr>
              <w:jc w:val="right"/>
              <w:rPr>
                <w:b/>
                <w:bCs/>
                <w:color w:val="000000"/>
              </w:rPr>
            </w:pPr>
            <w:r>
              <w:rPr>
                <w:b/>
                <w:bCs/>
                <w:color w:val="000000"/>
              </w:rPr>
              <w:t>15</w:t>
            </w:r>
          </w:p>
        </w:tc>
        <w:tc>
          <w:tcPr>
            <w:tcW w:w="1701" w:type="dxa"/>
            <w:tcBorders>
              <w:top w:val="nil"/>
              <w:left w:val="nil"/>
              <w:bottom w:val="single" w:sz="8" w:space="0" w:color="auto"/>
              <w:right w:val="single" w:sz="8" w:space="0" w:color="auto"/>
            </w:tcBorders>
            <w:shd w:val="clear" w:color="000000" w:fill="BFBFBF"/>
            <w:noWrap/>
          </w:tcPr>
          <w:p w14:paraId="2E146357" w14:textId="77777777" w:rsidR="00D619B4" w:rsidRPr="00B05A3C" w:rsidRDefault="00D619B4" w:rsidP="001C13FB">
            <w:pPr>
              <w:jc w:val="right"/>
              <w:rPr>
                <w:b/>
                <w:bCs/>
                <w:color w:val="000000"/>
              </w:rPr>
            </w:pPr>
            <w:r>
              <w:rPr>
                <w:b/>
                <w:bCs/>
                <w:color w:val="000000"/>
              </w:rPr>
              <w:t>15</w:t>
            </w:r>
          </w:p>
        </w:tc>
        <w:tc>
          <w:tcPr>
            <w:tcW w:w="1418" w:type="dxa"/>
            <w:tcBorders>
              <w:top w:val="nil"/>
              <w:left w:val="nil"/>
              <w:bottom w:val="single" w:sz="8" w:space="0" w:color="auto"/>
              <w:right w:val="single" w:sz="8" w:space="0" w:color="auto"/>
            </w:tcBorders>
            <w:shd w:val="clear" w:color="000000" w:fill="BFBFBF"/>
            <w:noWrap/>
          </w:tcPr>
          <w:p w14:paraId="5F33BE7F" w14:textId="77777777" w:rsidR="00D619B4" w:rsidRPr="00B05A3C" w:rsidRDefault="00D619B4" w:rsidP="001C13FB">
            <w:pPr>
              <w:jc w:val="right"/>
              <w:rPr>
                <w:b/>
                <w:bCs/>
                <w:color w:val="000000"/>
              </w:rPr>
            </w:pPr>
            <w:r>
              <w:rPr>
                <w:b/>
                <w:bCs/>
                <w:color w:val="000000"/>
              </w:rPr>
              <w:t>15</w:t>
            </w:r>
          </w:p>
        </w:tc>
      </w:tr>
      <w:tr w:rsidR="00D619B4" w:rsidRPr="00E0368E" w14:paraId="46C35271"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6646F12A" w14:textId="77777777" w:rsidR="00D619B4" w:rsidRPr="00E0368E" w:rsidRDefault="00D619B4" w:rsidP="001C13FB">
            <w:pPr>
              <w:rPr>
                <w:b/>
                <w:bCs/>
                <w:i/>
                <w:iCs/>
                <w:color w:val="000000"/>
                <w:lang w:eastAsia="sk-SK"/>
              </w:rPr>
            </w:pPr>
            <w:r w:rsidRPr="00E0368E">
              <w:rPr>
                <w:b/>
                <w:bCs/>
                <w:i/>
                <w:iCs/>
                <w:color w:val="000000"/>
                <w:lang w:eastAsia="sk-SK"/>
              </w:rPr>
              <w:t>- vplyv na EÚ zdroje (POO)</w:t>
            </w:r>
          </w:p>
        </w:tc>
        <w:tc>
          <w:tcPr>
            <w:tcW w:w="1559" w:type="dxa"/>
            <w:tcBorders>
              <w:top w:val="nil"/>
              <w:left w:val="nil"/>
              <w:bottom w:val="single" w:sz="8" w:space="0" w:color="auto"/>
              <w:right w:val="single" w:sz="8" w:space="0" w:color="auto"/>
            </w:tcBorders>
            <w:shd w:val="clear" w:color="000000" w:fill="BFBFBF"/>
            <w:noWrap/>
            <w:vAlign w:val="center"/>
          </w:tcPr>
          <w:p w14:paraId="4A9EB432"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BFBFBF"/>
            <w:noWrap/>
          </w:tcPr>
          <w:p w14:paraId="4573B722"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BFBFBF"/>
            <w:noWrap/>
          </w:tcPr>
          <w:p w14:paraId="03456C72"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BFBFBF"/>
            <w:noWrap/>
          </w:tcPr>
          <w:p w14:paraId="195E03C5" w14:textId="77777777" w:rsidR="00D619B4" w:rsidRPr="00B05A3C" w:rsidRDefault="00D619B4" w:rsidP="001C13FB">
            <w:pPr>
              <w:jc w:val="right"/>
              <w:rPr>
                <w:b/>
                <w:bCs/>
                <w:color w:val="000000"/>
              </w:rPr>
            </w:pPr>
            <w:r>
              <w:rPr>
                <w:b/>
                <w:bCs/>
                <w:color w:val="000000"/>
              </w:rPr>
              <w:t>0</w:t>
            </w:r>
          </w:p>
        </w:tc>
      </w:tr>
      <w:tr w:rsidR="00D619B4" w:rsidRPr="00E0368E" w14:paraId="54E5CA48"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4E3E9A88"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000000" w:fill="BFBFBF"/>
            <w:noWrap/>
            <w:vAlign w:val="center"/>
          </w:tcPr>
          <w:p w14:paraId="52BB394F" w14:textId="77777777" w:rsidR="00D619B4" w:rsidRPr="000C290E" w:rsidRDefault="00D619B4" w:rsidP="001C13FB">
            <w:pPr>
              <w:jc w:val="right"/>
              <w:rPr>
                <w:b/>
                <w:bCs/>
                <w:color w:val="000000"/>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739266BC" w14:textId="77777777" w:rsidR="00D619B4" w:rsidRPr="00B05A3C" w:rsidRDefault="00D619B4" w:rsidP="001C13FB">
            <w:pPr>
              <w:jc w:val="right"/>
              <w:rPr>
                <w:b/>
                <w:bCs/>
                <w:color w:val="000000"/>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527C2EBC" w14:textId="77777777" w:rsidR="00D619B4" w:rsidRPr="00B05A3C" w:rsidRDefault="00D619B4" w:rsidP="001C13FB">
            <w:pPr>
              <w:jc w:val="right"/>
              <w:rPr>
                <w:b/>
                <w:bCs/>
                <w:color w:val="000000"/>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0119C6A1" w14:textId="77777777" w:rsidR="00D619B4" w:rsidRPr="00B05A3C" w:rsidRDefault="00D619B4" w:rsidP="001C13FB">
            <w:pPr>
              <w:jc w:val="right"/>
              <w:rPr>
                <w:b/>
                <w:bCs/>
                <w:color w:val="000000"/>
              </w:rPr>
            </w:pPr>
            <w:r w:rsidRPr="00B05A3C">
              <w:rPr>
                <w:b/>
                <w:bCs/>
                <w:color w:val="000000"/>
              </w:rPr>
              <w:t>0</w:t>
            </w:r>
          </w:p>
        </w:tc>
      </w:tr>
      <w:tr w:rsidR="00D619B4" w:rsidRPr="00E0368E" w14:paraId="114EB1F9"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0E8E040D"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000000" w:fill="BFBFBF"/>
            <w:noWrap/>
            <w:vAlign w:val="center"/>
          </w:tcPr>
          <w:p w14:paraId="793E2822" w14:textId="77777777" w:rsidR="00D619B4" w:rsidRPr="000C290E" w:rsidRDefault="00D619B4" w:rsidP="001C13FB">
            <w:pPr>
              <w:jc w:val="right"/>
              <w:rPr>
                <w:b/>
                <w:bCs/>
                <w:color w:val="000000"/>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60969025" w14:textId="77777777" w:rsidR="00D619B4" w:rsidRPr="00B05A3C" w:rsidRDefault="00D619B4" w:rsidP="001C13FB">
            <w:pPr>
              <w:jc w:val="right"/>
              <w:rPr>
                <w:b/>
                <w:bCs/>
                <w:color w:val="000000"/>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0B24B595" w14:textId="77777777" w:rsidR="00D619B4" w:rsidRPr="00B05A3C" w:rsidRDefault="00D619B4" w:rsidP="001C13FB">
            <w:pPr>
              <w:jc w:val="right"/>
              <w:rPr>
                <w:b/>
                <w:bCs/>
                <w:color w:val="000000"/>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1A56DC50" w14:textId="77777777" w:rsidR="00D619B4" w:rsidRPr="00B05A3C" w:rsidRDefault="00D619B4" w:rsidP="001C13FB">
            <w:pPr>
              <w:jc w:val="right"/>
              <w:rPr>
                <w:b/>
                <w:bCs/>
                <w:color w:val="000000"/>
              </w:rPr>
            </w:pPr>
            <w:r w:rsidRPr="00B05A3C">
              <w:rPr>
                <w:b/>
                <w:bCs/>
                <w:color w:val="000000"/>
              </w:rPr>
              <w:t>0</w:t>
            </w:r>
          </w:p>
        </w:tc>
      </w:tr>
      <w:tr w:rsidR="00D619B4" w:rsidRPr="00E0368E" w14:paraId="08911DE7"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tcPr>
          <w:p w14:paraId="130E46D2"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000000" w:fill="BFBFBF"/>
            <w:noWrap/>
            <w:vAlign w:val="center"/>
          </w:tcPr>
          <w:p w14:paraId="25BFA3F5" w14:textId="77777777" w:rsidR="00D619B4" w:rsidRPr="000C290E" w:rsidRDefault="00D619B4" w:rsidP="001C13FB">
            <w:pPr>
              <w:jc w:val="right"/>
              <w:rPr>
                <w:b/>
                <w:bCs/>
                <w:color w:val="000000"/>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4401B449" w14:textId="77777777" w:rsidR="00D619B4" w:rsidRPr="00B05A3C" w:rsidRDefault="00D619B4" w:rsidP="001C13FB">
            <w:pPr>
              <w:jc w:val="right"/>
              <w:rPr>
                <w:b/>
                <w:bCs/>
                <w:color w:val="000000"/>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tcPr>
          <w:p w14:paraId="106E3CE6" w14:textId="77777777" w:rsidR="00D619B4" w:rsidRPr="00B05A3C" w:rsidRDefault="00D619B4" w:rsidP="001C13FB">
            <w:pPr>
              <w:jc w:val="right"/>
              <w:rPr>
                <w:b/>
                <w:bCs/>
                <w:color w:val="000000"/>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tcPr>
          <w:p w14:paraId="7022F800" w14:textId="77777777" w:rsidR="00D619B4" w:rsidRPr="00B05A3C" w:rsidRDefault="00D619B4" w:rsidP="001C13FB">
            <w:pPr>
              <w:jc w:val="right"/>
              <w:rPr>
                <w:b/>
                <w:bCs/>
                <w:color w:val="000000"/>
              </w:rPr>
            </w:pPr>
            <w:r w:rsidRPr="00B05A3C">
              <w:rPr>
                <w:b/>
                <w:bCs/>
                <w:color w:val="000000"/>
              </w:rPr>
              <w:t>0</w:t>
            </w:r>
          </w:p>
        </w:tc>
      </w:tr>
      <w:tr w:rsidR="00D619B4" w:rsidRPr="00E0368E" w14:paraId="29825DDC"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hideMark/>
          </w:tcPr>
          <w:p w14:paraId="4234CACF" w14:textId="77777777" w:rsidR="00D619B4" w:rsidRPr="00FF1DB1" w:rsidRDefault="00D619B4" w:rsidP="001C13FB">
            <w:pPr>
              <w:rPr>
                <w:b/>
                <w:bCs/>
                <w:color w:val="000000"/>
                <w:lang w:eastAsia="sk-SK"/>
              </w:rPr>
            </w:pPr>
            <w:r w:rsidRPr="00FF1DB1">
              <w:rPr>
                <w:b/>
                <w:bCs/>
                <w:color w:val="000000"/>
                <w:lang w:eastAsia="sk-SK"/>
              </w:rPr>
              <w:t>Vplyv na mzdové výdavky</w:t>
            </w:r>
          </w:p>
        </w:tc>
        <w:tc>
          <w:tcPr>
            <w:tcW w:w="1559" w:type="dxa"/>
            <w:tcBorders>
              <w:top w:val="nil"/>
              <w:left w:val="nil"/>
              <w:bottom w:val="single" w:sz="8" w:space="0" w:color="auto"/>
              <w:right w:val="single" w:sz="8" w:space="0" w:color="auto"/>
            </w:tcBorders>
            <w:shd w:val="clear" w:color="000000" w:fill="BFBFBF"/>
            <w:noWrap/>
            <w:vAlign w:val="center"/>
            <w:hideMark/>
          </w:tcPr>
          <w:p w14:paraId="7E554142" w14:textId="77777777" w:rsidR="00D619B4" w:rsidRPr="00FF1DB1" w:rsidRDefault="00D619B4" w:rsidP="001C13FB">
            <w:pPr>
              <w:jc w:val="right"/>
              <w:rPr>
                <w:b/>
                <w:bCs/>
                <w:color w:val="000000"/>
                <w:lang w:eastAsia="sk-SK"/>
              </w:rPr>
            </w:pPr>
            <w:r>
              <w:rPr>
                <w:b/>
                <w:bCs/>
                <w:color w:val="000000"/>
              </w:rPr>
              <w:t>403 095</w:t>
            </w:r>
          </w:p>
        </w:tc>
        <w:tc>
          <w:tcPr>
            <w:tcW w:w="1701" w:type="dxa"/>
            <w:tcBorders>
              <w:top w:val="nil"/>
              <w:left w:val="nil"/>
              <w:bottom w:val="single" w:sz="8" w:space="0" w:color="auto"/>
              <w:right w:val="single" w:sz="8" w:space="0" w:color="auto"/>
            </w:tcBorders>
            <w:shd w:val="clear" w:color="000000" w:fill="BFBFBF"/>
            <w:noWrap/>
            <w:hideMark/>
          </w:tcPr>
          <w:p w14:paraId="27B58DEB" w14:textId="77777777" w:rsidR="00D619B4" w:rsidRPr="00FF1DB1" w:rsidRDefault="00D619B4" w:rsidP="001C13FB">
            <w:pPr>
              <w:jc w:val="right"/>
              <w:rPr>
                <w:b/>
                <w:bCs/>
                <w:color w:val="000000"/>
                <w:lang w:eastAsia="sk-SK"/>
              </w:rPr>
            </w:pPr>
            <w:r>
              <w:rPr>
                <w:b/>
                <w:bCs/>
                <w:color w:val="000000"/>
              </w:rPr>
              <w:t>1 364 820</w:t>
            </w:r>
          </w:p>
        </w:tc>
        <w:tc>
          <w:tcPr>
            <w:tcW w:w="1701" w:type="dxa"/>
            <w:tcBorders>
              <w:top w:val="nil"/>
              <w:left w:val="nil"/>
              <w:bottom w:val="single" w:sz="8" w:space="0" w:color="auto"/>
              <w:right w:val="single" w:sz="8" w:space="0" w:color="auto"/>
            </w:tcBorders>
            <w:shd w:val="clear" w:color="000000" w:fill="BFBFBF"/>
            <w:noWrap/>
            <w:hideMark/>
          </w:tcPr>
          <w:p w14:paraId="7B123D78" w14:textId="77777777" w:rsidR="00D619B4" w:rsidRPr="00FF1DB1" w:rsidRDefault="00D619B4" w:rsidP="001C13FB">
            <w:pPr>
              <w:jc w:val="right"/>
              <w:rPr>
                <w:b/>
                <w:bCs/>
                <w:color w:val="000000"/>
                <w:lang w:eastAsia="sk-SK"/>
              </w:rPr>
            </w:pPr>
            <w:r>
              <w:rPr>
                <w:b/>
                <w:bCs/>
                <w:color w:val="000000"/>
              </w:rPr>
              <w:t>1 364820</w:t>
            </w:r>
          </w:p>
        </w:tc>
        <w:tc>
          <w:tcPr>
            <w:tcW w:w="1418" w:type="dxa"/>
            <w:tcBorders>
              <w:top w:val="nil"/>
              <w:left w:val="nil"/>
              <w:bottom w:val="single" w:sz="8" w:space="0" w:color="auto"/>
              <w:right w:val="single" w:sz="8" w:space="0" w:color="auto"/>
            </w:tcBorders>
            <w:shd w:val="clear" w:color="000000" w:fill="BFBFBF"/>
            <w:noWrap/>
            <w:hideMark/>
          </w:tcPr>
          <w:p w14:paraId="05CD2147" w14:textId="77777777" w:rsidR="00D619B4" w:rsidRPr="00B05A3C" w:rsidRDefault="00D619B4" w:rsidP="001C13FB">
            <w:pPr>
              <w:jc w:val="right"/>
              <w:rPr>
                <w:b/>
                <w:bCs/>
                <w:color w:val="000000"/>
                <w:lang w:eastAsia="sk-SK"/>
              </w:rPr>
            </w:pPr>
            <w:r>
              <w:rPr>
                <w:b/>
                <w:bCs/>
                <w:color w:val="000000"/>
              </w:rPr>
              <w:t>1 364 820</w:t>
            </w:r>
          </w:p>
        </w:tc>
      </w:tr>
      <w:tr w:rsidR="00D619B4" w:rsidRPr="00E0368E" w14:paraId="6DF632F7" w14:textId="77777777" w:rsidTr="001C13FB">
        <w:trPr>
          <w:trHeight w:val="300"/>
        </w:trPr>
        <w:tc>
          <w:tcPr>
            <w:tcW w:w="3908" w:type="dxa"/>
            <w:tcBorders>
              <w:top w:val="nil"/>
              <w:left w:val="single" w:sz="8" w:space="0" w:color="auto"/>
              <w:bottom w:val="single" w:sz="8" w:space="0" w:color="000000"/>
              <w:right w:val="single" w:sz="8" w:space="0" w:color="auto"/>
            </w:tcBorders>
            <w:shd w:val="clear" w:color="auto" w:fill="auto"/>
            <w:noWrap/>
            <w:vAlign w:val="center"/>
          </w:tcPr>
          <w:p w14:paraId="09579C30" w14:textId="77777777" w:rsidR="00D619B4" w:rsidRPr="00E0368E" w:rsidRDefault="00D619B4" w:rsidP="001C13FB">
            <w:pPr>
              <w:rPr>
                <w:b/>
                <w:bCs/>
                <w:i/>
                <w:iCs/>
                <w:color w:val="000000"/>
                <w:lang w:eastAsia="sk-SK"/>
              </w:rPr>
            </w:pPr>
            <w:r>
              <w:rPr>
                <w:b/>
                <w:bCs/>
                <w:i/>
                <w:iCs/>
                <w:color w:val="000000"/>
                <w:lang w:eastAsia="sk-SK"/>
              </w:rPr>
              <w:t>V tom: MIRRI SR</w:t>
            </w:r>
          </w:p>
        </w:tc>
        <w:tc>
          <w:tcPr>
            <w:tcW w:w="1559" w:type="dxa"/>
            <w:tcBorders>
              <w:top w:val="nil"/>
              <w:left w:val="single" w:sz="8" w:space="0" w:color="auto"/>
              <w:bottom w:val="single" w:sz="8" w:space="0" w:color="000000"/>
              <w:right w:val="single" w:sz="8" w:space="0" w:color="auto"/>
            </w:tcBorders>
            <w:shd w:val="clear" w:color="auto" w:fill="auto"/>
            <w:noWrap/>
            <w:vAlign w:val="center"/>
          </w:tcPr>
          <w:p w14:paraId="010F9A0F" w14:textId="77777777" w:rsidR="00D619B4" w:rsidRDefault="00D619B4" w:rsidP="001C13FB">
            <w:pPr>
              <w:jc w:val="right"/>
              <w:rPr>
                <w:b/>
                <w:bCs/>
                <w:color w:val="000000"/>
              </w:rPr>
            </w:pPr>
            <w:r>
              <w:rPr>
                <w:b/>
                <w:bCs/>
                <w:color w:val="000000"/>
              </w:rPr>
              <w:t>115920</w:t>
            </w:r>
          </w:p>
        </w:tc>
        <w:tc>
          <w:tcPr>
            <w:tcW w:w="1701" w:type="dxa"/>
            <w:tcBorders>
              <w:top w:val="nil"/>
              <w:left w:val="single" w:sz="8" w:space="0" w:color="auto"/>
              <w:bottom w:val="single" w:sz="8" w:space="0" w:color="000000"/>
              <w:right w:val="single" w:sz="8" w:space="0" w:color="auto"/>
            </w:tcBorders>
            <w:shd w:val="clear" w:color="auto" w:fill="auto"/>
            <w:noWrap/>
            <w:vAlign w:val="center"/>
          </w:tcPr>
          <w:p w14:paraId="4E95E2E7" w14:textId="77777777" w:rsidR="00D619B4" w:rsidRDefault="00D619B4" w:rsidP="001C13FB">
            <w:pPr>
              <w:jc w:val="right"/>
              <w:rPr>
                <w:b/>
                <w:bCs/>
                <w:color w:val="000000"/>
              </w:rPr>
            </w:pPr>
            <w:r>
              <w:rPr>
                <w:b/>
                <w:bCs/>
                <w:color w:val="000000"/>
              </w:rPr>
              <w:t>675600</w:t>
            </w:r>
          </w:p>
        </w:tc>
        <w:tc>
          <w:tcPr>
            <w:tcW w:w="1701" w:type="dxa"/>
            <w:tcBorders>
              <w:top w:val="nil"/>
              <w:left w:val="single" w:sz="8" w:space="0" w:color="auto"/>
              <w:bottom w:val="single" w:sz="8" w:space="0" w:color="000000"/>
              <w:right w:val="single" w:sz="8" w:space="0" w:color="auto"/>
            </w:tcBorders>
            <w:shd w:val="clear" w:color="auto" w:fill="auto"/>
            <w:noWrap/>
          </w:tcPr>
          <w:p w14:paraId="672E8D43" w14:textId="77777777" w:rsidR="00D619B4" w:rsidRDefault="00D619B4" w:rsidP="001C13FB">
            <w:pPr>
              <w:jc w:val="right"/>
              <w:rPr>
                <w:b/>
                <w:bCs/>
                <w:color w:val="000000"/>
              </w:rPr>
            </w:pPr>
            <w:r>
              <w:rPr>
                <w:b/>
                <w:bCs/>
                <w:color w:val="000000"/>
              </w:rPr>
              <w:t>675600</w:t>
            </w:r>
          </w:p>
        </w:tc>
        <w:tc>
          <w:tcPr>
            <w:tcW w:w="1418" w:type="dxa"/>
            <w:tcBorders>
              <w:top w:val="nil"/>
              <w:left w:val="single" w:sz="8" w:space="0" w:color="auto"/>
              <w:bottom w:val="single" w:sz="8" w:space="0" w:color="000000"/>
              <w:right w:val="single" w:sz="8" w:space="0" w:color="auto"/>
            </w:tcBorders>
            <w:shd w:val="clear" w:color="auto" w:fill="auto"/>
            <w:noWrap/>
          </w:tcPr>
          <w:p w14:paraId="7FEE245E" w14:textId="77777777" w:rsidR="00D619B4" w:rsidRDefault="00D619B4" w:rsidP="001C13FB">
            <w:pPr>
              <w:jc w:val="right"/>
              <w:rPr>
                <w:b/>
                <w:bCs/>
                <w:color w:val="000000"/>
              </w:rPr>
            </w:pPr>
            <w:r>
              <w:rPr>
                <w:b/>
                <w:bCs/>
                <w:color w:val="000000"/>
              </w:rPr>
              <w:t>675600</w:t>
            </w:r>
          </w:p>
        </w:tc>
      </w:tr>
      <w:tr w:rsidR="00D619B4" w:rsidRPr="00E0368E" w14:paraId="6BD0ABC6" w14:textId="77777777" w:rsidTr="001C13FB">
        <w:trPr>
          <w:trHeight w:val="276"/>
        </w:trPr>
        <w:tc>
          <w:tcPr>
            <w:tcW w:w="390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0E21A6" w14:textId="77777777" w:rsidR="00D619B4" w:rsidRPr="00E0368E" w:rsidRDefault="00D619B4" w:rsidP="001C13FB">
            <w:pPr>
              <w:rPr>
                <w:b/>
                <w:bCs/>
                <w:i/>
                <w:iCs/>
                <w:color w:val="000000"/>
                <w:lang w:eastAsia="sk-SK"/>
              </w:rPr>
            </w:pPr>
            <w:r w:rsidRPr="00E0368E">
              <w:rPr>
                <w:b/>
                <w:bCs/>
                <w:i/>
                <w:iCs/>
                <w:color w:val="000000"/>
                <w:lang w:eastAsia="sk-SK"/>
              </w:rPr>
              <w:t>-</w:t>
            </w:r>
            <w:r>
              <w:t xml:space="preserve"> </w:t>
            </w:r>
            <w:r w:rsidRPr="007A3939">
              <w:rPr>
                <w:b/>
                <w:bCs/>
                <w:i/>
                <w:iCs/>
                <w:color w:val="000000"/>
                <w:lang w:eastAsia="sk-SK"/>
              </w:rPr>
              <w:t>vplyv na ŠR</w:t>
            </w:r>
            <w:r w:rsidRPr="00E0368E">
              <w:rPr>
                <w:rFonts w:ascii="Calibri" w:hAnsi="Calibri" w:cs="Calibri"/>
                <w:color w:val="000000"/>
                <w:sz w:val="16"/>
                <w:szCs w:val="16"/>
                <w:lang w:eastAsia="sk-SK"/>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2D90C8" w14:textId="77777777" w:rsidR="00D619B4" w:rsidRPr="000C290E" w:rsidRDefault="00D619B4" w:rsidP="001C13FB">
            <w:pPr>
              <w:jc w:val="right"/>
              <w:rPr>
                <w:b/>
                <w:bCs/>
                <w:color w:val="000000"/>
                <w:lang w:eastAsia="sk-SK"/>
              </w:rPr>
            </w:pPr>
            <w:r>
              <w:rPr>
                <w:b/>
                <w:bCs/>
                <w:color w:val="000000"/>
              </w:rPr>
              <w:t xml:space="preserve">115920  </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181A54" w14:textId="77777777" w:rsidR="00D619B4" w:rsidRPr="00B05A3C" w:rsidRDefault="00D619B4" w:rsidP="001C13FB">
            <w:pPr>
              <w:jc w:val="right"/>
              <w:rPr>
                <w:b/>
                <w:bCs/>
                <w:color w:val="000000"/>
                <w:lang w:eastAsia="sk-SK"/>
              </w:rPr>
            </w:pPr>
            <w:r>
              <w:rPr>
                <w:b/>
                <w:bCs/>
                <w:color w:val="000000"/>
              </w:rPr>
              <w:t xml:space="preserve">675600  </w:t>
            </w:r>
          </w:p>
        </w:tc>
        <w:tc>
          <w:tcPr>
            <w:tcW w:w="1701" w:type="dxa"/>
            <w:vMerge w:val="restart"/>
            <w:tcBorders>
              <w:top w:val="nil"/>
              <w:left w:val="single" w:sz="8" w:space="0" w:color="auto"/>
              <w:bottom w:val="single" w:sz="8" w:space="0" w:color="000000"/>
              <w:right w:val="single" w:sz="8" w:space="0" w:color="auto"/>
            </w:tcBorders>
            <w:shd w:val="clear" w:color="auto" w:fill="auto"/>
            <w:noWrap/>
            <w:hideMark/>
          </w:tcPr>
          <w:p w14:paraId="48B6E1E8" w14:textId="77777777" w:rsidR="00D619B4" w:rsidRDefault="00D619B4" w:rsidP="001C13FB">
            <w:pPr>
              <w:jc w:val="right"/>
              <w:rPr>
                <w:b/>
                <w:bCs/>
                <w:color w:val="000000"/>
              </w:rPr>
            </w:pPr>
          </w:p>
          <w:p w14:paraId="2B054F82" w14:textId="77777777" w:rsidR="00D619B4" w:rsidRPr="00B05A3C" w:rsidRDefault="00D619B4" w:rsidP="001C13FB">
            <w:pPr>
              <w:jc w:val="right"/>
              <w:rPr>
                <w:b/>
                <w:bCs/>
                <w:color w:val="000000"/>
                <w:lang w:eastAsia="sk-SK"/>
              </w:rPr>
            </w:pPr>
            <w:r>
              <w:rPr>
                <w:b/>
                <w:bCs/>
                <w:color w:val="000000"/>
              </w:rPr>
              <w:t>675600</w:t>
            </w:r>
            <w:r w:rsidRPr="009F4B61">
              <w:rPr>
                <w:b/>
                <w:bCs/>
                <w:color w:val="000000"/>
              </w:rPr>
              <w:t xml:space="preserve"> </w:t>
            </w:r>
          </w:p>
        </w:tc>
        <w:tc>
          <w:tcPr>
            <w:tcW w:w="1418" w:type="dxa"/>
            <w:vMerge w:val="restart"/>
            <w:tcBorders>
              <w:top w:val="nil"/>
              <w:left w:val="single" w:sz="8" w:space="0" w:color="auto"/>
              <w:bottom w:val="single" w:sz="8" w:space="0" w:color="000000"/>
              <w:right w:val="single" w:sz="8" w:space="0" w:color="auto"/>
            </w:tcBorders>
            <w:shd w:val="clear" w:color="auto" w:fill="auto"/>
            <w:noWrap/>
            <w:hideMark/>
          </w:tcPr>
          <w:p w14:paraId="05C7F9FC" w14:textId="77777777" w:rsidR="00D619B4" w:rsidRDefault="00D619B4" w:rsidP="001C13FB">
            <w:pPr>
              <w:jc w:val="right"/>
              <w:rPr>
                <w:b/>
                <w:bCs/>
                <w:color w:val="000000"/>
              </w:rPr>
            </w:pPr>
          </w:p>
          <w:p w14:paraId="63CDDE29" w14:textId="77777777" w:rsidR="00D619B4" w:rsidRPr="00B05A3C" w:rsidRDefault="00D619B4" w:rsidP="001C13FB">
            <w:pPr>
              <w:jc w:val="right"/>
              <w:rPr>
                <w:b/>
                <w:bCs/>
                <w:color w:val="000000"/>
                <w:lang w:eastAsia="sk-SK"/>
              </w:rPr>
            </w:pPr>
            <w:r>
              <w:rPr>
                <w:b/>
                <w:bCs/>
                <w:color w:val="000000"/>
              </w:rPr>
              <w:t>675600</w:t>
            </w:r>
            <w:r w:rsidRPr="009F4B61">
              <w:rPr>
                <w:b/>
                <w:bCs/>
                <w:color w:val="000000"/>
              </w:rPr>
              <w:t xml:space="preserve"> </w:t>
            </w:r>
          </w:p>
        </w:tc>
      </w:tr>
      <w:tr w:rsidR="00D619B4" w:rsidRPr="00E0368E" w14:paraId="50566D20" w14:textId="77777777" w:rsidTr="001C13FB">
        <w:trPr>
          <w:trHeight w:val="509"/>
        </w:trPr>
        <w:tc>
          <w:tcPr>
            <w:tcW w:w="3908" w:type="dxa"/>
            <w:vMerge/>
            <w:tcBorders>
              <w:top w:val="nil"/>
              <w:left w:val="single" w:sz="8" w:space="0" w:color="auto"/>
              <w:bottom w:val="single" w:sz="8" w:space="0" w:color="000000"/>
              <w:right w:val="single" w:sz="8" w:space="0" w:color="auto"/>
            </w:tcBorders>
            <w:shd w:val="clear" w:color="auto" w:fill="auto"/>
            <w:vAlign w:val="center"/>
            <w:hideMark/>
          </w:tcPr>
          <w:p w14:paraId="3F5AC5D0" w14:textId="77777777" w:rsidR="00D619B4" w:rsidRPr="00E0368E" w:rsidRDefault="00D619B4" w:rsidP="001C13FB">
            <w:pPr>
              <w:rPr>
                <w:b/>
                <w:bCs/>
                <w:i/>
                <w:iCs/>
                <w:color w:val="000000"/>
                <w:lang w:eastAsia="sk-SK"/>
              </w:rPr>
            </w:pPr>
          </w:p>
        </w:tc>
        <w:tc>
          <w:tcPr>
            <w:tcW w:w="1559" w:type="dxa"/>
            <w:vMerge/>
            <w:tcBorders>
              <w:top w:val="nil"/>
              <w:left w:val="single" w:sz="8" w:space="0" w:color="auto"/>
              <w:bottom w:val="single" w:sz="8" w:space="0" w:color="000000"/>
              <w:right w:val="single" w:sz="8" w:space="0" w:color="auto"/>
            </w:tcBorders>
            <w:vAlign w:val="center"/>
            <w:hideMark/>
          </w:tcPr>
          <w:p w14:paraId="18639235" w14:textId="77777777" w:rsidR="00D619B4" w:rsidRPr="000C290E" w:rsidRDefault="00D619B4" w:rsidP="001C13FB">
            <w:pPr>
              <w:rPr>
                <w:b/>
                <w:bCs/>
                <w:color w:val="000000"/>
                <w:lang w:eastAsia="sk-SK"/>
              </w:rPr>
            </w:pPr>
          </w:p>
        </w:tc>
        <w:tc>
          <w:tcPr>
            <w:tcW w:w="1701" w:type="dxa"/>
            <w:vMerge/>
            <w:tcBorders>
              <w:top w:val="nil"/>
              <w:left w:val="single" w:sz="8" w:space="0" w:color="auto"/>
              <w:bottom w:val="single" w:sz="8" w:space="0" w:color="000000"/>
              <w:right w:val="single" w:sz="8" w:space="0" w:color="auto"/>
            </w:tcBorders>
            <w:vAlign w:val="center"/>
            <w:hideMark/>
          </w:tcPr>
          <w:p w14:paraId="3EECC655" w14:textId="77777777" w:rsidR="00D619B4" w:rsidRPr="00B05A3C" w:rsidRDefault="00D619B4" w:rsidP="001C13FB">
            <w:pPr>
              <w:rPr>
                <w:b/>
                <w:bCs/>
                <w:color w:val="000000"/>
                <w:lang w:eastAsia="sk-SK"/>
              </w:rPr>
            </w:pPr>
          </w:p>
        </w:tc>
        <w:tc>
          <w:tcPr>
            <w:tcW w:w="1701" w:type="dxa"/>
            <w:vMerge/>
            <w:tcBorders>
              <w:top w:val="nil"/>
              <w:left w:val="single" w:sz="8" w:space="0" w:color="auto"/>
              <w:bottom w:val="single" w:sz="8" w:space="0" w:color="000000"/>
              <w:right w:val="single" w:sz="8" w:space="0" w:color="auto"/>
            </w:tcBorders>
            <w:vAlign w:val="center"/>
            <w:hideMark/>
          </w:tcPr>
          <w:p w14:paraId="1C8184DF" w14:textId="77777777" w:rsidR="00D619B4" w:rsidRPr="00B05A3C" w:rsidRDefault="00D619B4" w:rsidP="001C13FB">
            <w:pPr>
              <w:rPr>
                <w:b/>
                <w:bCs/>
                <w:color w:val="000000"/>
                <w:lang w:eastAsia="sk-SK"/>
              </w:rPr>
            </w:pPr>
          </w:p>
        </w:tc>
        <w:tc>
          <w:tcPr>
            <w:tcW w:w="1418" w:type="dxa"/>
            <w:vMerge/>
            <w:tcBorders>
              <w:top w:val="nil"/>
              <w:left w:val="single" w:sz="8" w:space="0" w:color="auto"/>
              <w:bottom w:val="single" w:sz="8" w:space="0" w:color="000000"/>
              <w:right w:val="single" w:sz="8" w:space="0" w:color="auto"/>
            </w:tcBorders>
            <w:vAlign w:val="center"/>
            <w:hideMark/>
          </w:tcPr>
          <w:p w14:paraId="2FD31842" w14:textId="77777777" w:rsidR="00D619B4" w:rsidRPr="00B05A3C" w:rsidRDefault="00D619B4" w:rsidP="001C13FB">
            <w:pPr>
              <w:rPr>
                <w:b/>
                <w:bCs/>
                <w:color w:val="000000"/>
                <w:lang w:eastAsia="sk-SK"/>
              </w:rPr>
            </w:pPr>
          </w:p>
        </w:tc>
      </w:tr>
      <w:tr w:rsidR="00D619B4" w:rsidRPr="00E0368E" w14:paraId="402C47BD"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1EA5339A" w14:textId="77777777" w:rsidR="00D619B4" w:rsidRPr="00E0368E" w:rsidRDefault="00D619B4" w:rsidP="001C13FB">
            <w:pPr>
              <w:rPr>
                <w:i/>
                <w:i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auto" w:fill="auto"/>
            <w:noWrap/>
            <w:vAlign w:val="center"/>
            <w:hideMark/>
          </w:tcPr>
          <w:p w14:paraId="42B95FA8" w14:textId="77777777" w:rsidR="00D619B4" w:rsidRPr="000C290E" w:rsidRDefault="00D619B4" w:rsidP="001C13FB">
            <w:pPr>
              <w:jc w:val="right"/>
              <w:rPr>
                <w:b/>
                <w:bCs/>
                <w:color w:val="000000"/>
                <w:lang w:eastAsia="sk-SK"/>
              </w:rPr>
            </w:pPr>
            <w:r>
              <w:rPr>
                <w:b/>
                <w:bCs/>
                <w:color w:val="000000"/>
              </w:rPr>
              <w:t xml:space="preserve">0 </w:t>
            </w:r>
          </w:p>
        </w:tc>
        <w:tc>
          <w:tcPr>
            <w:tcW w:w="1701" w:type="dxa"/>
            <w:tcBorders>
              <w:top w:val="nil"/>
              <w:left w:val="nil"/>
              <w:bottom w:val="single" w:sz="8" w:space="0" w:color="auto"/>
              <w:right w:val="single" w:sz="8" w:space="0" w:color="auto"/>
            </w:tcBorders>
            <w:shd w:val="clear" w:color="auto" w:fill="auto"/>
            <w:noWrap/>
            <w:vAlign w:val="center"/>
            <w:hideMark/>
          </w:tcPr>
          <w:p w14:paraId="5C977929" w14:textId="77777777" w:rsidR="00D619B4" w:rsidRPr="00B05A3C" w:rsidRDefault="00D619B4" w:rsidP="001C13FB">
            <w:pPr>
              <w:jc w:val="right"/>
              <w:rPr>
                <w:b/>
                <w:bCs/>
                <w:color w:val="000000"/>
                <w:lang w:eastAsia="sk-SK"/>
              </w:rPr>
            </w:pPr>
            <w:r>
              <w:rPr>
                <w:b/>
                <w:bCs/>
                <w:color w:val="000000"/>
              </w:rPr>
              <w:t>397412</w:t>
            </w:r>
          </w:p>
        </w:tc>
        <w:tc>
          <w:tcPr>
            <w:tcW w:w="1701" w:type="dxa"/>
            <w:tcBorders>
              <w:top w:val="nil"/>
              <w:left w:val="nil"/>
              <w:bottom w:val="single" w:sz="8" w:space="0" w:color="auto"/>
              <w:right w:val="single" w:sz="8" w:space="0" w:color="auto"/>
            </w:tcBorders>
            <w:shd w:val="clear" w:color="auto" w:fill="auto"/>
            <w:noWrap/>
            <w:vAlign w:val="center"/>
            <w:hideMark/>
          </w:tcPr>
          <w:p w14:paraId="3A0FFE86" w14:textId="77777777" w:rsidR="00D619B4" w:rsidRPr="00B05A3C" w:rsidRDefault="00D619B4" w:rsidP="001C13FB">
            <w:pPr>
              <w:jc w:val="right"/>
              <w:rPr>
                <w:b/>
                <w:bCs/>
                <w:color w:val="000000"/>
                <w:lang w:eastAsia="sk-SK"/>
              </w:rPr>
            </w:pPr>
            <w:r>
              <w:rPr>
                <w:b/>
                <w:bCs/>
                <w:color w:val="000000"/>
              </w:rPr>
              <w:t xml:space="preserve">397412 </w:t>
            </w:r>
          </w:p>
        </w:tc>
        <w:tc>
          <w:tcPr>
            <w:tcW w:w="1418" w:type="dxa"/>
            <w:tcBorders>
              <w:top w:val="nil"/>
              <w:left w:val="nil"/>
              <w:bottom w:val="single" w:sz="8" w:space="0" w:color="auto"/>
              <w:right w:val="single" w:sz="8" w:space="0" w:color="auto"/>
            </w:tcBorders>
            <w:shd w:val="clear" w:color="auto" w:fill="auto"/>
            <w:noWrap/>
            <w:vAlign w:val="center"/>
            <w:hideMark/>
          </w:tcPr>
          <w:p w14:paraId="12A43259" w14:textId="77777777" w:rsidR="00D619B4" w:rsidRPr="00B05A3C" w:rsidRDefault="00D619B4" w:rsidP="001C13FB">
            <w:pPr>
              <w:jc w:val="right"/>
              <w:rPr>
                <w:b/>
                <w:bCs/>
                <w:color w:val="000000"/>
                <w:lang w:eastAsia="sk-SK"/>
              </w:rPr>
            </w:pPr>
            <w:r>
              <w:rPr>
                <w:b/>
                <w:bCs/>
                <w:color w:val="000000"/>
              </w:rPr>
              <w:t xml:space="preserve">675600 </w:t>
            </w:r>
          </w:p>
        </w:tc>
      </w:tr>
      <w:tr w:rsidR="00D619B4" w:rsidRPr="00E0368E" w14:paraId="1FA90091"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7DC8FB78" w14:textId="77777777" w:rsidR="00D619B4" w:rsidRPr="00E0368E" w:rsidRDefault="00D619B4" w:rsidP="001C13FB">
            <w:pPr>
              <w:rPr>
                <w:i/>
                <w:iCs/>
                <w:color w:val="000000"/>
                <w:lang w:eastAsia="sk-SK"/>
              </w:rPr>
            </w:pPr>
            <w:r w:rsidRPr="00E0368E">
              <w:rPr>
                <w:i/>
                <w:iCs/>
                <w:color w:val="000000"/>
                <w:lang w:eastAsia="sk-SK"/>
              </w:rPr>
              <w:t>EÚ zdroje (POO)</w:t>
            </w:r>
          </w:p>
        </w:tc>
        <w:tc>
          <w:tcPr>
            <w:tcW w:w="1559" w:type="dxa"/>
            <w:tcBorders>
              <w:top w:val="nil"/>
              <w:left w:val="nil"/>
              <w:bottom w:val="single" w:sz="8" w:space="0" w:color="auto"/>
              <w:right w:val="single" w:sz="8" w:space="0" w:color="auto"/>
            </w:tcBorders>
            <w:shd w:val="clear" w:color="auto" w:fill="auto"/>
            <w:noWrap/>
            <w:vAlign w:val="center"/>
            <w:hideMark/>
          </w:tcPr>
          <w:p w14:paraId="22641452" w14:textId="77777777" w:rsidR="00D619B4" w:rsidRPr="000C290E" w:rsidRDefault="00D619B4" w:rsidP="001C13FB">
            <w:pPr>
              <w:jc w:val="right"/>
              <w:rPr>
                <w:b/>
                <w:bCs/>
                <w:color w:val="000000"/>
                <w:lang w:eastAsia="sk-SK"/>
              </w:rPr>
            </w:pPr>
            <w:r>
              <w:rPr>
                <w:b/>
                <w:bCs/>
                <w:color w:val="000000"/>
              </w:rPr>
              <w:t>115920</w:t>
            </w:r>
          </w:p>
        </w:tc>
        <w:tc>
          <w:tcPr>
            <w:tcW w:w="1701" w:type="dxa"/>
            <w:tcBorders>
              <w:top w:val="nil"/>
              <w:left w:val="nil"/>
              <w:bottom w:val="single" w:sz="8" w:space="0" w:color="auto"/>
              <w:right w:val="single" w:sz="8" w:space="0" w:color="auto"/>
            </w:tcBorders>
            <w:shd w:val="clear" w:color="auto" w:fill="auto"/>
            <w:noWrap/>
            <w:vAlign w:val="center"/>
            <w:hideMark/>
          </w:tcPr>
          <w:p w14:paraId="746C4CA7" w14:textId="77777777" w:rsidR="00D619B4" w:rsidRPr="00B05A3C" w:rsidRDefault="00D619B4" w:rsidP="001C13FB">
            <w:pPr>
              <w:jc w:val="right"/>
              <w:rPr>
                <w:b/>
                <w:bCs/>
                <w:color w:val="000000"/>
                <w:lang w:eastAsia="sk-SK"/>
              </w:rPr>
            </w:pPr>
            <w:r>
              <w:rPr>
                <w:b/>
                <w:bCs/>
                <w:color w:val="000000"/>
              </w:rPr>
              <w:t>278188</w:t>
            </w:r>
          </w:p>
        </w:tc>
        <w:tc>
          <w:tcPr>
            <w:tcW w:w="1701" w:type="dxa"/>
            <w:tcBorders>
              <w:top w:val="nil"/>
              <w:left w:val="nil"/>
              <w:bottom w:val="single" w:sz="8" w:space="0" w:color="auto"/>
              <w:right w:val="single" w:sz="8" w:space="0" w:color="auto"/>
            </w:tcBorders>
            <w:shd w:val="clear" w:color="auto" w:fill="auto"/>
            <w:noWrap/>
            <w:vAlign w:val="center"/>
            <w:hideMark/>
          </w:tcPr>
          <w:p w14:paraId="79C58BB7" w14:textId="77777777" w:rsidR="00D619B4" w:rsidRPr="00B05A3C" w:rsidRDefault="00D619B4" w:rsidP="001C13FB">
            <w:pPr>
              <w:jc w:val="right"/>
              <w:rPr>
                <w:b/>
                <w:bCs/>
                <w:color w:val="000000"/>
                <w:lang w:eastAsia="sk-SK"/>
              </w:rPr>
            </w:pPr>
            <w:r>
              <w:rPr>
                <w:b/>
                <w:bCs/>
                <w:color w:val="000000"/>
              </w:rPr>
              <w:t>278188</w:t>
            </w:r>
          </w:p>
        </w:tc>
        <w:tc>
          <w:tcPr>
            <w:tcW w:w="1418" w:type="dxa"/>
            <w:tcBorders>
              <w:top w:val="nil"/>
              <w:left w:val="nil"/>
              <w:bottom w:val="single" w:sz="8" w:space="0" w:color="auto"/>
              <w:right w:val="single" w:sz="8" w:space="0" w:color="auto"/>
            </w:tcBorders>
            <w:shd w:val="clear" w:color="auto" w:fill="auto"/>
            <w:noWrap/>
            <w:vAlign w:val="center"/>
            <w:hideMark/>
          </w:tcPr>
          <w:p w14:paraId="2A8DDECC" w14:textId="77777777" w:rsidR="00D619B4" w:rsidRPr="00B05A3C" w:rsidRDefault="00D619B4" w:rsidP="001C13FB">
            <w:pPr>
              <w:jc w:val="right"/>
              <w:rPr>
                <w:b/>
                <w:bCs/>
                <w:color w:val="000000"/>
                <w:lang w:eastAsia="sk-SK"/>
              </w:rPr>
            </w:pPr>
            <w:r>
              <w:rPr>
                <w:b/>
                <w:bCs/>
                <w:color w:val="000000"/>
              </w:rPr>
              <w:t>0</w:t>
            </w:r>
            <w:r w:rsidRPr="00B05A3C">
              <w:rPr>
                <w:b/>
                <w:bCs/>
                <w:color w:val="000000"/>
              </w:rPr>
              <w:t> </w:t>
            </w:r>
          </w:p>
        </w:tc>
      </w:tr>
      <w:tr w:rsidR="00D619B4" w:rsidRPr="00E0368E" w14:paraId="0E5C154C"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318786F4"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auto" w:fill="auto"/>
            <w:noWrap/>
            <w:vAlign w:val="center"/>
            <w:hideMark/>
          </w:tcPr>
          <w:p w14:paraId="37511509"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3CA0BE4E"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7DB18D79"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1F8D64AD"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59AD5268"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7DA9ACEB"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auto" w:fill="auto"/>
            <w:noWrap/>
            <w:vAlign w:val="center"/>
            <w:hideMark/>
          </w:tcPr>
          <w:p w14:paraId="715BA8EE"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646CB283"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390935C4"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31606271"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18B9CE89"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693F32F3"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auto" w:fill="auto"/>
            <w:noWrap/>
            <w:vAlign w:val="center"/>
            <w:hideMark/>
          </w:tcPr>
          <w:p w14:paraId="389285F2"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68295D71"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hideMark/>
          </w:tcPr>
          <w:p w14:paraId="15F2B1AA"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hideMark/>
          </w:tcPr>
          <w:p w14:paraId="1A9672AB"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14D17F19"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2B350B07" w14:textId="77777777" w:rsidR="00D619B4" w:rsidRPr="00E0368E" w:rsidRDefault="00D619B4" w:rsidP="001C13FB">
            <w:pPr>
              <w:rPr>
                <w:b/>
                <w:bCs/>
                <w:color w:val="000000"/>
                <w:lang w:eastAsia="sk-SK"/>
              </w:rPr>
            </w:pPr>
            <w:r>
              <w:rPr>
                <w:b/>
                <w:bCs/>
                <w:color w:val="000000"/>
                <w:lang w:eastAsia="sk-SK"/>
              </w:rPr>
              <w:t xml:space="preserve">V tom: MD SR </w:t>
            </w:r>
            <w:r>
              <w:rPr>
                <w:color w:val="000000"/>
                <w:lang w:eastAsia="sk-SK"/>
              </w:rPr>
              <w:t>0</w:t>
            </w:r>
            <w:r w:rsidRPr="0015141F">
              <w:rPr>
                <w:color w:val="000000"/>
                <w:lang w:eastAsia="sk-SK"/>
              </w:rPr>
              <w:t>EK-podprogram</w:t>
            </w:r>
          </w:p>
        </w:tc>
        <w:tc>
          <w:tcPr>
            <w:tcW w:w="1559" w:type="dxa"/>
            <w:tcBorders>
              <w:top w:val="nil"/>
              <w:left w:val="nil"/>
              <w:bottom w:val="single" w:sz="8" w:space="0" w:color="auto"/>
              <w:right w:val="single" w:sz="8" w:space="0" w:color="auto"/>
            </w:tcBorders>
            <w:shd w:val="clear" w:color="000000" w:fill="C0C0C0"/>
            <w:noWrap/>
            <w:vAlign w:val="center"/>
          </w:tcPr>
          <w:p w14:paraId="2CF4DA4B" w14:textId="77777777" w:rsidR="00D619B4" w:rsidRPr="00290E8C" w:rsidRDefault="00D619B4" w:rsidP="001C13FB">
            <w:pPr>
              <w:jc w:val="right"/>
              <w:rPr>
                <w:b/>
                <w:bCs/>
                <w:color w:val="000000"/>
              </w:rPr>
            </w:pPr>
            <w:r>
              <w:rPr>
                <w:b/>
                <w:bCs/>
                <w:color w:val="000000"/>
              </w:rPr>
              <w:t>82050</w:t>
            </w:r>
          </w:p>
        </w:tc>
        <w:tc>
          <w:tcPr>
            <w:tcW w:w="1701" w:type="dxa"/>
            <w:tcBorders>
              <w:top w:val="nil"/>
              <w:left w:val="nil"/>
              <w:bottom w:val="single" w:sz="8" w:space="0" w:color="auto"/>
              <w:right w:val="single" w:sz="8" w:space="0" w:color="auto"/>
            </w:tcBorders>
            <w:shd w:val="clear" w:color="000000" w:fill="C0C0C0"/>
            <w:noWrap/>
            <w:vAlign w:val="center"/>
          </w:tcPr>
          <w:p w14:paraId="4867456A" w14:textId="77777777" w:rsidR="00D619B4" w:rsidRPr="00C1744E" w:rsidRDefault="00D619B4" w:rsidP="001C13FB">
            <w:pPr>
              <w:jc w:val="right"/>
              <w:rPr>
                <w:b/>
                <w:bCs/>
                <w:color w:val="000000"/>
              </w:rPr>
            </w:pPr>
            <w:r>
              <w:rPr>
                <w:b/>
                <w:bCs/>
                <w:color w:val="000000"/>
              </w:rPr>
              <w:t>196920</w:t>
            </w:r>
          </w:p>
        </w:tc>
        <w:tc>
          <w:tcPr>
            <w:tcW w:w="1701" w:type="dxa"/>
            <w:tcBorders>
              <w:top w:val="nil"/>
              <w:left w:val="nil"/>
              <w:bottom w:val="single" w:sz="8" w:space="0" w:color="auto"/>
              <w:right w:val="single" w:sz="8" w:space="0" w:color="auto"/>
            </w:tcBorders>
            <w:shd w:val="clear" w:color="000000" w:fill="C0C0C0"/>
            <w:noWrap/>
            <w:vAlign w:val="center"/>
          </w:tcPr>
          <w:p w14:paraId="3CDEC900" w14:textId="77777777" w:rsidR="00D619B4" w:rsidRPr="00C1744E" w:rsidRDefault="00D619B4" w:rsidP="001C13FB">
            <w:pPr>
              <w:jc w:val="right"/>
              <w:rPr>
                <w:b/>
                <w:bCs/>
                <w:color w:val="000000"/>
              </w:rPr>
            </w:pPr>
            <w:r>
              <w:rPr>
                <w:b/>
                <w:bCs/>
                <w:color w:val="000000"/>
              </w:rPr>
              <w:t>196920</w:t>
            </w:r>
          </w:p>
        </w:tc>
        <w:tc>
          <w:tcPr>
            <w:tcW w:w="1418" w:type="dxa"/>
            <w:tcBorders>
              <w:top w:val="nil"/>
              <w:left w:val="nil"/>
              <w:bottom w:val="single" w:sz="8" w:space="0" w:color="auto"/>
              <w:right w:val="single" w:sz="8" w:space="0" w:color="auto"/>
            </w:tcBorders>
            <w:shd w:val="clear" w:color="000000" w:fill="C0C0C0"/>
            <w:noWrap/>
            <w:vAlign w:val="center"/>
          </w:tcPr>
          <w:p w14:paraId="49D1E881" w14:textId="77777777" w:rsidR="00D619B4" w:rsidRPr="00C1744E" w:rsidRDefault="00D619B4" w:rsidP="001C13FB">
            <w:pPr>
              <w:jc w:val="right"/>
              <w:rPr>
                <w:b/>
                <w:bCs/>
                <w:color w:val="000000"/>
              </w:rPr>
            </w:pPr>
            <w:r>
              <w:rPr>
                <w:b/>
                <w:bCs/>
                <w:color w:val="000000"/>
              </w:rPr>
              <w:t>196920</w:t>
            </w:r>
          </w:p>
        </w:tc>
      </w:tr>
      <w:tr w:rsidR="00D619B4" w:rsidRPr="00E0368E" w14:paraId="5951F11F"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44059A94" w14:textId="77777777" w:rsidR="00D619B4" w:rsidRPr="00E0368E" w:rsidRDefault="00D619B4" w:rsidP="001C13FB">
            <w:pPr>
              <w:rPr>
                <w:b/>
                <w:bCs/>
                <w:color w:val="000000"/>
                <w:lang w:eastAsia="sk-SK"/>
              </w:rPr>
            </w:pPr>
            <w:r w:rsidRPr="00E0368E">
              <w:rPr>
                <w:b/>
                <w:bCs/>
                <w:i/>
                <w:iCs/>
                <w:color w:val="000000"/>
                <w:lang w:eastAsia="sk-SK"/>
              </w:rPr>
              <w:t>- vplyv na ŠR</w:t>
            </w:r>
            <w:r w:rsidRPr="00E0368E">
              <w:rPr>
                <w:rFonts w:ascii="Calibri" w:hAnsi="Calibri" w:cs="Calibri"/>
                <w:color w:val="000000"/>
                <w:sz w:val="16"/>
                <w:szCs w:val="16"/>
                <w:lang w:eastAsia="sk-SK"/>
              </w:rPr>
              <w:t> </w:t>
            </w:r>
          </w:p>
        </w:tc>
        <w:tc>
          <w:tcPr>
            <w:tcW w:w="1559" w:type="dxa"/>
            <w:tcBorders>
              <w:top w:val="nil"/>
              <w:left w:val="nil"/>
              <w:bottom w:val="single" w:sz="8" w:space="0" w:color="auto"/>
              <w:right w:val="single" w:sz="8" w:space="0" w:color="auto"/>
            </w:tcBorders>
            <w:shd w:val="clear" w:color="000000" w:fill="C0C0C0"/>
            <w:noWrap/>
            <w:vAlign w:val="center"/>
          </w:tcPr>
          <w:p w14:paraId="2607F7F5" w14:textId="77777777" w:rsidR="00D619B4" w:rsidRPr="00290E8C" w:rsidRDefault="00D619B4" w:rsidP="001C13FB">
            <w:pPr>
              <w:jc w:val="right"/>
              <w:rPr>
                <w:b/>
                <w:bCs/>
                <w:color w:val="000000"/>
              </w:rPr>
            </w:pPr>
            <w:r>
              <w:rPr>
                <w:b/>
                <w:bCs/>
                <w:color w:val="000000"/>
              </w:rPr>
              <w:t>82050</w:t>
            </w:r>
          </w:p>
        </w:tc>
        <w:tc>
          <w:tcPr>
            <w:tcW w:w="1701" w:type="dxa"/>
            <w:tcBorders>
              <w:top w:val="nil"/>
              <w:left w:val="nil"/>
              <w:bottom w:val="single" w:sz="8" w:space="0" w:color="auto"/>
              <w:right w:val="single" w:sz="8" w:space="0" w:color="auto"/>
            </w:tcBorders>
            <w:shd w:val="clear" w:color="000000" w:fill="C0C0C0"/>
            <w:noWrap/>
            <w:vAlign w:val="center"/>
          </w:tcPr>
          <w:p w14:paraId="1AC043D4" w14:textId="77777777" w:rsidR="00D619B4" w:rsidRPr="00C1744E" w:rsidRDefault="00D619B4" w:rsidP="001C13FB">
            <w:pPr>
              <w:jc w:val="right"/>
              <w:rPr>
                <w:b/>
                <w:bCs/>
                <w:color w:val="000000"/>
              </w:rPr>
            </w:pPr>
            <w:r>
              <w:rPr>
                <w:b/>
                <w:bCs/>
                <w:color w:val="000000"/>
              </w:rPr>
              <w:t>196920</w:t>
            </w:r>
          </w:p>
        </w:tc>
        <w:tc>
          <w:tcPr>
            <w:tcW w:w="1701" w:type="dxa"/>
            <w:tcBorders>
              <w:top w:val="nil"/>
              <w:left w:val="nil"/>
              <w:bottom w:val="single" w:sz="8" w:space="0" w:color="auto"/>
              <w:right w:val="single" w:sz="8" w:space="0" w:color="auto"/>
            </w:tcBorders>
            <w:shd w:val="clear" w:color="000000" w:fill="C0C0C0"/>
            <w:noWrap/>
            <w:vAlign w:val="center"/>
          </w:tcPr>
          <w:p w14:paraId="5CF6DCFA" w14:textId="77777777" w:rsidR="00D619B4" w:rsidRPr="00C1744E" w:rsidRDefault="00D619B4" w:rsidP="001C13FB">
            <w:pPr>
              <w:jc w:val="right"/>
              <w:rPr>
                <w:b/>
                <w:bCs/>
                <w:color w:val="000000"/>
              </w:rPr>
            </w:pPr>
            <w:r>
              <w:rPr>
                <w:b/>
                <w:bCs/>
                <w:color w:val="000000"/>
              </w:rPr>
              <w:t>196920</w:t>
            </w:r>
          </w:p>
        </w:tc>
        <w:tc>
          <w:tcPr>
            <w:tcW w:w="1418" w:type="dxa"/>
            <w:tcBorders>
              <w:top w:val="nil"/>
              <w:left w:val="nil"/>
              <w:bottom w:val="single" w:sz="8" w:space="0" w:color="auto"/>
              <w:right w:val="single" w:sz="8" w:space="0" w:color="auto"/>
            </w:tcBorders>
            <w:shd w:val="clear" w:color="000000" w:fill="C0C0C0"/>
            <w:noWrap/>
            <w:vAlign w:val="center"/>
          </w:tcPr>
          <w:p w14:paraId="05884F2C" w14:textId="77777777" w:rsidR="00D619B4" w:rsidRPr="00C1744E" w:rsidRDefault="00D619B4" w:rsidP="001C13FB">
            <w:pPr>
              <w:jc w:val="right"/>
              <w:rPr>
                <w:b/>
                <w:bCs/>
                <w:color w:val="000000"/>
              </w:rPr>
            </w:pPr>
            <w:r>
              <w:rPr>
                <w:b/>
                <w:bCs/>
                <w:color w:val="000000"/>
              </w:rPr>
              <w:t>196920</w:t>
            </w:r>
          </w:p>
        </w:tc>
      </w:tr>
      <w:tr w:rsidR="00D619B4" w:rsidRPr="00E0368E" w14:paraId="0701FA10"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379C1D8F" w14:textId="77777777" w:rsidR="00D619B4" w:rsidRPr="00E0368E" w:rsidRDefault="00D619B4" w:rsidP="001C13FB">
            <w:pPr>
              <w:rPr>
                <w:b/>
                <w:b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000000" w:fill="C0C0C0"/>
            <w:noWrap/>
            <w:vAlign w:val="center"/>
          </w:tcPr>
          <w:p w14:paraId="7B26D4FB" w14:textId="77777777" w:rsidR="00D619B4" w:rsidRPr="00290E8C" w:rsidRDefault="00D619B4" w:rsidP="001C13FB">
            <w:pPr>
              <w:jc w:val="right"/>
              <w:rPr>
                <w:b/>
                <w:bCs/>
                <w:color w:val="000000"/>
              </w:rPr>
            </w:pPr>
            <w:r>
              <w:rPr>
                <w:b/>
                <w:bCs/>
                <w:color w:val="000000"/>
              </w:rPr>
              <w:t>82050</w:t>
            </w:r>
          </w:p>
        </w:tc>
        <w:tc>
          <w:tcPr>
            <w:tcW w:w="1701" w:type="dxa"/>
            <w:tcBorders>
              <w:top w:val="nil"/>
              <w:left w:val="nil"/>
              <w:bottom w:val="single" w:sz="8" w:space="0" w:color="auto"/>
              <w:right w:val="single" w:sz="8" w:space="0" w:color="auto"/>
            </w:tcBorders>
            <w:shd w:val="clear" w:color="000000" w:fill="C0C0C0"/>
            <w:noWrap/>
            <w:vAlign w:val="center"/>
          </w:tcPr>
          <w:p w14:paraId="1BC59FD1" w14:textId="77777777" w:rsidR="00D619B4" w:rsidRPr="00C1744E" w:rsidRDefault="00D619B4" w:rsidP="001C13FB">
            <w:pPr>
              <w:jc w:val="right"/>
              <w:rPr>
                <w:b/>
                <w:bCs/>
                <w:color w:val="000000"/>
              </w:rPr>
            </w:pPr>
            <w:r>
              <w:rPr>
                <w:b/>
                <w:bCs/>
                <w:color w:val="000000"/>
              </w:rPr>
              <w:t>196920</w:t>
            </w:r>
          </w:p>
        </w:tc>
        <w:tc>
          <w:tcPr>
            <w:tcW w:w="1701" w:type="dxa"/>
            <w:tcBorders>
              <w:top w:val="nil"/>
              <w:left w:val="nil"/>
              <w:bottom w:val="single" w:sz="8" w:space="0" w:color="auto"/>
              <w:right w:val="single" w:sz="8" w:space="0" w:color="auto"/>
            </w:tcBorders>
            <w:shd w:val="clear" w:color="000000" w:fill="C0C0C0"/>
            <w:noWrap/>
            <w:vAlign w:val="center"/>
          </w:tcPr>
          <w:p w14:paraId="0790C782" w14:textId="77777777" w:rsidR="00D619B4" w:rsidRPr="00C1744E" w:rsidRDefault="00D619B4" w:rsidP="001C13FB">
            <w:pPr>
              <w:jc w:val="right"/>
              <w:rPr>
                <w:b/>
                <w:bCs/>
                <w:color w:val="000000"/>
              </w:rPr>
            </w:pPr>
            <w:r>
              <w:rPr>
                <w:b/>
                <w:bCs/>
                <w:color w:val="000000"/>
              </w:rPr>
              <w:t>196920</w:t>
            </w:r>
          </w:p>
        </w:tc>
        <w:tc>
          <w:tcPr>
            <w:tcW w:w="1418" w:type="dxa"/>
            <w:tcBorders>
              <w:top w:val="nil"/>
              <w:left w:val="nil"/>
              <w:bottom w:val="single" w:sz="8" w:space="0" w:color="auto"/>
              <w:right w:val="single" w:sz="8" w:space="0" w:color="auto"/>
            </w:tcBorders>
            <w:shd w:val="clear" w:color="000000" w:fill="C0C0C0"/>
            <w:noWrap/>
            <w:vAlign w:val="center"/>
          </w:tcPr>
          <w:p w14:paraId="58426AA4" w14:textId="77777777" w:rsidR="00D619B4" w:rsidRPr="00C1744E" w:rsidRDefault="00D619B4" w:rsidP="001C13FB">
            <w:pPr>
              <w:jc w:val="right"/>
              <w:rPr>
                <w:b/>
                <w:bCs/>
                <w:color w:val="000000"/>
              </w:rPr>
            </w:pPr>
            <w:r>
              <w:rPr>
                <w:b/>
                <w:bCs/>
                <w:color w:val="000000"/>
              </w:rPr>
              <w:t>196920</w:t>
            </w:r>
          </w:p>
        </w:tc>
      </w:tr>
      <w:tr w:rsidR="00D619B4" w:rsidRPr="00E0368E" w14:paraId="5CF03FE7"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71E2DB2D" w14:textId="77777777" w:rsidR="00D619B4" w:rsidRPr="00E0368E" w:rsidRDefault="00D619B4" w:rsidP="001C13FB">
            <w:pPr>
              <w:rPr>
                <w:b/>
                <w:bCs/>
                <w:color w:val="000000"/>
                <w:lang w:eastAsia="sk-SK"/>
              </w:rPr>
            </w:pPr>
            <w:r w:rsidRPr="00E0368E">
              <w:rPr>
                <w:i/>
                <w:iCs/>
                <w:color w:val="000000"/>
                <w:lang w:eastAsia="sk-SK"/>
              </w:rPr>
              <w:t>EÚ zdroje (POO)</w:t>
            </w:r>
          </w:p>
        </w:tc>
        <w:tc>
          <w:tcPr>
            <w:tcW w:w="1559" w:type="dxa"/>
            <w:tcBorders>
              <w:top w:val="nil"/>
              <w:left w:val="nil"/>
              <w:bottom w:val="single" w:sz="8" w:space="0" w:color="auto"/>
              <w:right w:val="single" w:sz="8" w:space="0" w:color="auto"/>
            </w:tcBorders>
            <w:shd w:val="clear" w:color="000000" w:fill="C0C0C0"/>
            <w:noWrap/>
            <w:vAlign w:val="center"/>
          </w:tcPr>
          <w:p w14:paraId="26FF435D" w14:textId="77777777" w:rsidR="00D619B4" w:rsidRPr="00290E8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29C7FD8F" w14:textId="77777777" w:rsidR="00D619B4" w:rsidRPr="00C1744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78572851" w14:textId="77777777" w:rsidR="00D619B4" w:rsidRPr="00C1744E"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42B2B5AB" w14:textId="77777777" w:rsidR="00D619B4" w:rsidRPr="00C1744E" w:rsidRDefault="00D619B4" w:rsidP="001C13FB">
            <w:pPr>
              <w:jc w:val="right"/>
              <w:rPr>
                <w:b/>
                <w:bCs/>
                <w:color w:val="000000"/>
              </w:rPr>
            </w:pPr>
            <w:r>
              <w:rPr>
                <w:b/>
                <w:bCs/>
                <w:color w:val="000000"/>
              </w:rPr>
              <w:t>0</w:t>
            </w:r>
          </w:p>
        </w:tc>
      </w:tr>
      <w:tr w:rsidR="00D619B4" w:rsidRPr="00E0368E" w14:paraId="54583476"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07D07882" w14:textId="77777777" w:rsidR="00D619B4" w:rsidRPr="00E0368E" w:rsidRDefault="00D619B4" w:rsidP="001C13FB">
            <w:pPr>
              <w:rPr>
                <w:b/>
                <w:b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000000" w:fill="C0C0C0"/>
            <w:noWrap/>
            <w:vAlign w:val="center"/>
          </w:tcPr>
          <w:p w14:paraId="63ABC2CE" w14:textId="77777777" w:rsidR="00D619B4" w:rsidRPr="00290E8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4F5D3FC9" w14:textId="77777777" w:rsidR="00D619B4" w:rsidRPr="00C1744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4764F1E3" w14:textId="77777777" w:rsidR="00D619B4" w:rsidRPr="00C1744E"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06A07293" w14:textId="77777777" w:rsidR="00D619B4" w:rsidRPr="00C1744E" w:rsidRDefault="00D619B4" w:rsidP="001C13FB">
            <w:pPr>
              <w:jc w:val="right"/>
              <w:rPr>
                <w:b/>
                <w:bCs/>
                <w:color w:val="000000"/>
              </w:rPr>
            </w:pPr>
            <w:r>
              <w:rPr>
                <w:b/>
                <w:bCs/>
                <w:color w:val="000000"/>
              </w:rPr>
              <w:t>0</w:t>
            </w:r>
          </w:p>
        </w:tc>
      </w:tr>
      <w:tr w:rsidR="00D619B4" w:rsidRPr="00E0368E" w14:paraId="7C29724A"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56E18282" w14:textId="77777777" w:rsidR="00D619B4" w:rsidRPr="00E0368E" w:rsidRDefault="00D619B4" w:rsidP="001C13FB">
            <w:pPr>
              <w:rPr>
                <w:b/>
                <w:b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000000" w:fill="C0C0C0"/>
            <w:noWrap/>
            <w:vAlign w:val="center"/>
          </w:tcPr>
          <w:p w14:paraId="2458A7CB" w14:textId="77777777" w:rsidR="00D619B4" w:rsidRPr="00290E8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7829E62B" w14:textId="77777777" w:rsidR="00D619B4" w:rsidRPr="00C1744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7A6FEE23" w14:textId="77777777" w:rsidR="00D619B4" w:rsidRPr="00C1744E"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330FB1EC" w14:textId="77777777" w:rsidR="00D619B4" w:rsidRPr="00C1744E" w:rsidRDefault="00D619B4" w:rsidP="001C13FB">
            <w:pPr>
              <w:jc w:val="right"/>
              <w:rPr>
                <w:b/>
                <w:bCs/>
                <w:color w:val="000000"/>
              </w:rPr>
            </w:pPr>
            <w:r>
              <w:rPr>
                <w:b/>
                <w:bCs/>
                <w:color w:val="000000"/>
              </w:rPr>
              <w:t>0</w:t>
            </w:r>
          </w:p>
        </w:tc>
      </w:tr>
      <w:tr w:rsidR="00D619B4" w:rsidRPr="00E0368E" w14:paraId="4971F3A7"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5D126CA1" w14:textId="77777777" w:rsidR="00D619B4" w:rsidRPr="00E0368E" w:rsidRDefault="00D619B4" w:rsidP="001C13FB">
            <w:pPr>
              <w:rPr>
                <w:b/>
                <w:b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000000" w:fill="C0C0C0"/>
            <w:noWrap/>
            <w:vAlign w:val="center"/>
          </w:tcPr>
          <w:p w14:paraId="26DE3E1F" w14:textId="77777777" w:rsidR="00D619B4" w:rsidRPr="00290E8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3701F8BD" w14:textId="77777777" w:rsidR="00D619B4" w:rsidRPr="00C1744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61B03D74" w14:textId="77777777" w:rsidR="00D619B4" w:rsidRPr="00C1744E"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41328054" w14:textId="77777777" w:rsidR="00D619B4" w:rsidRPr="00C1744E" w:rsidRDefault="00D619B4" w:rsidP="001C13FB">
            <w:pPr>
              <w:jc w:val="right"/>
              <w:rPr>
                <w:b/>
                <w:bCs/>
                <w:color w:val="000000"/>
              </w:rPr>
            </w:pPr>
            <w:r>
              <w:rPr>
                <w:b/>
                <w:bCs/>
                <w:color w:val="000000"/>
              </w:rPr>
              <w:t>0</w:t>
            </w:r>
          </w:p>
        </w:tc>
      </w:tr>
      <w:tr w:rsidR="00D619B4" w:rsidRPr="00E0368E" w14:paraId="761577ED"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339D1F0B" w14:textId="77777777" w:rsidR="00D619B4" w:rsidRPr="00E0368E" w:rsidRDefault="00D619B4" w:rsidP="001C13FB">
            <w:pPr>
              <w:rPr>
                <w:b/>
                <w:bCs/>
                <w:i/>
                <w:iCs/>
                <w:color w:val="000000"/>
                <w:lang w:eastAsia="sk-SK"/>
              </w:rPr>
            </w:pPr>
            <w:r>
              <w:rPr>
                <w:b/>
                <w:bCs/>
                <w:color w:val="000000"/>
                <w:lang w:eastAsia="sk-SK"/>
              </w:rPr>
              <w:t xml:space="preserve">V tom: MV SR </w:t>
            </w:r>
            <w:r>
              <w:rPr>
                <w:color w:val="000000"/>
                <w:lang w:eastAsia="sk-SK"/>
              </w:rPr>
              <w:t>0</w:t>
            </w:r>
            <w:r w:rsidRPr="0015141F">
              <w:rPr>
                <w:color w:val="000000"/>
                <w:lang w:eastAsia="sk-SK"/>
              </w:rPr>
              <w:t>EK-podprogram</w:t>
            </w:r>
          </w:p>
        </w:tc>
        <w:tc>
          <w:tcPr>
            <w:tcW w:w="1559" w:type="dxa"/>
            <w:tcBorders>
              <w:top w:val="nil"/>
              <w:left w:val="nil"/>
              <w:bottom w:val="single" w:sz="8" w:space="0" w:color="auto"/>
              <w:right w:val="single" w:sz="8" w:space="0" w:color="auto"/>
            </w:tcBorders>
            <w:shd w:val="clear" w:color="000000" w:fill="C0C0C0"/>
            <w:noWrap/>
            <w:vAlign w:val="center"/>
          </w:tcPr>
          <w:p w14:paraId="2DBCA683" w14:textId="77777777" w:rsidR="00D619B4" w:rsidRDefault="00D619B4" w:rsidP="001C13FB">
            <w:pPr>
              <w:jc w:val="right"/>
              <w:rPr>
                <w:b/>
                <w:bCs/>
                <w:color w:val="000000"/>
              </w:rPr>
            </w:pPr>
            <w:r>
              <w:rPr>
                <w:b/>
                <w:bCs/>
                <w:color w:val="000000"/>
              </w:rPr>
              <w:t>205 125</w:t>
            </w:r>
          </w:p>
        </w:tc>
        <w:tc>
          <w:tcPr>
            <w:tcW w:w="1701" w:type="dxa"/>
            <w:tcBorders>
              <w:top w:val="nil"/>
              <w:left w:val="nil"/>
              <w:bottom w:val="single" w:sz="8" w:space="0" w:color="auto"/>
              <w:right w:val="single" w:sz="8" w:space="0" w:color="auto"/>
            </w:tcBorders>
            <w:shd w:val="clear" w:color="000000" w:fill="C0C0C0"/>
            <w:noWrap/>
            <w:vAlign w:val="center"/>
          </w:tcPr>
          <w:p w14:paraId="394CCE4D" w14:textId="77777777" w:rsidR="00D619B4" w:rsidRDefault="00D619B4" w:rsidP="001C13FB">
            <w:pPr>
              <w:jc w:val="right"/>
              <w:rPr>
                <w:b/>
                <w:bCs/>
                <w:color w:val="000000"/>
              </w:rPr>
            </w:pPr>
            <w:r>
              <w:rPr>
                <w:b/>
                <w:bCs/>
                <w:color w:val="000000"/>
              </w:rPr>
              <w:t>492 300</w:t>
            </w:r>
          </w:p>
        </w:tc>
        <w:tc>
          <w:tcPr>
            <w:tcW w:w="1701" w:type="dxa"/>
            <w:tcBorders>
              <w:top w:val="nil"/>
              <w:left w:val="nil"/>
              <w:bottom w:val="single" w:sz="8" w:space="0" w:color="auto"/>
              <w:right w:val="single" w:sz="8" w:space="0" w:color="auto"/>
            </w:tcBorders>
            <w:shd w:val="clear" w:color="000000" w:fill="C0C0C0"/>
            <w:noWrap/>
            <w:vAlign w:val="center"/>
          </w:tcPr>
          <w:p w14:paraId="52932A3A" w14:textId="77777777" w:rsidR="00D619B4" w:rsidRDefault="00D619B4" w:rsidP="001C13FB">
            <w:pPr>
              <w:jc w:val="right"/>
              <w:rPr>
                <w:b/>
                <w:bCs/>
                <w:color w:val="000000"/>
              </w:rPr>
            </w:pPr>
            <w:r>
              <w:rPr>
                <w:b/>
                <w:bCs/>
                <w:color w:val="000000"/>
              </w:rPr>
              <w:t>492 300</w:t>
            </w:r>
          </w:p>
        </w:tc>
        <w:tc>
          <w:tcPr>
            <w:tcW w:w="1418" w:type="dxa"/>
            <w:tcBorders>
              <w:top w:val="nil"/>
              <w:left w:val="nil"/>
              <w:bottom w:val="single" w:sz="8" w:space="0" w:color="auto"/>
              <w:right w:val="single" w:sz="8" w:space="0" w:color="auto"/>
            </w:tcBorders>
            <w:shd w:val="clear" w:color="000000" w:fill="C0C0C0"/>
            <w:noWrap/>
            <w:vAlign w:val="center"/>
          </w:tcPr>
          <w:p w14:paraId="72C7CD22" w14:textId="77777777" w:rsidR="00D619B4" w:rsidRDefault="00D619B4" w:rsidP="001C13FB">
            <w:pPr>
              <w:jc w:val="right"/>
              <w:rPr>
                <w:b/>
                <w:bCs/>
                <w:color w:val="000000"/>
              </w:rPr>
            </w:pPr>
            <w:r>
              <w:rPr>
                <w:b/>
                <w:bCs/>
                <w:color w:val="000000"/>
              </w:rPr>
              <w:t>492 300</w:t>
            </w:r>
          </w:p>
        </w:tc>
      </w:tr>
      <w:tr w:rsidR="00D619B4" w:rsidRPr="00E0368E" w14:paraId="62460490"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30A6B290" w14:textId="77777777" w:rsidR="00D619B4" w:rsidRPr="00E0368E" w:rsidRDefault="00D619B4" w:rsidP="001C13FB">
            <w:pPr>
              <w:rPr>
                <w:b/>
                <w:bCs/>
                <w:i/>
                <w:iCs/>
                <w:color w:val="000000"/>
                <w:lang w:eastAsia="sk-SK"/>
              </w:rPr>
            </w:pPr>
            <w:r w:rsidRPr="00E0368E">
              <w:rPr>
                <w:b/>
                <w:bCs/>
                <w:i/>
                <w:iCs/>
                <w:color w:val="000000"/>
                <w:lang w:eastAsia="sk-SK"/>
              </w:rPr>
              <w:t>- vplyv na ŠR</w:t>
            </w:r>
            <w:r w:rsidRPr="00E0368E">
              <w:rPr>
                <w:rFonts w:ascii="Calibri" w:hAnsi="Calibri" w:cs="Calibri"/>
                <w:color w:val="000000"/>
                <w:sz w:val="16"/>
                <w:szCs w:val="16"/>
                <w:lang w:eastAsia="sk-SK"/>
              </w:rPr>
              <w:t> </w:t>
            </w:r>
          </w:p>
        </w:tc>
        <w:tc>
          <w:tcPr>
            <w:tcW w:w="1559" w:type="dxa"/>
            <w:tcBorders>
              <w:top w:val="nil"/>
              <w:left w:val="nil"/>
              <w:bottom w:val="single" w:sz="8" w:space="0" w:color="auto"/>
              <w:right w:val="single" w:sz="8" w:space="0" w:color="auto"/>
            </w:tcBorders>
            <w:shd w:val="clear" w:color="000000" w:fill="C0C0C0"/>
            <w:noWrap/>
            <w:vAlign w:val="center"/>
          </w:tcPr>
          <w:p w14:paraId="061D14B5" w14:textId="77777777" w:rsidR="00D619B4" w:rsidRDefault="00D619B4" w:rsidP="001C13FB">
            <w:pPr>
              <w:jc w:val="right"/>
              <w:rPr>
                <w:b/>
                <w:bCs/>
                <w:color w:val="000000"/>
              </w:rPr>
            </w:pPr>
            <w:r>
              <w:rPr>
                <w:b/>
                <w:bCs/>
                <w:color w:val="000000"/>
              </w:rPr>
              <w:t>205 125</w:t>
            </w:r>
          </w:p>
        </w:tc>
        <w:tc>
          <w:tcPr>
            <w:tcW w:w="1701" w:type="dxa"/>
            <w:tcBorders>
              <w:top w:val="nil"/>
              <w:left w:val="nil"/>
              <w:bottom w:val="single" w:sz="8" w:space="0" w:color="auto"/>
              <w:right w:val="single" w:sz="8" w:space="0" w:color="auto"/>
            </w:tcBorders>
            <w:shd w:val="clear" w:color="000000" w:fill="C0C0C0"/>
            <w:noWrap/>
            <w:vAlign w:val="center"/>
          </w:tcPr>
          <w:p w14:paraId="24B027CA" w14:textId="77777777" w:rsidR="00D619B4" w:rsidRDefault="00D619B4" w:rsidP="001C13FB">
            <w:pPr>
              <w:jc w:val="right"/>
              <w:rPr>
                <w:b/>
                <w:bCs/>
                <w:color w:val="000000"/>
              </w:rPr>
            </w:pPr>
            <w:r>
              <w:rPr>
                <w:b/>
                <w:bCs/>
                <w:color w:val="000000"/>
              </w:rPr>
              <w:t>492 300</w:t>
            </w:r>
          </w:p>
        </w:tc>
        <w:tc>
          <w:tcPr>
            <w:tcW w:w="1701" w:type="dxa"/>
            <w:tcBorders>
              <w:top w:val="nil"/>
              <w:left w:val="nil"/>
              <w:bottom w:val="single" w:sz="8" w:space="0" w:color="auto"/>
              <w:right w:val="single" w:sz="8" w:space="0" w:color="auto"/>
            </w:tcBorders>
            <w:shd w:val="clear" w:color="000000" w:fill="C0C0C0"/>
            <w:noWrap/>
            <w:vAlign w:val="center"/>
          </w:tcPr>
          <w:p w14:paraId="14F34787" w14:textId="77777777" w:rsidR="00D619B4" w:rsidRDefault="00D619B4" w:rsidP="001C13FB">
            <w:pPr>
              <w:jc w:val="right"/>
              <w:rPr>
                <w:b/>
                <w:bCs/>
                <w:color w:val="000000"/>
              </w:rPr>
            </w:pPr>
            <w:r>
              <w:rPr>
                <w:b/>
                <w:bCs/>
                <w:color w:val="000000"/>
              </w:rPr>
              <w:t>492 300</w:t>
            </w:r>
          </w:p>
        </w:tc>
        <w:tc>
          <w:tcPr>
            <w:tcW w:w="1418" w:type="dxa"/>
            <w:tcBorders>
              <w:top w:val="nil"/>
              <w:left w:val="nil"/>
              <w:bottom w:val="single" w:sz="8" w:space="0" w:color="auto"/>
              <w:right w:val="single" w:sz="8" w:space="0" w:color="auto"/>
            </w:tcBorders>
            <w:shd w:val="clear" w:color="000000" w:fill="C0C0C0"/>
            <w:noWrap/>
            <w:vAlign w:val="center"/>
          </w:tcPr>
          <w:p w14:paraId="540BC309" w14:textId="77777777" w:rsidR="00D619B4" w:rsidRDefault="00D619B4" w:rsidP="001C13FB">
            <w:pPr>
              <w:jc w:val="right"/>
              <w:rPr>
                <w:b/>
                <w:bCs/>
                <w:color w:val="000000"/>
              </w:rPr>
            </w:pPr>
            <w:r>
              <w:rPr>
                <w:b/>
                <w:bCs/>
                <w:color w:val="000000"/>
              </w:rPr>
              <w:t>492 300</w:t>
            </w:r>
          </w:p>
        </w:tc>
      </w:tr>
      <w:tr w:rsidR="00D619B4" w:rsidRPr="00E0368E" w14:paraId="05FA0D56"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3329EF6A" w14:textId="77777777" w:rsidR="00D619B4" w:rsidRPr="00E0368E" w:rsidRDefault="00D619B4" w:rsidP="001C13FB">
            <w:pPr>
              <w:rPr>
                <w:b/>
                <w:bCs/>
                <w:i/>
                <w:iCs/>
                <w:color w:val="000000"/>
                <w:lang w:eastAsia="sk-SK"/>
              </w:rPr>
            </w:pPr>
            <w:r w:rsidRPr="00E0368E">
              <w:rPr>
                <w:i/>
                <w:iCs/>
                <w:color w:val="000000"/>
                <w:lang w:eastAsia="sk-SK"/>
              </w:rPr>
              <w:t>Rozpočtové prostriedky</w:t>
            </w:r>
          </w:p>
        </w:tc>
        <w:tc>
          <w:tcPr>
            <w:tcW w:w="1559" w:type="dxa"/>
            <w:tcBorders>
              <w:top w:val="nil"/>
              <w:left w:val="nil"/>
              <w:bottom w:val="single" w:sz="8" w:space="0" w:color="auto"/>
              <w:right w:val="single" w:sz="8" w:space="0" w:color="auto"/>
            </w:tcBorders>
            <w:shd w:val="clear" w:color="000000" w:fill="C0C0C0"/>
            <w:noWrap/>
            <w:vAlign w:val="center"/>
          </w:tcPr>
          <w:p w14:paraId="6AD28CF2" w14:textId="77777777" w:rsidR="00D619B4" w:rsidRDefault="00D619B4" w:rsidP="001C13FB">
            <w:pPr>
              <w:jc w:val="right"/>
              <w:rPr>
                <w:b/>
                <w:bCs/>
                <w:color w:val="000000"/>
              </w:rPr>
            </w:pPr>
            <w:r>
              <w:rPr>
                <w:b/>
                <w:bCs/>
                <w:color w:val="000000"/>
              </w:rPr>
              <w:t>205 125</w:t>
            </w:r>
          </w:p>
        </w:tc>
        <w:tc>
          <w:tcPr>
            <w:tcW w:w="1701" w:type="dxa"/>
            <w:tcBorders>
              <w:top w:val="nil"/>
              <w:left w:val="nil"/>
              <w:bottom w:val="single" w:sz="8" w:space="0" w:color="auto"/>
              <w:right w:val="single" w:sz="8" w:space="0" w:color="auto"/>
            </w:tcBorders>
            <w:shd w:val="clear" w:color="000000" w:fill="C0C0C0"/>
            <w:noWrap/>
            <w:vAlign w:val="center"/>
          </w:tcPr>
          <w:p w14:paraId="2A761F25" w14:textId="77777777" w:rsidR="00D619B4" w:rsidRDefault="00D619B4" w:rsidP="001C13FB">
            <w:pPr>
              <w:jc w:val="right"/>
              <w:rPr>
                <w:b/>
                <w:bCs/>
                <w:color w:val="000000"/>
              </w:rPr>
            </w:pPr>
            <w:r>
              <w:rPr>
                <w:b/>
                <w:bCs/>
                <w:color w:val="000000"/>
              </w:rPr>
              <w:t>492 300</w:t>
            </w:r>
          </w:p>
        </w:tc>
        <w:tc>
          <w:tcPr>
            <w:tcW w:w="1701" w:type="dxa"/>
            <w:tcBorders>
              <w:top w:val="nil"/>
              <w:left w:val="nil"/>
              <w:bottom w:val="single" w:sz="8" w:space="0" w:color="auto"/>
              <w:right w:val="single" w:sz="8" w:space="0" w:color="auto"/>
            </w:tcBorders>
            <w:shd w:val="clear" w:color="000000" w:fill="C0C0C0"/>
            <w:noWrap/>
            <w:vAlign w:val="center"/>
          </w:tcPr>
          <w:p w14:paraId="10959268" w14:textId="77777777" w:rsidR="00D619B4" w:rsidRDefault="00D619B4" w:rsidP="001C13FB">
            <w:pPr>
              <w:jc w:val="right"/>
              <w:rPr>
                <w:b/>
                <w:bCs/>
                <w:color w:val="000000"/>
              </w:rPr>
            </w:pPr>
            <w:r>
              <w:rPr>
                <w:b/>
                <w:bCs/>
                <w:color w:val="000000"/>
              </w:rPr>
              <w:t>492 300</w:t>
            </w:r>
          </w:p>
        </w:tc>
        <w:tc>
          <w:tcPr>
            <w:tcW w:w="1418" w:type="dxa"/>
            <w:tcBorders>
              <w:top w:val="nil"/>
              <w:left w:val="nil"/>
              <w:bottom w:val="single" w:sz="8" w:space="0" w:color="auto"/>
              <w:right w:val="single" w:sz="8" w:space="0" w:color="auto"/>
            </w:tcBorders>
            <w:shd w:val="clear" w:color="000000" w:fill="C0C0C0"/>
            <w:noWrap/>
            <w:vAlign w:val="center"/>
          </w:tcPr>
          <w:p w14:paraId="551E4997" w14:textId="77777777" w:rsidR="00D619B4" w:rsidRDefault="00D619B4" w:rsidP="001C13FB">
            <w:pPr>
              <w:jc w:val="right"/>
              <w:rPr>
                <w:b/>
                <w:bCs/>
                <w:color w:val="000000"/>
              </w:rPr>
            </w:pPr>
            <w:r>
              <w:rPr>
                <w:b/>
                <w:bCs/>
                <w:color w:val="000000"/>
              </w:rPr>
              <w:t>492 300</w:t>
            </w:r>
          </w:p>
        </w:tc>
      </w:tr>
      <w:tr w:rsidR="00D619B4" w:rsidRPr="00E0368E" w14:paraId="11383CBE"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64DE49CC" w14:textId="77777777" w:rsidR="00D619B4" w:rsidRPr="00E0368E" w:rsidRDefault="00D619B4" w:rsidP="001C13FB">
            <w:pPr>
              <w:rPr>
                <w:b/>
                <w:bCs/>
                <w:i/>
                <w:iCs/>
                <w:color w:val="000000"/>
                <w:lang w:eastAsia="sk-SK"/>
              </w:rPr>
            </w:pPr>
            <w:r w:rsidRPr="00E0368E">
              <w:rPr>
                <w:i/>
                <w:iCs/>
                <w:color w:val="000000"/>
                <w:lang w:eastAsia="sk-SK"/>
              </w:rPr>
              <w:t>EÚ zdroje (POO)</w:t>
            </w:r>
          </w:p>
        </w:tc>
        <w:tc>
          <w:tcPr>
            <w:tcW w:w="1559" w:type="dxa"/>
            <w:tcBorders>
              <w:top w:val="nil"/>
              <w:left w:val="nil"/>
              <w:bottom w:val="single" w:sz="8" w:space="0" w:color="auto"/>
              <w:right w:val="single" w:sz="8" w:space="0" w:color="auto"/>
            </w:tcBorders>
            <w:shd w:val="clear" w:color="000000" w:fill="C0C0C0"/>
            <w:noWrap/>
            <w:vAlign w:val="center"/>
          </w:tcPr>
          <w:p w14:paraId="3EC201BC"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33C94EFB"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4CE7CA2D"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7343F5C3" w14:textId="77777777" w:rsidR="00D619B4" w:rsidRDefault="00D619B4" w:rsidP="001C13FB">
            <w:pPr>
              <w:jc w:val="right"/>
              <w:rPr>
                <w:b/>
                <w:bCs/>
                <w:color w:val="000000"/>
              </w:rPr>
            </w:pPr>
            <w:r>
              <w:rPr>
                <w:b/>
                <w:bCs/>
                <w:color w:val="000000"/>
              </w:rPr>
              <w:t>0</w:t>
            </w:r>
          </w:p>
        </w:tc>
      </w:tr>
      <w:tr w:rsidR="00D619B4" w:rsidRPr="00E0368E" w14:paraId="0C81EBCA"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357F0517" w14:textId="77777777" w:rsidR="00D619B4" w:rsidRPr="00E0368E" w:rsidRDefault="00D619B4" w:rsidP="001C13FB">
            <w:pPr>
              <w:rPr>
                <w:b/>
                <w:bCs/>
                <w:i/>
                <w:iCs/>
                <w:color w:val="000000"/>
                <w:lang w:eastAsia="sk-SK"/>
              </w:rPr>
            </w:pPr>
            <w:r w:rsidRPr="00E0368E">
              <w:rPr>
                <w:b/>
                <w:bCs/>
                <w:i/>
                <w:iCs/>
                <w:color w:val="000000"/>
                <w:lang w:eastAsia="sk-SK"/>
              </w:rPr>
              <w:t>- vplyv na obce</w:t>
            </w:r>
          </w:p>
        </w:tc>
        <w:tc>
          <w:tcPr>
            <w:tcW w:w="1559" w:type="dxa"/>
            <w:tcBorders>
              <w:top w:val="nil"/>
              <w:left w:val="nil"/>
              <w:bottom w:val="single" w:sz="8" w:space="0" w:color="auto"/>
              <w:right w:val="single" w:sz="8" w:space="0" w:color="auto"/>
            </w:tcBorders>
            <w:shd w:val="clear" w:color="000000" w:fill="C0C0C0"/>
            <w:noWrap/>
            <w:vAlign w:val="center"/>
          </w:tcPr>
          <w:p w14:paraId="64F30271"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59B1A701"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0F60B82B"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0C860531" w14:textId="77777777" w:rsidR="00D619B4" w:rsidRDefault="00D619B4" w:rsidP="001C13FB">
            <w:pPr>
              <w:jc w:val="right"/>
              <w:rPr>
                <w:b/>
                <w:bCs/>
                <w:color w:val="000000"/>
              </w:rPr>
            </w:pPr>
            <w:r>
              <w:rPr>
                <w:b/>
                <w:bCs/>
                <w:color w:val="000000"/>
              </w:rPr>
              <w:t>0</w:t>
            </w:r>
          </w:p>
        </w:tc>
      </w:tr>
      <w:tr w:rsidR="00D619B4" w:rsidRPr="00E0368E" w14:paraId="606C050A"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6F3F66B1" w14:textId="77777777" w:rsidR="00D619B4" w:rsidRPr="00E0368E" w:rsidRDefault="00D619B4" w:rsidP="001C13FB">
            <w:pPr>
              <w:rPr>
                <w:b/>
                <w:bCs/>
                <w:i/>
                <w:iCs/>
                <w:color w:val="000000"/>
                <w:lang w:eastAsia="sk-SK"/>
              </w:rPr>
            </w:pPr>
            <w:r w:rsidRPr="00E0368E">
              <w:rPr>
                <w:b/>
                <w:bCs/>
                <w:i/>
                <w:iCs/>
                <w:color w:val="000000"/>
                <w:lang w:eastAsia="sk-SK"/>
              </w:rPr>
              <w:t>- vplyv na vyššie územné celky</w:t>
            </w:r>
          </w:p>
        </w:tc>
        <w:tc>
          <w:tcPr>
            <w:tcW w:w="1559" w:type="dxa"/>
            <w:tcBorders>
              <w:top w:val="nil"/>
              <w:left w:val="nil"/>
              <w:bottom w:val="single" w:sz="8" w:space="0" w:color="auto"/>
              <w:right w:val="single" w:sz="8" w:space="0" w:color="auto"/>
            </w:tcBorders>
            <w:shd w:val="clear" w:color="000000" w:fill="C0C0C0"/>
            <w:noWrap/>
            <w:vAlign w:val="center"/>
          </w:tcPr>
          <w:p w14:paraId="6E538AFC"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1607DAF6"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4667DB1F"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194E003E" w14:textId="77777777" w:rsidR="00D619B4" w:rsidRDefault="00D619B4" w:rsidP="001C13FB">
            <w:pPr>
              <w:jc w:val="right"/>
              <w:rPr>
                <w:b/>
                <w:bCs/>
                <w:color w:val="000000"/>
              </w:rPr>
            </w:pPr>
            <w:r>
              <w:rPr>
                <w:b/>
                <w:bCs/>
                <w:color w:val="000000"/>
              </w:rPr>
              <w:t>0</w:t>
            </w:r>
          </w:p>
        </w:tc>
      </w:tr>
      <w:tr w:rsidR="00D619B4" w:rsidRPr="00E0368E" w14:paraId="7C5D64C3"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tcPr>
          <w:p w14:paraId="2B0A4B84" w14:textId="77777777" w:rsidR="00D619B4" w:rsidRPr="00E0368E" w:rsidRDefault="00D619B4" w:rsidP="001C13FB">
            <w:pPr>
              <w:rPr>
                <w:b/>
                <w:bCs/>
                <w:i/>
                <w:iCs/>
                <w:color w:val="000000"/>
                <w:lang w:eastAsia="sk-SK"/>
              </w:rPr>
            </w:pPr>
            <w:r w:rsidRPr="00E0368E">
              <w:rPr>
                <w:b/>
                <w:bCs/>
                <w:i/>
                <w:iCs/>
                <w:color w:val="000000"/>
                <w:lang w:eastAsia="sk-SK"/>
              </w:rPr>
              <w:t>- vplyv na ostatné subjekty verejnej správy</w:t>
            </w:r>
          </w:p>
        </w:tc>
        <w:tc>
          <w:tcPr>
            <w:tcW w:w="1559" w:type="dxa"/>
            <w:tcBorders>
              <w:top w:val="nil"/>
              <w:left w:val="nil"/>
              <w:bottom w:val="single" w:sz="8" w:space="0" w:color="auto"/>
              <w:right w:val="single" w:sz="8" w:space="0" w:color="auto"/>
            </w:tcBorders>
            <w:shd w:val="clear" w:color="000000" w:fill="C0C0C0"/>
            <w:noWrap/>
            <w:vAlign w:val="center"/>
          </w:tcPr>
          <w:p w14:paraId="44FFDC99"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26BEA4A9"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000000" w:fill="C0C0C0"/>
            <w:noWrap/>
            <w:vAlign w:val="center"/>
          </w:tcPr>
          <w:p w14:paraId="7ABFC161"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000000" w:fill="C0C0C0"/>
            <w:noWrap/>
            <w:vAlign w:val="center"/>
          </w:tcPr>
          <w:p w14:paraId="296AAC36" w14:textId="77777777" w:rsidR="00D619B4" w:rsidRDefault="00D619B4" w:rsidP="001C13FB">
            <w:pPr>
              <w:jc w:val="right"/>
              <w:rPr>
                <w:b/>
                <w:bCs/>
                <w:color w:val="000000"/>
              </w:rPr>
            </w:pPr>
            <w:r>
              <w:rPr>
                <w:b/>
                <w:bCs/>
                <w:color w:val="000000"/>
              </w:rPr>
              <w:t>0</w:t>
            </w:r>
          </w:p>
        </w:tc>
      </w:tr>
      <w:tr w:rsidR="00D619B4" w:rsidRPr="00E0368E" w14:paraId="78151937"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C0C0C0"/>
            <w:noWrap/>
            <w:vAlign w:val="center"/>
            <w:hideMark/>
          </w:tcPr>
          <w:p w14:paraId="25EF822E" w14:textId="77777777" w:rsidR="00D619B4" w:rsidRPr="00E0368E" w:rsidRDefault="00D619B4" w:rsidP="001C13FB">
            <w:pPr>
              <w:rPr>
                <w:b/>
                <w:bCs/>
                <w:color w:val="000000"/>
                <w:lang w:eastAsia="sk-SK"/>
              </w:rPr>
            </w:pPr>
            <w:r w:rsidRPr="00E0368E">
              <w:rPr>
                <w:b/>
                <w:bCs/>
                <w:color w:val="000000"/>
                <w:lang w:eastAsia="sk-SK"/>
              </w:rPr>
              <w:t>Financovanie zabezpečené v rozpočte</w:t>
            </w:r>
          </w:p>
        </w:tc>
        <w:tc>
          <w:tcPr>
            <w:tcW w:w="1559" w:type="dxa"/>
            <w:tcBorders>
              <w:top w:val="nil"/>
              <w:left w:val="nil"/>
              <w:bottom w:val="single" w:sz="8" w:space="0" w:color="auto"/>
              <w:right w:val="single" w:sz="8" w:space="0" w:color="auto"/>
            </w:tcBorders>
            <w:shd w:val="clear" w:color="000000" w:fill="C0C0C0"/>
            <w:noWrap/>
            <w:vAlign w:val="center"/>
            <w:hideMark/>
          </w:tcPr>
          <w:p w14:paraId="7061E391" w14:textId="77777777" w:rsidR="00D619B4" w:rsidRPr="000C290E" w:rsidRDefault="00D619B4" w:rsidP="001C13FB">
            <w:pPr>
              <w:jc w:val="right"/>
              <w:rPr>
                <w:b/>
                <w:bCs/>
                <w:color w:val="000000"/>
                <w:lang w:eastAsia="sk-SK"/>
              </w:rPr>
            </w:pPr>
            <w:r>
              <w:rPr>
                <w:b/>
                <w:bCs/>
                <w:color w:val="000000"/>
              </w:rPr>
              <w:t xml:space="preserve">156434  </w:t>
            </w:r>
          </w:p>
        </w:tc>
        <w:tc>
          <w:tcPr>
            <w:tcW w:w="1701" w:type="dxa"/>
            <w:tcBorders>
              <w:top w:val="nil"/>
              <w:left w:val="nil"/>
              <w:bottom w:val="single" w:sz="8" w:space="0" w:color="auto"/>
              <w:right w:val="single" w:sz="8" w:space="0" w:color="auto"/>
            </w:tcBorders>
            <w:shd w:val="clear" w:color="000000" w:fill="C0C0C0"/>
            <w:noWrap/>
            <w:vAlign w:val="center"/>
            <w:hideMark/>
          </w:tcPr>
          <w:p w14:paraId="76642F1A" w14:textId="77777777" w:rsidR="00D619B4" w:rsidRPr="00B05A3C" w:rsidRDefault="00D619B4" w:rsidP="001C13FB">
            <w:pPr>
              <w:jc w:val="right"/>
              <w:rPr>
                <w:b/>
                <w:bCs/>
                <w:color w:val="000000"/>
                <w:lang w:eastAsia="sk-SK"/>
              </w:rPr>
            </w:pPr>
            <w:r>
              <w:rPr>
                <w:b/>
                <w:bCs/>
                <w:color w:val="000000"/>
              </w:rPr>
              <w:t xml:space="preserve">375415 </w:t>
            </w:r>
          </w:p>
        </w:tc>
        <w:tc>
          <w:tcPr>
            <w:tcW w:w="1701" w:type="dxa"/>
            <w:tcBorders>
              <w:top w:val="nil"/>
              <w:left w:val="nil"/>
              <w:bottom w:val="single" w:sz="8" w:space="0" w:color="auto"/>
              <w:right w:val="single" w:sz="8" w:space="0" w:color="auto"/>
            </w:tcBorders>
            <w:shd w:val="clear" w:color="000000" w:fill="C0C0C0"/>
            <w:noWrap/>
            <w:vAlign w:val="center"/>
            <w:hideMark/>
          </w:tcPr>
          <w:p w14:paraId="7C6FFB57" w14:textId="77777777" w:rsidR="00D619B4" w:rsidRPr="00B05A3C" w:rsidRDefault="00D619B4" w:rsidP="001C13FB">
            <w:pPr>
              <w:jc w:val="right"/>
              <w:rPr>
                <w:b/>
                <w:bCs/>
                <w:color w:val="000000"/>
                <w:lang w:eastAsia="sk-SK"/>
              </w:rPr>
            </w:pPr>
            <w:r>
              <w:rPr>
                <w:b/>
                <w:bCs/>
                <w:color w:val="000000"/>
              </w:rPr>
              <w:t xml:space="preserve">375415  </w:t>
            </w:r>
          </w:p>
        </w:tc>
        <w:tc>
          <w:tcPr>
            <w:tcW w:w="1418" w:type="dxa"/>
            <w:tcBorders>
              <w:top w:val="nil"/>
              <w:left w:val="nil"/>
              <w:bottom w:val="single" w:sz="8" w:space="0" w:color="auto"/>
              <w:right w:val="single" w:sz="8" w:space="0" w:color="auto"/>
            </w:tcBorders>
            <w:shd w:val="clear" w:color="000000" w:fill="C0C0C0"/>
            <w:noWrap/>
            <w:vAlign w:val="center"/>
            <w:hideMark/>
          </w:tcPr>
          <w:p w14:paraId="6F0A4565" w14:textId="77777777" w:rsidR="00D619B4" w:rsidRPr="00B05A3C" w:rsidRDefault="00D619B4" w:rsidP="001C13FB">
            <w:pPr>
              <w:jc w:val="right"/>
              <w:rPr>
                <w:b/>
                <w:bCs/>
                <w:color w:val="000000"/>
                <w:lang w:eastAsia="sk-SK"/>
              </w:rPr>
            </w:pPr>
            <w:r>
              <w:rPr>
                <w:b/>
                <w:bCs/>
                <w:color w:val="000000"/>
              </w:rPr>
              <w:t xml:space="preserve">0 </w:t>
            </w:r>
          </w:p>
        </w:tc>
      </w:tr>
      <w:tr w:rsidR="00D619B4" w:rsidRPr="00E0368E" w14:paraId="38340CE6"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hideMark/>
          </w:tcPr>
          <w:p w14:paraId="5C7557FA" w14:textId="77777777" w:rsidR="00D619B4" w:rsidRPr="00E0368E" w:rsidRDefault="00D619B4" w:rsidP="001C13FB">
            <w:pPr>
              <w:rPr>
                <w:color w:val="000000"/>
                <w:lang w:eastAsia="sk-SK"/>
              </w:rPr>
            </w:pPr>
            <w:r w:rsidRPr="00E0368E">
              <w:rPr>
                <w:color w:val="000000"/>
                <w:lang w:eastAsia="sk-SK"/>
              </w:rPr>
              <w:t>v tom: MIRRI SR - Mechanizmus na podporu plánu obnovy a odolnosti, Komponent 17, Investícia č. 6 Posilnenie preventívnych opatrení, zvýšenie rýchlosti detekcie a riešenia incidentov (ITVS)</w:t>
            </w:r>
          </w:p>
        </w:tc>
        <w:tc>
          <w:tcPr>
            <w:tcW w:w="1559" w:type="dxa"/>
            <w:tcBorders>
              <w:top w:val="nil"/>
              <w:left w:val="nil"/>
              <w:bottom w:val="single" w:sz="8" w:space="0" w:color="auto"/>
              <w:right w:val="single" w:sz="8" w:space="0" w:color="auto"/>
            </w:tcBorders>
            <w:shd w:val="clear" w:color="auto" w:fill="auto"/>
            <w:noWrap/>
            <w:vAlign w:val="center"/>
            <w:hideMark/>
          </w:tcPr>
          <w:p w14:paraId="1CBCFB8C" w14:textId="77777777" w:rsidR="00D619B4" w:rsidRPr="000C290E" w:rsidRDefault="00D619B4" w:rsidP="001C13FB">
            <w:pPr>
              <w:jc w:val="right"/>
              <w:rPr>
                <w:b/>
                <w:bCs/>
                <w:color w:val="000000"/>
                <w:lang w:eastAsia="sk-SK"/>
              </w:rPr>
            </w:pPr>
            <w:r>
              <w:rPr>
                <w:b/>
                <w:bCs/>
                <w:color w:val="000000"/>
              </w:rPr>
              <w:t xml:space="preserve">156434 </w:t>
            </w:r>
          </w:p>
        </w:tc>
        <w:tc>
          <w:tcPr>
            <w:tcW w:w="1701" w:type="dxa"/>
            <w:tcBorders>
              <w:top w:val="nil"/>
              <w:left w:val="nil"/>
              <w:bottom w:val="single" w:sz="8" w:space="0" w:color="auto"/>
              <w:right w:val="single" w:sz="8" w:space="0" w:color="auto"/>
            </w:tcBorders>
            <w:shd w:val="clear" w:color="auto" w:fill="auto"/>
            <w:noWrap/>
            <w:vAlign w:val="center"/>
            <w:hideMark/>
          </w:tcPr>
          <w:p w14:paraId="190AE8A7" w14:textId="77777777" w:rsidR="00D619B4" w:rsidRPr="00B05A3C" w:rsidRDefault="00D619B4" w:rsidP="001C13FB">
            <w:pPr>
              <w:jc w:val="right"/>
              <w:rPr>
                <w:b/>
                <w:bCs/>
                <w:color w:val="000000"/>
                <w:lang w:eastAsia="sk-SK"/>
              </w:rPr>
            </w:pPr>
            <w:r w:rsidRPr="00B05A3C">
              <w:rPr>
                <w:b/>
                <w:bCs/>
                <w:color w:val="000000"/>
              </w:rPr>
              <w:t>375</w:t>
            </w:r>
            <w:r>
              <w:rPr>
                <w:b/>
                <w:bCs/>
                <w:color w:val="000000"/>
              </w:rPr>
              <w:t> </w:t>
            </w:r>
            <w:r w:rsidRPr="00B05A3C">
              <w:rPr>
                <w:b/>
                <w:bCs/>
                <w:color w:val="000000"/>
              </w:rPr>
              <w:t>415</w:t>
            </w:r>
            <w:r>
              <w:rPr>
                <w:b/>
                <w:bCs/>
                <w:color w:val="000000"/>
              </w:rPr>
              <w:t xml:space="preserve"> </w:t>
            </w:r>
          </w:p>
        </w:tc>
        <w:tc>
          <w:tcPr>
            <w:tcW w:w="1701" w:type="dxa"/>
            <w:tcBorders>
              <w:top w:val="nil"/>
              <w:left w:val="nil"/>
              <w:bottom w:val="single" w:sz="8" w:space="0" w:color="auto"/>
              <w:right w:val="single" w:sz="8" w:space="0" w:color="auto"/>
            </w:tcBorders>
            <w:shd w:val="clear" w:color="auto" w:fill="auto"/>
            <w:noWrap/>
            <w:vAlign w:val="center"/>
            <w:hideMark/>
          </w:tcPr>
          <w:p w14:paraId="528C0A63" w14:textId="77777777" w:rsidR="00D619B4" w:rsidRPr="00B05A3C" w:rsidRDefault="00D619B4" w:rsidP="001C13FB">
            <w:pPr>
              <w:jc w:val="right"/>
              <w:rPr>
                <w:b/>
                <w:bCs/>
                <w:color w:val="000000"/>
                <w:lang w:eastAsia="sk-SK"/>
              </w:rPr>
            </w:pPr>
            <w:r w:rsidRPr="00B05A3C">
              <w:rPr>
                <w:b/>
                <w:bCs/>
                <w:color w:val="000000"/>
              </w:rPr>
              <w:t>375</w:t>
            </w:r>
            <w:r>
              <w:rPr>
                <w:b/>
                <w:bCs/>
                <w:color w:val="000000"/>
              </w:rPr>
              <w:t> </w:t>
            </w:r>
            <w:r w:rsidRPr="00B05A3C">
              <w:rPr>
                <w:b/>
                <w:bCs/>
                <w:color w:val="000000"/>
              </w:rPr>
              <w:t>415</w:t>
            </w:r>
            <w:r>
              <w:rPr>
                <w:b/>
                <w:bCs/>
                <w:color w:val="000000"/>
              </w:rPr>
              <w:t xml:space="preserve"> </w:t>
            </w:r>
          </w:p>
        </w:tc>
        <w:tc>
          <w:tcPr>
            <w:tcW w:w="1418" w:type="dxa"/>
            <w:tcBorders>
              <w:top w:val="nil"/>
              <w:left w:val="nil"/>
              <w:bottom w:val="single" w:sz="8" w:space="0" w:color="auto"/>
              <w:right w:val="single" w:sz="8" w:space="0" w:color="auto"/>
            </w:tcBorders>
            <w:shd w:val="clear" w:color="auto" w:fill="auto"/>
            <w:noWrap/>
            <w:vAlign w:val="center"/>
            <w:hideMark/>
          </w:tcPr>
          <w:p w14:paraId="617748E3"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2F218BD4"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3FDFA4A1" w14:textId="77777777" w:rsidR="00D619B4" w:rsidRPr="00E0368E" w:rsidRDefault="00D619B4" w:rsidP="001C13FB">
            <w:pPr>
              <w:rPr>
                <w:color w:val="000000"/>
                <w:lang w:eastAsia="sk-SK"/>
              </w:rPr>
            </w:pPr>
            <w:r>
              <w:rPr>
                <w:color w:val="000000"/>
                <w:lang w:eastAsia="sk-SK"/>
              </w:rPr>
              <w:t>v tom MDaV SR</w:t>
            </w:r>
          </w:p>
        </w:tc>
        <w:tc>
          <w:tcPr>
            <w:tcW w:w="1559" w:type="dxa"/>
            <w:tcBorders>
              <w:top w:val="nil"/>
              <w:left w:val="nil"/>
              <w:bottom w:val="single" w:sz="8" w:space="0" w:color="auto"/>
              <w:right w:val="single" w:sz="8" w:space="0" w:color="auto"/>
            </w:tcBorders>
            <w:shd w:val="clear" w:color="auto" w:fill="auto"/>
            <w:noWrap/>
            <w:vAlign w:val="center"/>
          </w:tcPr>
          <w:p w14:paraId="01BB7C80" w14:textId="77777777" w:rsidR="00D619B4" w:rsidRPr="000C290E"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10A3DCF8" w14:textId="77777777" w:rsidR="00D619B4" w:rsidRPr="00B05A3C"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7960DED9" w14:textId="77777777" w:rsidR="00D619B4" w:rsidRPr="00B05A3C"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145229FD" w14:textId="77777777" w:rsidR="00D619B4" w:rsidRPr="00B05A3C" w:rsidRDefault="00D619B4" w:rsidP="001C13FB">
            <w:pPr>
              <w:jc w:val="right"/>
              <w:rPr>
                <w:b/>
                <w:bCs/>
                <w:color w:val="000000"/>
              </w:rPr>
            </w:pPr>
            <w:r>
              <w:rPr>
                <w:b/>
                <w:bCs/>
                <w:color w:val="000000"/>
              </w:rPr>
              <w:t>0</w:t>
            </w:r>
          </w:p>
        </w:tc>
      </w:tr>
      <w:tr w:rsidR="00D619B4" w:rsidRPr="00E0368E" w14:paraId="35AEC760" w14:textId="77777777" w:rsidTr="001C13FB">
        <w:trPr>
          <w:trHeight w:val="330"/>
        </w:trPr>
        <w:tc>
          <w:tcPr>
            <w:tcW w:w="3908" w:type="dxa"/>
            <w:tcBorders>
              <w:top w:val="nil"/>
              <w:left w:val="single" w:sz="8" w:space="0" w:color="auto"/>
              <w:bottom w:val="single" w:sz="8" w:space="0" w:color="auto"/>
              <w:right w:val="single" w:sz="8" w:space="0" w:color="auto"/>
            </w:tcBorders>
            <w:shd w:val="clear" w:color="auto" w:fill="auto"/>
            <w:noWrap/>
            <w:vAlign w:val="center"/>
          </w:tcPr>
          <w:p w14:paraId="34FE1158" w14:textId="77777777" w:rsidR="00D619B4" w:rsidRDefault="00D619B4" w:rsidP="001C13FB">
            <w:pPr>
              <w:rPr>
                <w:color w:val="000000"/>
                <w:lang w:eastAsia="sk-SK"/>
              </w:rPr>
            </w:pPr>
            <w:r>
              <w:rPr>
                <w:color w:val="000000"/>
                <w:lang w:eastAsia="sk-SK"/>
              </w:rPr>
              <w:t>v tom MV SR</w:t>
            </w:r>
          </w:p>
        </w:tc>
        <w:tc>
          <w:tcPr>
            <w:tcW w:w="1559" w:type="dxa"/>
            <w:tcBorders>
              <w:top w:val="nil"/>
              <w:left w:val="nil"/>
              <w:bottom w:val="single" w:sz="8" w:space="0" w:color="auto"/>
              <w:right w:val="single" w:sz="8" w:space="0" w:color="auto"/>
            </w:tcBorders>
            <w:shd w:val="clear" w:color="auto" w:fill="auto"/>
            <w:noWrap/>
            <w:vAlign w:val="center"/>
          </w:tcPr>
          <w:p w14:paraId="11EC21D5"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2ADA9915" w14:textId="77777777" w:rsidR="00D619B4" w:rsidRDefault="00D619B4" w:rsidP="001C13FB">
            <w:pPr>
              <w:jc w:val="right"/>
              <w:rPr>
                <w:b/>
                <w:bCs/>
                <w:color w:val="000000"/>
              </w:rPr>
            </w:pPr>
            <w:r>
              <w:rPr>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14:paraId="1F2F9705" w14:textId="77777777" w:rsidR="00D619B4" w:rsidRDefault="00D619B4" w:rsidP="001C13FB">
            <w:pPr>
              <w:jc w:val="right"/>
              <w:rPr>
                <w:b/>
                <w:bCs/>
                <w:color w:val="000000"/>
              </w:rPr>
            </w:pPr>
            <w:r>
              <w:rPr>
                <w:b/>
                <w:bCs/>
                <w:color w:val="000000"/>
              </w:rPr>
              <w:t>0</w:t>
            </w:r>
          </w:p>
        </w:tc>
        <w:tc>
          <w:tcPr>
            <w:tcW w:w="1418" w:type="dxa"/>
            <w:tcBorders>
              <w:top w:val="nil"/>
              <w:left w:val="nil"/>
              <w:bottom w:val="single" w:sz="8" w:space="0" w:color="auto"/>
              <w:right w:val="single" w:sz="8" w:space="0" w:color="auto"/>
            </w:tcBorders>
            <w:shd w:val="clear" w:color="auto" w:fill="auto"/>
            <w:noWrap/>
            <w:vAlign w:val="center"/>
          </w:tcPr>
          <w:p w14:paraId="7FC14CDD" w14:textId="77777777" w:rsidR="00D619B4" w:rsidRDefault="00D619B4" w:rsidP="001C13FB">
            <w:pPr>
              <w:jc w:val="right"/>
              <w:rPr>
                <w:b/>
                <w:bCs/>
                <w:color w:val="000000"/>
              </w:rPr>
            </w:pPr>
            <w:r>
              <w:rPr>
                <w:b/>
                <w:bCs/>
                <w:color w:val="000000"/>
              </w:rPr>
              <w:t>0</w:t>
            </w:r>
          </w:p>
        </w:tc>
      </w:tr>
      <w:tr w:rsidR="00D619B4" w:rsidRPr="00E0368E" w14:paraId="5AB12C00" w14:textId="77777777" w:rsidTr="001C13FB">
        <w:trPr>
          <w:trHeight w:val="330"/>
        </w:trPr>
        <w:tc>
          <w:tcPr>
            <w:tcW w:w="3908" w:type="dxa"/>
            <w:tcBorders>
              <w:top w:val="nil"/>
              <w:left w:val="single" w:sz="8" w:space="0" w:color="auto"/>
              <w:bottom w:val="single" w:sz="8" w:space="0" w:color="auto"/>
              <w:right w:val="single" w:sz="8" w:space="0" w:color="auto"/>
            </w:tcBorders>
            <w:shd w:val="clear" w:color="000000" w:fill="BFBFBF"/>
            <w:noWrap/>
            <w:vAlign w:val="center"/>
            <w:hideMark/>
          </w:tcPr>
          <w:p w14:paraId="0D2388EB" w14:textId="77777777" w:rsidR="00D619B4" w:rsidRPr="00E0368E" w:rsidRDefault="00D619B4" w:rsidP="001C13FB">
            <w:pPr>
              <w:rPr>
                <w:b/>
                <w:bCs/>
                <w:color w:val="000000"/>
                <w:lang w:eastAsia="sk-SK"/>
              </w:rPr>
            </w:pPr>
            <w:r w:rsidRPr="00E0368E">
              <w:rPr>
                <w:b/>
                <w:bCs/>
                <w:color w:val="000000"/>
                <w:lang w:eastAsia="sk-SK"/>
              </w:rPr>
              <w:t>Iné ako rozpočtové zdroje</w:t>
            </w:r>
          </w:p>
        </w:tc>
        <w:tc>
          <w:tcPr>
            <w:tcW w:w="1559" w:type="dxa"/>
            <w:tcBorders>
              <w:top w:val="nil"/>
              <w:left w:val="nil"/>
              <w:bottom w:val="single" w:sz="8" w:space="0" w:color="auto"/>
              <w:right w:val="single" w:sz="8" w:space="0" w:color="auto"/>
            </w:tcBorders>
            <w:shd w:val="clear" w:color="000000" w:fill="BFBFBF"/>
            <w:noWrap/>
            <w:vAlign w:val="center"/>
            <w:hideMark/>
          </w:tcPr>
          <w:p w14:paraId="27484716" w14:textId="77777777" w:rsidR="00D619B4" w:rsidRPr="000C290E" w:rsidRDefault="00D619B4" w:rsidP="001C13FB">
            <w:pPr>
              <w:jc w:val="right"/>
              <w:rPr>
                <w:b/>
                <w:bCs/>
                <w:color w:val="000000"/>
                <w:lang w:eastAsia="sk-SK"/>
              </w:rPr>
            </w:pPr>
            <w:r w:rsidRPr="000C290E">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hideMark/>
          </w:tcPr>
          <w:p w14:paraId="1ADBD4D0" w14:textId="77777777" w:rsidR="00D619B4" w:rsidRPr="00B05A3C" w:rsidRDefault="00D619B4" w:rsidP="001C13FB">
            <w:pPr>
              <w:jc w:val="right"/>
              <w:rPr>
                <w:b/>
                <w:bCs/>
                <w:color w:val="000000"/>
                <w:lang w:eastAsia="sk-SK"/>
              </w:rPr>
            </w:pPr>
            <w:r w:rsidRPr="00B05A3C">
              <w:rPr>
                <w:b/>
                <w:bCs/>
                <w:color w:val="000000"/>
              </w:rPr>
              <w:t>0</w:t>
            </w:r>
          </w:p>
        </w:tc>
        <w:tc>
          <w:tcPr>
            <w:tcW w:w="1701" w:type="dxa"/>
            <w:tcBorders>
              <w:top w:val="nil"/>
              <w:left w:val="nil"/>
              <w:bottom w:val="single" w:sz="8" w:space="0" w:color="auto"/>
              <w:right w:val="single" w:sz="8" w:space="0" w:color="auto"/>
            </w:tcBorders>
            <w:shd w:val="clear" w:color="000000" w:fill="BFBFBF"/>
            <w:noWrap/>
            <w:vAlign w:val="center"/>
            <w:hideMark/>
          </w:tcPr>
          <w:p w14:paraId="7E7FDD6A" w14:textId="77777777" w:rsidR="00D619B4" w:rsidRPr="00B05A3C" w:rsidRDefault="00D619B4" w:rsidP="001C13FB">
            <w:pPr>
              <w:jc w:val="right"/>
              <w:rPr>
                <w:b/>
                <w:bCs/>
                <w:color w:val="000000"/>
                <w:lang w:eastAsia="sk-SK"/>
              </w:rPr>
            </w:pPr>
            <w:r w:rsidRPr="00B05A3C">
              <w:rPr>
                <w:b/>
                <w:bCs/>
                <w:color w:val="000000"/>
              </w:rPr>
              <w:t>0</w:t>
            </w:r>
          </w:p>
        </w:tc>
        <w:tc>
          <w:tcPr>
            <w:tcW w:w="1418" w:type="dxa"/>
            <w:tcBorders>
              <w:top w:val="nil"/>
              <w:left w:val="nil"/>
              <w:bottom w:val="single" w:sz="8" w:space="0" w:color="auto"/>
              <w:right w:val="single" w:sz="8" w:space="0" w:color="auto"/>
            </w:tcBorders>
            <w:shd w:val="clear" w:color="000000" w:fill="BFBFBF"/>
            <w:noWrap/>
            <w:vAlign w:val="center"/>
            <w:hideMark/>
          </w:tcPr>
          <w:p w14:paraId="0A5E3202" w14:textId="77777777" w:rsidR="00D619B4" w:rsidRPr="00B05A3C" w:rsidRDefault="00D619B4" w:rsidP="001C13FB">
            <w:pPr>
              <w:jc w:val="right"/>
              <w:rPr>
                <w:b/>
                <w:bCs/>
                <w:color w:val="000000"/>
                <w:lang w:eastAsia="sk-SK"/>
              </w:rPr>
            </w:pPr>
            <w:r w:rsidRPr="00B05A3C">
              <w:rPr>
                <w:b/>
                <w:bCs/>
                <w:color w:val="000000"/>
              </w:rPr>
              <w:t>0</w:t>
            </w:r>
          </w:p>
        </w:tc>
      </w:tr>
      <w:tr w:rsidR="00D619B4" w:rsidRPr="00E0368E" w14:paraId="60606B07" w14:textId="77777777" w:rsidTr="001C13FB">
        <w:trPr>
          <w:trHeight w:val="300"/>
        </w:trPr>
        <w:tc>
          <w:tcPr>
            <w:tcW w:w="3908"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14:paraId="59F1DB75" w14:textId="77777777" w:rsidR="00D619B4" w:rsidRPr="00E0368E" w:rsidRDefault="00D619B4" w:rsidP="001C13FB">
            <w:pPr>
              <w:rPr>
                <w:b/>
                <w:bCs/>
                <w:color w:val="000000"/>
                <w:lang w:eastAsia="sk-SK"/>
              </w:rPr>
            </w:pPr>
            <w:r w:rsidRPr="00E0368E">
              <w:rPr>
                <w:b/>
                <w:bCs/>
                <w:color w:val="000000"/>
                <w:lang w:eastAsia="sk-SK"/>
              </w:rPr>
              <w:t>Rozpočtovo nekrytý vplyv / úspora</w:t>
            </w:r>
          </w:p>
        </w:tc>
        <w:tc>
          <w:tcPr>
            <w:tcW w:w="1559"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14:paraId="2E7D0114" w14:textId="77777777" w:rsidR="00D619B4" w:rsidRPr="000C290E" w:rsidRDefault="00D619B4" w:rsidP="001C13FB">
            <w:pPr>
              <w:jc w:val="right"/>
              <w:rPr>
                <w:b/>
                <w:bCs/>
                <w:color w:val="000000"/>
                <w:lang w:eastAsia="sk-SK"/>
              </w:rPr>
            </w:pPr>
            <w:r>
              <w:rPr>
                <w:b/>
                <w:bCs/>
                <w:color w:val="000000"/>
              </w:rPr>
              <w:t>387 545</w:t>
            </w:r>
          </w:p>
        </w:tc>
        <w:tc>
          <w:tcPr>
            <w:tcW w:w="1701"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14:paraId="0C9F337C" w14:textId="77777777" w:rsidR="00D619B4" w:rsidRPr="00B05A3C" w:rsidRDefault="00D619B4" w:rsidP="001C13FB">
            <w:pPr>
              <w:jc w:val="right"/>
              <w:rPr>
                <w:b/>
                <w:bCs/>
                <w:color w:val="000000"/>
                <w:lang w:eastAsia="sk-SK"/>
              </w:rPr>
            </w:pPr>
            <w:r>
              <w:rPr>
                <w:b/>
                <w:bCs/>
                <w:color w:val="000000"/>
              </w:rPr>
              <w:t>1 466 411</w:t>
            </w:r>
          </w:p>
        </w:tc>
        <w:tc>
          <w:tcPr>
            <w:tcW w:w="1701" w:type="dxa"/>
            <w:vMerge w:val="restart"/>
            <w:tcBorders>
              <w:top w:val="nil"/>
              <w:left w:val="single" w:sz="8" w:space="0" w:color="auto"/>
              <w:bottom w:val="single" w:sz="8" w:space="0" w:color="000000"/>
              <w:right w:val="single" w:sz="8" w:space="0" w:color="auto"/>
            </w:tcBorders>
            <w:shd w:val="clear" w:color="000000" w:fill="A6A6A6"/>
            <w:noWrap/>
            <w:vAlign w:val="center"/>
          </w:tcPr>
          <w:p w14:paraId="5286E002" w14:textId="77777777" w:rsidR="00D619B4" w:rsidRPr="00B05A3C" w:rsidRDefault="00D619B4" w:rsidP="001C13FB">
            <w:pPr>
              <w:jc w:val="right"/>
              <w:rPr>
                <w:b/>
                <w:bCs/>
                <w:color w:val="000000"/>
                <w:lang w:eastAsia="sk-SK"/>
              </w:rPr>
            </w:pPr>
            <w:r>
              <w:rPr>
                <w:b/>
                <w:bCs/>
                <w:color w:val="000000"/>
              </w:rPr>
              <w:t>1 466 411</w:t>
            </w:r>
          </w:p>
        </w:tc>
        <w:tc>
          <w:tcPr>
            <w:tcW w:w="1418" w:type="dxa"/>
            <w:vMerge w:val="restart"/>
            <w:tcBorders>
              <w:top w:val="nil"/>
              <w:left w:val="single" w:sz="8" w:space="0" w:color="auto"/>
              <w:bottom w:val="single" w:sz="8" w:space="0" w:color="000000"/>
              <w:right w:val="single" w:sz="8" w:space="0" w:color="auto"/>
            </w:tcBorders>
            <w:shd w:val="clear" w:color="000000" w:fill="A6A6A6"/>
            <w:noWrap/>
            <w:vAlign w:val="center"/>
            <w:hideMark/>
          </w:tcPr>
          <w:p w14:paraId="1B4C7CE7" w14:textId="77777777" w:rsidR="00D619B4" w:rsidRPr="00B05A3C" w:rsidRDefault="00D619B4" w:rsidP="001C13FB">
            <w:pPr>
              <w:jc w:val="right"/>
              <w:rPr>
                <w:b/>
                <w:bCs/>
                <w:color w:val="000000"/>
                <w:lang w:eastAsia="sk-SK"/>
              </w:rPr>
            </w:pPr>
            <w:r>
              <w:rPr>
                <w:b/>
                <w:bCs/>
                <w:color w:val="000000"/>
              </w:rPr>
              <w:t>1 841 826</w:t>
            </w:r>
          </w:p>
        </w:tc>
      </w:tr>
      <w:tr w:rsidR="00D619B4" w:rsidRPr="00E0368E" w14:paraId="66A4236C" w14:textId="77777777" w:rsidTr="001C13FB">
        <w:trPr>
          <w:trHeight w:val="509"/>
        </w:trPr>
        <w:tc>
          <w:tcPr>
            <w:tcW w:w="3908" w:type="dxa"/>
            <w:vMerge/>
            <w:tcBorders>
              <w:top w:val="nil"/>
              <w:left w:val="single" w:sz="8" w:space="0" w:color="auto"/>
              <w:bottom w:val="single" w:sz="8" w:space="0" w:color="000000"/>
              <w:right w:val="single" w:sz="8" w:space="0" w:color="auto"/>
            </w:tcBorders>
            <w:vAlign w:val="center"/>
            <w:hideMark/>
          </w:tcPr>
          <w:p w14:paraId="6DF6E5D3" w14:textId="77777777" w:rsidR="00D619B4" w:rsidRPr="00E0368E" w:rsidRDefault="00D619B4" w:rsidP="001C13FB">
            <w:pPr>
              <w:rPr>
                <w:b/>
                <w:bCs/>
                <w:color w:val="000000"/>
                <w:lang w:eastAsia="sk-SK"/>
              </w:rPr>
            </w:pPr>
          </w:p>
        </w:tc>
        <w:tc>
          <w:tcPr>
            <w:tcW w:w="1559" w:type="dxa"/>
            <w:vMerge/>
            <w:tcBorders>
              <w:top w:val="nil"/>
              <w:left w:val="single" w:sz="8" w:space="0" w:color="auto"/>
              <w:bottom w:val="single" w:sz="8" w:space="0" w:color="000000"/>
              <w:right w:val="single" w:sz="8" w:space="0" w:color="auto"/>
            </w:tcBorders>
            <w:vAlign w:val="center"/>
            <w:hideMark/>
          </w:tcPr>
          <w:p w14:paraId="33DBBA47" w14:textId="77777777" w:rsidR="00D619B4" w:rsidRPr="00E0368E" w:rsidRDefault="00D619B4" w:rsidP="001C13FB">
            <w:pPr>
              <w:rPr>
                <w:b/>
                <w:bCs/>
                <w:color w:val="000000"/>
                <w:lang w:eastAsia="sk-SK"/>
              </w:rPr>
            </w:pPr>
          </w:p>
        </w:tc>
        <w:tc>
          <w:tcPr>
            <w:tcW w:w="1701" w:type="dxa"/>
            <w:vMerge/>
            <w:tcBorders>
              <w:top w:val="nil"/>
              <w:left w:val="single" w:sz="8" w:space="0" w:color="auto"/>
              <w:bottom w:val="single" w:sz="8" w:space="0" w:color="000000"/>
              <w:right w:val="single" w:sz="8" w:space="0" w:color="auto"/>
            </w:tcBorders>
            <w:vAlign w:val="center"/>
            <w:hideMark/>
          </w:tcPr>
          <w:p w14:paraId="0F85FB8E" w14:textId="77777777" w:rsidR="00D619B4" w:rsidRPr="00E0368E" w:rsidRDefault="00D619B4" w:rsidP="001C13FB">
            <w:pPr>
              <w:rPr>
                <w:b/>
                <w:bCs/>
                <w:color w:val="000000"/>
                <w:lang w:eastAsia="sk-SK"/>
              </w:rPr>
            </w:pPr>
          </w:p>
        </w:tc>
        <w:tc>
          <w:tcPr>
            <w:tcW w:w="1701" w:type="dxa"/>
            <w:vMerge/>
            <w:tcBorders>
              <w:top w:val="nil"/>
              <w:left w:val="single" w:sz="8" w:space="0" w:color="auto"/>
              <w:bottom w:val="single" w:sz="8" w:space="0" w:color="000000"/>
              <w:right w:val="single" w:sz="8" w:space="0" w:color="auto"/>
            </w:tcBorders>
            <w:vAlign w:val="center"/>
            <w:hideMark/>
          </w:tcPr>
          <w:p w14:paraId="22102E2F" w14:textId="77777777" w:rsidR="00D619B4" w:rsidRPr="00E0368E" w:rsidRDefault="00D619B4" w:rsidP="001C13FB">
            <w:pPr>
              <w:rPr>
                <w:b/>
                <w:bCs/>
                <w:color w:val="000000"/>
                <w:lang w:eastAsia="sk-SK"/>
              </w:rPr>
            </w:pPr>
          </w:p>
        </w:tc>
        <w:tc>
          <w:tcPr>
            <w:tcW w:w="1418" w:type="dxa"/>
            <w:vMerge/>
            <w:tcBorders>
              <w:top w:val="nil"/>
              <w:left w:val="single" w:sz="8" w:space="0" w:color="auto"/>
              <w:bottom w:val="single" w:sz="8" w:space="0" w:color="000000"/>
              <w:right w:val="single" w:sz="8" w:space="0" w:color="auto"/>
            </w:tcBorders>
            <w:vAlign w:val="center"/>
            <w:hideMark/>
          </w:tcPr>
          <w:p w14:paraId="61C8925F" w14:textId="77777777" w:rsidR="00D619B4" w:rsidRPr="00E0368E" w:rsidRDefault="00D619B4" w:rsidP="001C13FB">
            <w:pPr>
              <w:rPr>
                <w:b/>
                <w:bCs/>
                <w:color w:val="000000"/>
                <w:lang w:eastAsia="sk-SK"/>
              </w:rPr>
            </w:pPr>
          </w:p>
        </w:tc>
      </w:tr>
    </w:tbl>
    <w:p w14:paraId="41EFC911" w14:textId="77777777" w:rsidR="00D619B4" w:rsidRDefault="00D619B4" w:rsidP="00D619B4">
      <w:pPr>
        <w:rPr>
          <w:sz w:val="20"/>
          <w:szCs w:val="20"/>
          <w:lang w:eastAsia="sk-SK"/>
        </w:rPr>
      </w:pPr>
    </w:p>
    <w:p w14:paraId="27015B0F" w14:textId="77777777" w:rsidR="00D619B4" w:rsidRDefault="00D619B4" w:rsidP="00D619B4">
      <w:pPr>
        <w:rPr>
          <w:b/>
          <w:bCs/>
          <w:lang w:eastAsia="sk-SK"/>
        </w:rPr>
      </w:pPr>
      <w:r>
        <w:rPr>
          <w:b/>
          <w:bCs/>
          <w:lang w:eastAsia="sk-SK"/>
        </w:rPr>
        <w:br w:type="page"/>
      </w:r>
    </w:p>
    <w:p w14:paraId="7A0F05AB" w14:textId="77777777" w:rsidR="00D619B4" w:rsidRDefault="00D619B4" w:rsidP="00D619B4">
      <w:pPr>
        <w:rPr>
          <w:b/>
          <w:bCs/>
          <w:lang w:eastAsia="sk-SK"/>
        </w:rPr>
      </w:pPr>
    </w:p>
    <w:p w14:paraId="2D596C4E" w14:textId="77777777" w:rsidR="00D619B4" w:rsidRPr="007D5748" w:rsidRDefault="00D619B4" w:rsidP="00D619B4">
      <w:pPr>
        <w:rPr>
          <w:b/>
          <w:bCs/>
          <w:lang w:eastAsia="sk-SK"/>
        </w:rPr>
      </w:pPr>
    </w:p>
    <w:p w14:paraId="5A9CB77D" w14:textId="77777777" w:rsidR="00D619B4" w:rsidRPr="007D5748" w:rsidRDefault="00D619B4" w:rsidP="00D619B4">
      <w:pPr>
        <w:rPr>
          <w:b/>
          <w:bCs/>
          <w:lang w:eastAsia="sk-SK"/>
        </w:rPr>
      </w:pPr>
      <w:r w:rsidRPr="007D5748">
        <w:rPr>
          <w:b/>
          <w:bCs/>
          <w:lang w:eastAsia="sk-SK"/>
        </w:rPr>
        <w:t>2.1.1. Financovanie návrhu - Návrh na riešenie úbytku príjmov alebo zvýšených výdavkov podľa § 33 ods. 1 zákona č. 523/2004 Z. z. o rozpočtových pravidlách verejnej správy:</w:t>
      </w:r>
    </w:p>
    <w:p w14:paraId="4938175E" w14:textId="77777777" w:rsidR="00D619B4" w:rsidRPr="007D5748" w:rsidRDefault="00D619B4" w:rsidP="00D619B4">
      <w:pPr>
        <w:jc w:val="both"/>
        <w:rPr>
          <w:b/>
          <w:bCs/>
          <w:sz w:val="12"/>
          <w:lang w:eastAsia="sk-SK"/>
        </w:rPr>
      </w:pPr>
    </w:p>
    <w:p w14:paraId="02B9DABE" w14:textId="77777777" w:rsidR="00D619B4" w:rsidRPr="00D91CAA" w:rsidRDefault="00D619B4" w:rsidP="00D619B4">
      <w:pPr>
        <w:pBdr>
          <w:top w:val="single" w:sz="4" w:space="1" w:color="auto"/>
          <w:left w:val="single" w:sz="4" w:space="4" w:color="auto"/>
          <w:bottom w:val="single" w:sz="4" w:space="0" w:color="auto"/>
          <w:right w:val="single" w:sz="4" w:space="4" w:color="auto"/>
        </w:pBdr>
        <w:jc w:val="both"/>
        <w:rPr>
          <w:b/>
          <w:bCs/>
          <w:lang w:eastAsia="sk-SK"/>
        </w:rPr>
      </w:pPr>
      <w:r w:rsidRPr="00D91CAA">
        <w:rPr>
          <w:b/>
          <w:bCs/>
          <w:lang w:eastAsia="sk-SK"/>
        </w:rPr>
        <w:t xml:space="preserve">Financovanie návrhu </w:t>
      </w:r>
      <w:r>
        <w:rPr>
          <w:b/>
          <w:bCs/>
          <w:lang w:eastAsia="sk-SK"/>
        </w:rPr>
        <w:t xml:space="preserve">zákona </w:t>
      </w:r>
      <w:r w:rsidRPr="00D91CAA">
        <w:rPr>
          <w:b/>
          <w:bCs/>
          <w:lang w:eastAsia="sk-SK"/>
        </w:rPr>
        <w:t>je zabezpečené iba čiastočne</w:t>
      </w:r>
      <w:r>
        <w:rPr>
          <w:b/>
          <w:bCs/>
          <w:lang w:eastAsia="sk-SK"/>
        </w:rPr>
        <w:t>,</w:t>
      </w:r>
      <w:r w:rsidRPr="00D91CAA">
        <w:rPr>
          <w:b/>
          <w:bCs/>
          <w:lang w:eastAsia="sk-SK"/>
        </w:rPr>
        <w:t xml:space="preserve"> a to prostredníctvom </w:t>
      </w:r>
      <w:r>
        <w:rPr>
          <w:b/>
          <w:bCs/>
          <w:lang w:eastAsia="sk-SK"/>
        </w:rPr>
        <w:t>M</w:t>
      </w:r>
      <w:r w:rsidRPr="00D91CAA">
        <w:rPr>
          <w:b/>
          <w:bCs/>
          <w:lang w:eastAsia="sk-SK"/>
        </w:rPr>
        <w:t xml:space="preserve">echanizmu na podporu plánu obnovy a odolnosti, Komponent 17, Investícia č. </w:t>
      </w:r>
      <w:r>
        <w:rPr>
          <w:b/>
          <w:bCs/>
          <w:lang w:eastAsia="sk-SK"/>
        </w:rPr>
        <w:t>6</w:t>
      </w:r>
      <w:r w:rsidRPr="00D91CAA">
        <w:rPr>
          <w:b/>
          <w:bCs/>
          <w:lang w:eastAsia="sk-SK"/>
        </w:rPr>
        <w:t xml:space="preserve"> Posilnenie preventívnych opatrení, zvýšenie rýchlosti detekcie a riešenia incidentov (ITVS), programová klasifikácia č. 0ET0B08. </w:t>
      </w:r>
    </w:p>
    <w:p w14:paraId="2F09501D" w14:textId="77777777" w:rsidR="00D619B4" w:rsidRDefault="00D619B4" w:rsidP="00D619B4">
      <w:pPr>
        <w:pBdr>
          <w:top w:val="single" w:sz="4" w:space="1" w:color="auto"/>
          <w:left w:val="single" w:sz="4" w:space="4" w:color="auto"/>
          <w:bottom w:val="single" w:sz="4" w:space="0" w:color="auto"/>
          <w:right w:val="single" w:sz="4" w:space="4" w:color="auto"/>
        </w:pBdr>
        <w:jc w:val="both"/>
        <w:rPr>
          <w:b/>
          <w:bCs/>
          <w:lang w:eastAsia="sk-SK"/>
        </w:rPr>
      </w:pPr>
      <w:r w:rsidRPr="00D91CAA">
        <w:rPr>
          <w:b/>
          <w:bCs/>
          <w:lang w:eastAsia="sk-SK"/>
        </w:rPr>
        <w:t xml:space="preserve">Financovanie návrhu zákona na roky 2023 až 2026 pre pokrytie zákonných úloh vládnej jednotky CSIRT a vybudovanie tímu IT špecialistov na kybernetickú a informačnú bezpečnosť pre sektor informačné systémy verejnej správy je nevyhnutné riešiť navýšením limitu výdavkov rozpočtovej kapitoly Ministerstva investícií, regionálneho rozvoja a informatizácie Slovenskej republiky (ďalej len „MIRRI SR“) na príslušné roky </w:t>
      </w:r>
      <w:r>
        <w:rPr>
          <w:b/>
          <w:bCs/>
          <w:lang w:eastAsia="sk-SK"/>
        </w:rPr>
        <w:t>podľa</w:t>
      </w:r>
      <w:r w:rsidRPr="00D91CAA">
        <w:rPr>
          <w:b/>
          <w:bCs/>
          <w:lang w:eastAsia="sk-SK"/>
        </w:rPr>
        <w:t xml:space="preserve"> tabuľky č. 1 prostredníctvom kapito</w:t>
      </w:r>
      <w:r>
        <w:rPr>
          <w:b/>
          <w:bCs/>
          <w:lang w:eastAsia="sk-SK"/>
        </w:rPr>
        <w:t>ly Všeobecná pokladničná správa, vzhľadom na skutočnosť, že finančné prostriedky z Mechanizmu na podporu plánu obnovy a odolnosti sú nedostatočné v porovnaní s alokáciou na pokrytie miezd pre špecialistov</w:t>
      </w:r>
      <w:r w:rsidRPr="00D91CAA">
        <w:rPr>
          <w:b/>
          <w:bCs/>
          <w:lang w:eastAsia="sk-SK"/>
        </w:rPr>
        <w:t xml:space="preserve"> </w:t>
      </w:r>
      <w:r>
        <w:rPr>
          <w:b/>
          <w:bCs/>
          <w:lang w:eastAsia="sk-SK"/>
        </w:rPr>
        <w:t>na informačnú a kybernetickú bezpečnosť podľa tabuľky v bode 2.2.4.</w:t>
      </w:r>
    </w:p>
    <w:p w14:paraId="13533F02" w14:textId="77777777" w:rsidR="00D619B4" w:rsidRDefault="00D619B4" w:rsidP="00D619B4">
      <w:pPr>
        <w:pBdr>
          <w:top w:val="single" w:sz="4" w:space="1" w:color="auto"/>
          <w:left w:val="single" w:sz="4" w:space="4" w:color="auto"/>
          <w:bottom w:val="single" w:sz="4" w:space="0" w:color="auto"/>
          <w:right w:val="single" w:sz="4" w:space="4" w:color="auto"/>
        </w:pBdr>
        <w:jc w:val="both"/>
        <w:rPr>
          <w:b/>
          <w:bCs/>
          <w:lang w:eastAsia="sk-SK"/>
        </w:rPr>
      </w:pPr>
      <w:r>
        <w:rPr>
          <w:b/>
          <w:bCs/>
          <w:lang w:eastAsia="sk-SK"/>
        </w:rPr>
        <w:t>Návrh zohľadňuje, že rozpočet investície</w:t>
      </w:r>
      <w:r w:rsidRPr="00D91CAA">
        <w:rPr>
          <w:b/>
          <w:bCs/>
          <w:lang w:eastAsia="sk-SK"/>
        </w:rPr>
        <w:t xml:space="preserve"> č. </w:t>
      </w:r>
      <w:r>
        <w:rPr>
          <w:b/>
          <w:bCs/>
          <w:lang w:eastAsia="sk-SK"/>
        </w:rPr>
        <w:t>6</w:t>
      </w:r>
      <w:r w:rsidRPr="00D91CAA">
        <w:rPr>
          <w:b/>
          <w:bCs/>
          <w:lang w:eastAsia="sk-SK"/>
        </w:rPr>
        <w:t xml:space="preserve"> Posilnenie preventívnych opatrení, zvýšenie rýchlosti detekci</w:t>
      </w:r>
      <w:r>
        <w:rPr>
          <w:b/>
          <w:bCs/>
          <w:lang w:eastAsia="sk-SK"/>
        </w:rPr>
        <w:t>e a riešenia incidentov (ITVS) pokrýva mzdové náklady pre spolu 7 pracovných miest špecialistov na kybernetickú bezpečnosť z celkového vplyvu na rozpočet verejnej správy.</w:t>
      </w:r>
    </w:p>
    <w:p w14:paraId="7BA4EB5E" w14:textId="77777777" w:rsidR="00D619B4" w:rsidRDefault="00D619B4" w:rsidP="00D619B4">
      <w:pPr>
        <w:pBdr>
          <w:top w:val="single" w:sz="4" w:space="1" w:color="auto"/>
          <w:left w:val="single" w:sz="4" w:space="4" w:color="auto"/>
          <w:bottom w:val="single" w:sz="4" w:space="0" w:color="auto"/>
          <w:right w:val="single" w:sz="4" w:space="4" w:color="auto"/>
        </w:pBdr>
        <w:jc w:val="both"/>
        <w:rPr>
          <w:b/>
          <w:bCs/>
          <w:lang w:eastAsia="sk-SK"/>
        </w:rPr>
      </w:pPr>
      <w:r>
        <w:rPr>
          <w:b/>
          <w:bCs/>
          <w:lang w:eastAsia="sk-SK"/>
        </w:rPr>
        <w:t>Prognóza obsadzovania miest zamestnancami na rok 2023 zohľadňuje postupný nárast činnosti vládnej jednotky CSIRT vyplývajúci z návrhu a plynulý nábor nových zamestnancov. Tieto mzdové náklady budú od času účinnosti  navrhovanej novely zákona do konca roka 2023 kryté finančnými prostriedkami z Mechanizmu na podporu plánu obnovy a odolnosti.</w:t>
      </w:r>
    </w:p>
    <w:p w14:paraId="00E66578" w14:textId="77777777" w:rsidR="00D619B4" w:rsidRPr="0008542F" w:rsidRDefault="00D619B4" w:rsidP="00D619B4">
      <w:pPr>
        <w:pBdr>
          <w:top w:val="single" w:sz="4" w:space="1" w:color="auto"/>
          <w:left w:val="single" w:sz="4" w:space="4" w:color="auto"/>
          <w:bottom w:val="single" w:sz="4" w:space="0" w:color="auto"/>
          <w:right w:val="single" w:sz="4" w:space="4" w:color="auto"/>
        </w:pBdr>
        <w:jc w:val="both"/>
        <w:rPr>
          <w:b/>
          <w:bCs/>
          <w:lang w:eastAsia="sk-SK"/>
        </w:rPr>
      </w:pPr>
      <w:r w:rsidRPr="0008542F">
        <w:rPr>
          <w:b/>
          <w:bCs/>
          <w:lang w:eastAsia="sk-SK"/>
        </w:rPr>
        <w:t>Návrh zákona ustanovuje základ pre určenie pojmov používaných vo Vyhláške č.</w:t>
      </w:r>
      <w:r>
        <w:rPr>
          <w:b/>
          <w:bCs/>
          <w:lang w:eastAsia="sk-SK"/>
        </w:rPr>
        <w:t xml:space="preserve"> </w:t>
      </w:r>
      <w:r w:rsidRPr="0008542F">
        <w:rPr>
          <w:b/>
          <w:bCs/>
          <w:lang w:eastAsia="sk-SK"/>
        </w:rPr>
        <w:t>547/2021 Z.</w:t>
      </w:r>
      <w:r>
        <w:rPr>
          <w:b/>
          <w:bCs/>
          <w:lang w:eastAsia="sk-SK"/>
        </w:rPr>
        <w:t xml:space="preserve"> </w:t>
      </w:r>
      <w:r w:rsidRPr="0008542F">
        <w:rPr>
          <w:b/>
          <w:bCs/>
          <w:lang w:eastAsia="sk-SK"/>
        </w:rPr>
        <w:t xml:space="preserve">z. o elektronizácii agendy verejnej správy, ktorá upravuje povinnosti správcu informačných systémov s ohľadom na používateľskú skúsenosť elektronických služieb. Zároveň určuje priorizáciu elektronických služieb na základe identifikačných kritérií, ktoré budú určené v štandardoch a predkladanie zámeru vytvorenia alebo zmenu prioritnej elektronickej služby. Spôsob a vzor vytvárania zámeru vytvorenia alebo zlepšenia elektronickej služby bude určený metodických usmernením. </w:t>
      </w:r>
      <w:r>
        <w:rPr>
          <w:b/>
          <w:bCs/>
          <w:lang w:eastAsia="sk-SK"/>
        </w:rPr>
        <w:t>Z uvedeného dôvodu je potrebné navýšiť financovanie zo štátneho rozpočtu pre Ministerstvo dopravy SR a pre Ministerstvo vnútra SR podľa tabuľky č. 1.</w:t>
      </w:r>
    </w:p>
    <w:p w14:paraId="21CF6ADD" w14:textId="4FA07292" w:rsidR="00D619B4" w:rsidRPr="007D5748" w:rsidRDefault="004920B6" w:rsidP="00D619B4">
      <w:pPr>
        <w:pBdr>
          <w:top w:val="single" w:sz="4" w:space="1" w:color="auto"/>
          <w:left w:val="single" w:sz="4" w:space="4" w:color="auto"/>
          <w:bottom w:val="single" w:sz="4" w:space="0" w:color="auto"/>
          <w:right w:val="single" w:sz="4" w:space="4" w:color="auto"/>
        </w:pBdr>
        <w:jc w:val="both"/>
        <w:rPr>
          <w:b/>
          <w:bCs/>
          <w:lang w:eastAsia="sk-SK"/>
        </w:rPr>
      </w:pPr>
      <w:r>
        <w:rPr>
          <w:b/>
          <w:bCs/>
          <w:lang w:eastAsia="sk-SK"/>
        </w:rPr>
        <w:t>K financovaniu návrhu uvádzame, že nárokované mzdové výdavky na rok 2023 budú zabezpečené z rozpočtu verejnej správy.  Vyčíslené mzdové výdavky na roky 2024 - 2026 budú predmetom rokovania o návrhu štátneho rozpočtu v rokoch 2024-2026.</w:t>
      </w:r>
    </w:p>
    <w:p w14:paraId="2D435197" w14:textId="77777777" w:rsidR="00D619B4" w:rsidRPr="007D5748" w:rsidRDefault="00D619B4" w:rsidP="00D619B4">
      <w:pPr>
        <w:rPr>
          <w:b/>
          <w:bCs/>
          <w:lang w:eastAsia="sk-SK"/>
        </w:rPr>
      </w:pPr>
      <w:r w:rsidRPr="007D5748">
        <w:rPr>
          <w:b/>
          <w:bCs/>
          <w:lang w:eastAsia="sk-SK"/>
        </w:rPr>
        <w:t>2.2. Popis a charakteristika návrhu</w:t>
      </w:r>
    </w:p>
    <w:p w14:paraId="0A9DE0C4" w14:textId="77777777" w:rsidR="00D619B4" w:rsidRPr="007D5748" w:rsidRDefault="00D619B4" w:rsidP="00D619B4">
      <w:pPr>
        <w:rPr>
          <w:lang w:eastAsia="sk-SK"/>
        </w:rPr>
      </w:pPr>
    </w:p>
    <w:p w14:paraId="65C4854C" w14:textId="77777777" w:rsidR="00D619B4" w:rsidRPr="007D5748" w:rsidRDefault="00D619B4" w:rsidP="00D619B4">
      <w:pPr>
        <w:jc w:val="both"/>
        <w:rPr>
          <w:b/>
          <w:bCs/>
          <w:lang w:eastAsia="sk-SK"/>
        </w:rPr>
      </w:pPr>
      <w:r w:rsidRPr="007D5748">
        <w:rPr>
          <w:b/>
          <w:bCs/>
          <w:lang w:eastAsia="sk-SK"/>
        </w:rPr>
        <w:t>2.2.1. Popis návrhu:</w:t>
      </w:r>
    </w:p>
    <w:p w14:paraId="3F3A9EBF" w14:textId="77777777" w:rsidR="00D619B4" w:rsidRPr="007D5748" w:rsidRDefault="00D619B4" w:rsidP="00D619B4">
      <w:pPr>
        <w:jc w:val="both"/>
        <w:rPr>
          <w:b/>
          <w:bCs/>
          <w:lang w:eastAsia="sk-SK"/>
        </w:rPr>
      </w:pPr>
    </w:p>
    <w:p w14:paraId="46E8D75C" w14:textId="77777777" w:rsidR="00D619B4" w:rsidRPr="007D5748" w:rsidRDefault="00D619B4" w:rsidP="00D619B4">
      <w:pPr>
        <w:ind w:firstLine="708"/>
        <w:jc w:val="both"/>
        <w:rPr>
          <w:lang w:eastAsia="sk-SK"/>
        </w:rPr>
      </w:pPr>
      <w:r w:rsidRPr="007D5748">
        <w:rPr>
          <w:lang w:eastAsia="sk-SK"/>
        </w:rPr>
        <w:t>Akú problematiku návrh rieši? Kto bude návrh implementovať? Kde sa budú služby poskytovať?</w:t>
      </w:r>
    </w:p>
    <w:p w14:paraId="62DE34E4" w14:textId="77777777" w:rsidR="00D619B4" w:rsidRPr="00D91CAA" w:rsidRDefault="00D619B4" w:rsidP="00D619B4">
      <w:pPr>
        <w:ind w:firstLine="708"/>
        <w:jc w:val="both"/>
        <w:rPr>
          <w:lang w:eastAsia="sk-SK"/>
        </w:rPr>
      </w:pPr>
      <w:r>
        <w:rPr>
          <w:lang w:eastAsia="sk-SK"/>
        </w:rPr>
        <w:t>N</w:t>
      </w:r>
      <w:r w:rsidRPr="00D91CAA">
        <w:rPr>
          <w:lang w:eastAsia="sk-SK"/>
        </w:rPr>
        <w:t>ávrh</w:t>
      </w:r>
      <w:r>
        <w:rPr>
          <w:lang w:eastAsia="sk-SK"/>
        </w:rPr>
        <w:t xml:space="preserve"> zákona</w:t>
      </w:r>
      <w:r w:rsidRPr="00D91CAA">
        <w:rPr>
          <w:lang w:eastAsia="sk-SK"/>
        </w:rPr>
        <w:t xml:space="preserve"> reaguje na aplikačnú prax a na riešenie kybernetických bezpečnostných incidentov, resp. aktivity smerované k ich predchádzaniu. Obsahuje určenie nových a doplnenie úloh vládnej jednotky CSIRT, ktoré sa týkajú jej celonárodnej pôsobnosti v rámci podsektoru informačné systémy verejnej správy vyplývajúcej zo zákona č. 69/2018 Z. z. o kybernetickej bezpečnosti a o doplnení niektorých zákonov v </w:t>
      </w:r>
      <w:r>
        <w:rPr>
          <w:lang w:eastAsia="sk-SK"/>
        </w:rPr>
        <w:t>znení</w:t>
      </w:r>
      <w:r w:rsidRPr="00D91CAA">
        <w:rPr>
          <w:lang w:eastAsia="sk-SK"/>
        </w:rPr>
        <w:t xml:space="preserve"> neskorších predpisov. </w:t>
      </w:r>
    </w:p>
    <w:p w14:paraId="01A00272" w14:textId="77777777" w:rsidR="00D619B4" w:rsidRPr="00D91CAA" w:rsidRDefault="00D619B4" w:rsidP="00D619B4">
      <w:pPr>
        <w:jc w:val="both"/>
        <w:rPr>
          <w:lang w:eastAsia="sk-SK"/>
        </w:rPr>
      </w:pPr>
      <w:r w:rsidRPr="00D91CAA">
        <w:rPr>
          <w:lang w:eastAsia="sk-SK"/>
        </w:rPr>
        <w:tab/>
        <w:t xml:space="preserve">Navrhované ustanovenie </w:t>
      </w:r>
      <w:r>
        <w:rPr>
          <w:lang w:eastAsia="sk-SK"/>
        </w:rPr>
        <w:t xml:space="preserve">§ 23a ods. 2 </w:t>
      </w:r>
      <w:r w:rsidRPr="00D91CAA">
        <w:rPr>
          <w:lang w:eastAsia="sk-SK"/>
        </w:rPr>
        <w:t xml:space="preserve">zavádza novú činnosť orgánu vedenia a vládnej jednotky CSIRT, ktorá spočíva v službách nepretržitého monitorovania. Služby nepretržitého monitorovania podľa </w:t>
      </w:r>
      <w:r>
        <w:rPr>
          <w:lang w:eastAsia="sk-SK"/>
        </w:rPr>
        <w:t xml:space="preserve">§ 23a ods. 2 </w:t>
      </w:r>
      <w:r w:rsidRPr="00D91CAA">
        <w:rPr>
          <w:lang w:eastAsia="sk-SK"/>
        </w:rPr>
        <w:t>písm</w:t>
      </w:r>
      <w:r>
        <w:rPr>
          <w:lang w:eastAsia="sk-SK"/>
        </w:rPr>
        <w:t>.</w:t>
      </w:r>
      <w:r w:rsidRPr="00D91CAA">
        <w:rPr>
          <w:lang w:eastAsia="sk-SK"/>
        </w:rPr>
        <w:t xml:space="preserve"> a) spoločne s rozvitím zberu centralizácie informácii o kybernetickej bezpečnosti verejnej správy podľa písm</w:t>
      </w:r>
      <w:r>
        <w:rPr>
          <w:lang w:eastAsia="sk-SK"/>
        </w:rPr>
        <w:t>.</w:t>
      </w:r>
      <w:r w:rsidRPr="00D91CAA">
        <w:rPr>
          <w:lang w:eastAsia="sk-SK"/>
        </w:rPr>
        <w:t xml:space="preserve"> c) a d) a zároveň s neinvazívnymi testovaniami podľa písm</w:t>
      </w:r>
      <w:r>
        <w:rPr>
          <w:lang w:eastAsia="sk-SK"/>
        </w:rPr>
        <w:t>.</w:t>
      </w:r>
      <w:r w:rsidRPr="00D91CAA">
        <w:rPr>
          <w:lang w:eastAsia="sk-SK"/>
        </w:rPr>
        <w:t xml:space="preserve"> b) tvoria základ prechodu kybernetickej bezpečnosti verejnej správy z reaktívnej bezpečnosti k proaktívnej kybernetickej bezpečnosti. Najvýraznejšou črtou proaktívnej bezpečnosti je najmä silnejší prevenčný efekt ako pri reaktívnych činnostiach v rámci kybernetickej bezpečnosti.</w:t>
      </w:r>
    </w:p>
    <w:p w14:paraId="728A8D4D" w14:textId="77777777" w:rsidR="00D619B4" w:rsidRDefault="00D619B4" w:rsidP="00D619B4">
      <w:pPr>
        <w:jc w:val="both"/>
        <w:rPr>
          <w:lang w:eastAsia="sk-SK"/>
        </w:rPr>
      </w:pPr>
    </w:p>
    <w:p w14:paraId="485BC486" w14:textId="77777777" w:rsidR="00D619B4" w:rsidRDefault="00D619B4" w:rsidP="00D619B4">
      <w:pPr>
        <w:jc w:val="both"/>
        <w:rPr>
          <w:lang w:eastAsia="sk-SK"/>
        </w:rPr>
      </w:pPr>
      <w:r>
        <w:rPr>
          <w:lang w:eastAsia="sk-SK"/>
        </w:rPr>
        <w:tab/>
        <w:t xml:space="preserve">Návrh zákona ustanovuje základ pre určenie pojmov používaných vo Vyhláške č.547/2021 Z.z. o elektronizácii agendy verejnej správy, ktorá upravuje povinnosti správcu informačných systémov s ohľadom na používateľskú skúsenosť elektronických služieb. Zároveň určuje priorizáciu elektronických služieb na základe identifikačných kritérií, ktoré budú určené v štandardoch a predkladanie zámeru vytvorenia alebo zmenu prioritnej elektronickej služby. Spôsob a vzor vytvárania zámeru vytvorenia alebo zlepšenia elektronickej služby bude určený metodických usmernením. </w:t>
      </w:r>
    </w:p>
    <w:p w14:paraId="038F304F" w14:textId="77777777" w:rsidR="00D619B4" w:rsidRDefault="00D619B4" w:rsidP="00D619B4">
      <w:pPr>
        <w:jc w:val="both"/>
        <w:rPr>
          <w:lang w:eastAsia="sk-SK"/>
        </w:rPr>
      </w:pPr>
    </w:p>
    <w:p w14:paraId="273D0232" w14:textId="77777777" w:rsidR="00D619B4" w:rsidRDefault="00D619B4" w:rsidP="00D619B4">
      <w:pPr>
        <w:jc w:val="both"/>
        <w:rPr>
          <w:lang w:eastAsia="sk-SK"/>
        </w:rPr>
      </w:pPr>
      <w:r>
        <w:rPr>
          <w:lang w:eastAsia="sk-SK"/>
        </w:rPr>
        <w:t xml:space="preserve">Povinnosť postupovať podľa Vyhlášky 547/2021 Z. z. majú orgány riadenia podľa </w:t>
      </w:r>
      <w:r w:rsidRPr="0061032C">
        <w:rPr>
          <w:lang w:eastAsia="sk-SK"/>
        </w:rPr>
        <w:t xml:space="preserve">zákona č. 95/2019 Z. z.  o informačných technológiách vo verejnej správe </w:t>
      </w:r>
      <w:r>
        <w:rPr>
          <w:lang w:eastAsia="sk-SK"/>
        </w:rPr>
        <w:t xml:space="preserve">a dodávatelia IT pri projektoch elektronizácie agendy verejnej správy. </w:t>
      </w:r>
    </w:p>
    <w:p w14:paraId="6A89F42E" w14:textId="77777777" w:rsidR="00D619B4" w:rsidRDefault="00D619B4" w:rsidP="00D619B4">
      <w:pPr>
        <w:jc w:val="both"/>
        <w:rPr>
          <w:lang w:eastAsia="sk-SK"/>
        </w:rPr>
      </w:pPr>
    </w:p>
    <w:p w14:paraId="49697582" w14:textId="77777777" w:rsidR="00D619B4" w:rsidRPr="007D5748" w:rsidRDefault="00D619B4" w:rsidP="00D619B4">
      <w:pPr>
        <w:jc w:val="both"/>
        <w:rPr>
          <w:lang w:eastAsia="sk-SK"/>
        </w:rPr>
      </w:pPr>
    </w:p>
    <w:p w14:paraId="6DCDCC2C" w14:textId="77777777" w:rsidR="00D619B4" w:rsidRPr="007D5748" w:rsidRDefault="00D619B4" w:rsidP="00D619B4">
      <w:pPr>
        <w:rPr>
          <w:b/>
          <w:bCs/>
          <w:lang w:eastAsia="sk-SK"/>
        </w:rPr>
      </w:pPr>
      <w:r w:rsidRPr="007D5748">
        <w:rPr>
          <w:b/>
          <w:bCs/>
          <w:lang w:eastAsia="sk-SK"/>
        </w:rPr>
        <w:t>2.2.2. Charakteristika návrhu:</w:t>
      </w:r>
    </w:p>
    <w:p w14:paraId="0B1EACEC" w14:textId="77777777" w:rsidR="00D619B4" w:rsidRPr="007D5748" w:rsidRDefault="00D619B4" w:rsidP="00D619B4">
      <w:pPr>
        <w:rPr>
          <w:lang w:eastAsia="sk-SK"/>
        </w:rPr>
      </w:pPr>
    </w:p>
    <w:p w14:paraId="32DC93CE" w14:textId="77777777" w:rsidR="00D619B4" w:rsidRPr="007D5748" w:rsidRDefault="00D619B4" w:rsidP="00D619B4">
      <w:pPr>
        <w:rPr>
          <w:lang w:eastAsia="sk-SK"/>
        </w:rPr>
      </w:pPr>
      <w:r w:rsidRPr="007D5748">
        <w:rPr>
          <w:b/>
          <w:bdr w:val="single" w:sz="4" w:space="0" w:color="auto"/>
          <w:lang w:eastAsia="sk-SK"/>
        </w:rPr>
        <w:t xml:space="preserve">     </w:t>
      </w:r>
      <w:r w:rsidRPr="007D5748">
        <w:rPr>
          <w:b/>
          <w:lang w:eastAsia="sk-SK"/>
        </w:rPr>
        <w:t xml:space="preserve">  </w:t>
      </w:r>
      <w:r w:rsidRPr="007D5748">
        <w:rPr>
          <w:lang w:eastAsia="sk-SK"/>
        </w:rPr>
        <w:t>zmena sadzby</w:t>
      </w:r>
    </w:p>
    <w:p w14:paraId="531F16E8" w14:textId="77777777" w:rsidR="00D619B4" w:rsidRPr="007D5748" w:rsidRDefault="00D619B4" w:rsidP="00D619B4">
      <w:pPr>
        <w:rPr>
          <w:lang w:eastAsia="sk-SK"/>
        </w:rPr>
      </w:pPr>
      <w:r w:rsidRPr="007D5748">
        <w:rPr>
          <w:bdr w:val="single" w:sz="4" w:space="0" w:color="auto"/>
          <w:lang w:eastAsia="sk-SK"/>
        </w:rPr>
        <w:t xml:space="preserve">     </w:t>
      </w:r>
      <w:r w:rsidRPr="007D5748">
        <w:rPr>
          <w:lang w:eastAsia="sk-SK"/>
        </w:rPr>
        <w:t xml:space="preserve">  zmena v nároku</w:t>
      </w:r>
    </w:p>
    <w:p w14:paraId="6ABEB0A6" w14:textId="77777777" w:rsidR="00D619B4" w:rsidRPr="007D5748" w:rsidRDefault="00D619B4" w:rsidP="00D619B4">
      <w:pPr>
        <w:rPr>
          <w:lang w:eastAsia="sk-SK"/>
        </w:rPr>
      </w:pPr>
      <w:r w:rsidRPr="007D5748">
        <w:rPr>
          <w:bdr w:val="single" w:sz="4" w:space="0" w:color="auto"/>
          <w:lang w:eastAsia="sk-SK"/>
        </w:rPr>
        <w:t xml:space="preserve">   </w:t>
      </w:r>
      <w:r>
        <w:rPr>
          <w:bdr w:val="single" w:sz="4" w:space="0" w:color="auto"/>
          <w:lang w:eastAsia="sk-SK"/>
        </w:rPr>
        <w:t>x</w:t>
      </w:r>
      <w:r w:rsidRPr="007D5748">
        <w:rPr>
          <w:bdr w:val="single" w:sz="4" w:space="0" w:color="auto"/>
          <w:lang w:eastAsia="sk-SK"/>
        </w:rPr>
        <w:t xml:space="preserve">  </w:t>
      </w:r>
      <w:r w:rsidRPr="007D5748">
        <w:rPr>
          <w:lang w:eastAsia="sk-SK"/>
        </w:rPr>
        <w:t xml:space="preserve">  nová služba alebo nariadenie (alebo ich zrušenie)</w:t>
      </w:r>
    </w:p>
    <w:p w14:paraId="308BBF80" w14:textId="77777777" w:rsidR="00D619B4" w:rsidRPr="007D5748" w:rsidRDefault="00D619B4" w:rsidP="00D619B4">
      <w:pPr>
        <w:rPr>
          <w:lang w:eastAsia="sk-SK"/>
        </w:rPr>
      </w:pPr>
      <w:r w:rsidRPr="007D5748">
        <w:rPr>
          <w:bdr w:val="single" w:sz="4" w:space="0" w:color="auto"/>
          <w:lang w:eastAsia="sk-SK"/>
        </w:rPr>
        <w:t xml:space="preserve">     </w:t>
      </w:r>
      <w:r w:rsidRPr="007D5748">
        <w:rPr>
          <w:lang w:eastAsia="sk-SK"/>
        </w:rPr>
        <w:t xml:space="preserve">  kombinovaný návrh</w:t>
      </w:r>
    </w:p>
    <w:p w14:paraId="7C3E5A41" w14:textId="77777777" w:rsidR="00D619B4" w:rsidRPr="007D5748" w:rsidRDefault="00D619B4" w:rsidP="00D619B4">
      <w:pPr>
        <w:rPr>
          <w:lang w:eastAsia="sk-SK"/>
        </w:rPr>
      </w:pPr>
      <w:r w:rsidRPr="007D5748">
        <w:rPr>
          <w:bdr w:val="single" w:sz="4" w:space="0" w:color="auto"/>
          <w:lang w:eastAsia="sk-SK"/>
        </w:rPr>
        <w:t xml:space="preserve">     </w:t>
      </w:r>
      <w:r w:rsidRPr="007D5748">
        <w:rPr>
          <w:lang w:eastAsia="sk-SK"/>
        </w:rPr>
        <w:t xml:space="preserve">  iné </w:t>
      </w:r>
    </w:p>
    <w:p w14:paraId="7F1957C3" w14:textId="77777777" w:rsidR="00D619B4" w:rsidRPr="007D5748" w:rsidRDefault="00D619B4" w:rsidP="00D619B4">
      <w:pPr>
        <w:rPr>
          <w:lang w:eastAsia="sk-SK"/>
        </w:rPr>
      </w:pPr>
    </w:p>
    <w:p w14:paraId="0A48C044" w14:textId="77777777" w:rsidR="00D619B4" w:rsidRPr="007D5748" w:rsidRDefault="00D619B4" w:rsidP="00D619B4">
      <w:pPr>
        <w:rPr>
          <w:lang w:eastAsia="sk-SK"/>
        </w:rPr>
      </w:pPr>
    </w:p>
    <w:p w14:paraId="24049DE3" w14:textId="77777777" w:rsidR="00D619B4" w:rsidRPr="007D5748" w:rsidRDefault="00D619B4" w:rsidP="00D619B4">
      <w:pPr>
        <w:rPr>
          <w:lang w:eastAsia="sk-SK"/>
        </w:rPr>
      </w:pPr>
      <w:r w:rsidRPr="007D5748">
        <w:rPr>
          <w:b/>
          <w:bCs/>
          <w:lang w:eastAsia="sk-SK"/>
        </w:rPr>
        <w:t>2.2.3. Predpoklady vývoja objemu aktivít:</w:t>
      </w:r>
    </w:p>
    <w:p w14:paraId="6029D53F" w14:textId="77777777" w:rsidR="00D619B4" w:rsidRPr="007D5748" w:rsidRDefault="00D619B4" w:rsidP="00D619B4">
      <w:pPr>
        <w:rPr>
          <w:lang w:eastAsia="sk-SK"/>
        </w:rPr>
      </w:pPr>
    </w:p>
    <w:p w14:paraId="3FE6AC2D" w14:textId="77777777" w:rsidR="00D619B4" w:rsidRPr="007D5748" w:rsidRDefault="00D619B4" w:rsidP="00D619B4">
      <w:pPr>
        <w:ind w:firstLine="708"/>
        <w:jc w:val="both"/>
        <w:rPr>
          <w:lang w:eastAsia="sk-SK"/>
        </w:rPr>
      </w:pPr>
      <w:r w:rsidRPr="007D5748">
        <w:rPr>
          <w:lang w:eastAsia="sk-SK"/>
        </w:rPr>
        <w:t>Jasne popíšte, v prípade potreby použite nižšie uvedenú tabuľku. Uveďte aj odhady základov daní a/alebo poplatkov, ak sa ich táto zmena týka.</w:t>
      </w:r>
    </w:p>
    <w:p w14:paraId="0F680F78" w14:textId="77777777" w:rsidR="00D619B4" w:rsidRPr="007D5748" w:rsidRDefault="00D619B4" w:rsidP="00D619B4">
      <w:pPr>
        <w:jc w:val="right"/>
        <w:rPr>
          <w:sz w:val="20"/>
          <w:szCs w:val="20"/>
          <w:lang w:eastAsia="sk-SK"/>
        </w:rPr>
      </w:pPr>
      <w:r w:rsidRPr="007D5748">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619B4" w:rsidRPr="007D5748" w14:paraId="06C363C4" w14:textId="77777777" w:rsidTr="001C13FB">
        <w:trPr>
          <w:cantSplit/>
          <w:trHeight w:val="70"/>
        </w:trPr>
        <w:tc>
          <w:tcPr>
            <w:tcW w:w="4530" w:type="dxa"/>
            <w:vMerge w:val="restart"/>
            <w:shd w:val="clear" w:color="auto" w:fill="BFBFBF" w:themeFill="background1" w:themeFillShade="BF"/>
            <w:vAlign w:val="center"/>
          </w:tcPr>
          <w:p w14:paraId="26262F42" w14:textId="77777777" w:rsidR="00D619B4" w:rsidRPr="007D5748" w:rsidRDefault="00D619B4" w:rsidP="001C13FB">
            <w:pPr>
              <w:autoSpaceDE w:val="0"/>
              <w:autoSpaceDN w:val="0"/>
              <w:adjustRightInd w:val="0"/>
              <w:jc w:val="center"/>
              <w:rPr>
                <w:b/>
                <w:bCs/>
                <w:lang w:eastAsia="sk-SK"/>
              </w:rPr>
            </w:pPr>
            <w:r w:rsidRPr="007D5748">
              <w:rPr>
                <w:b/>
                <w:bCs/>
                <w:lang w:eastAsia="sk-SK"/>
              </w:rPr>
              <w:t>Objem aktivít</w:t>
            </w:r>
          </w:p>
        </w:tc>
        <w:tc>
          <w:tcPr>
            <w:tcW w:w="1134" w:type="dxa"/>
            <w:gridSpan w:val="4"/>
            <w:shd w:val="clear" w:color="auto" w:fill="BFBFBF" w:themeFill="background1" w:themeFillShade="BF"/>
            <w:vAlign w:val="center"/>
          </w:tcPr>
          <w:p w14:paraId="21EFC774" w14:textId="77777777" w:rsidR="00D619B4" w:rsidRPr="007D5748" w:rsidRDefault="00D619B4" w:rsidP="001C13FB">
            <w:pPr>
              <w:autoSpaceDE w:val="0"/>
              <w:autoSpaceDN w:val="0"/>
              <w:adjustRightInd w:val="0"/>
              <w:jc w:val="center"/>
              <w:rPr>
                <w:b/>
                <w:bCs/>
                <w:lang w:eastAsia="sk-SK"/>
              </w:rPr>
            </w:pPr>
            <w:r w:rsidRPr="007D5748">
              <w:rPr>
                <w:b/>
                <w:bCs/>
                <w:lang w:eastAsia="sk-SK"/>
              </w:rPr>
              <w:t>Odhadované objemy</w:t>
            </w:r>
          </w:p>
        </w:tc>
      </w:tr>
      <w:tr w:rsidR="00D619B4" w:rsidRPr="007D5748" w14:paraId="5EE55E29" w14:textId="77777777" w:rsidTr="001C13FB">
        <w:trPr>
          <w:cantSplit/>
          <w:trHeight w:val="70"/>
        </w:trPr>
        <w:tc>
          <w:tcPr>
            <w:tcW w:w="4530" w:type="dxa"/>
            <w:vMerge/>
            <w:shd w:val="clear" w:color="auto" w:fill="BFBFBF" w:themeFill="background1" w:themeFillShade="BF"/>
          </w:tcPr>
          <w:p w14:paraId="10D719A4" w14:textId="77777777" w:rsidR="00D619B4" w:rsidRPr="007D5748" w:rsidRDefault="00D619B4" w:rsidP="001C13FB">
            <w:pPr>
              <w:autoSpaceDE w:val="0"/>
              <w:autoSpaceDN w:val="0"/>
              <w:adjustRightInd w:val="0"/>
              <w:jc w:val="center"/>
              <w:rPr>
                <w:b/>
                <w:bCs/>
                <w:lang w:eastAsia="sk-SK"/>
              </w:rPr>
            </w:pPr>
          </w:p>
        </w:tc>
        <w:tc>
          <w:tcPr>
            <w:tcW w:w="1134" w:type="dxa"/>
            <w:shd w:val="clear" w:color="auto" w:fill="BFBFBF" w:themeFill="background1" w:themeFillShade="BF"/>
            <w:vAlign w:val="center"/>
          </w:tcPr>
          <w:p w14:paraId="26FF6E57" w14:textId="77777777" w:rsidR="00D619B4" w:rsidRPr="007D5748" w:rsidRDefault="00D619B4" w:rsidP="001C13FB">
            <w:pPr>
              <w:autoSpaceDE w:val="0"/>
              <w:autoSpaceDN w:val="0"/>
              <w:adjustRightInd w:val="0"/>
              <w:jc w:val="center"/>
              <w:rPr>
                <w:b/>
                <w:bCs/>
                <w:lang w:eastAsia="sk-SK"/>
              </w:rPr>
            </w:pPr>
            <w:r w:rsidRPr="007D5748">
              <w:rPr>
                <w:b/>
                <w:bCs/>
                <w:lang w:eastAsia="sk-SK"/>
              </w:rPr>
              <w:t>r</w:t>
            </w:r>
          </w:p>
        </w:tc>
        <w:tc>
          <w:tcPr>
            <w:tcW w:w="1134" w:type="dxa"/>
            <w:shd w:val="clear" w:color="auto" w:fill="BFBFBF" w:themeFill="background1" w:themeFillShade="BF"/>
            <w:vAlign w:val="center"/>
          </w:tcPr>
          <w:p w14:paraId="3038B734" w14:textId="77777777" w:rsidR="00D619B4" w:rsidRPr="007D5748" w:rsidRDefault="00D619B4" w:rsidP="001C13FB">
            <w:pPr>
              <w:autoSpaceDE w:val="0"/>
              <w:autoSpaceDN w:val="0"/>
              <w:adjustRightInd w:val="0"/>
              <w:jc w:val="center"/>
              <w:rPr>
                <w:b/>
                <w:bCs/>
                <w:lang w:eastAsia="sk-SK"/>
              </w:rPr>
            </w:pPr>
            <w:r w:rsidRPr="007D5748">
              <w:rPr>
                <w:b/>
                <w:bCs/>
                <w:lang w:eastAsia="sk-SK"/>
              </w:rPr>
              <w:t>r + 1</w:t>
            </w:r>
          </w:p>
        </w:tc>
        <w:tc>
          <w:tcPr>
            <w:tcW w:w="1134" w:type="dxa"/>
            <w:shd w:val="clear" w:color="auto" w:fill="BFBFBF" w:themeFill="background1" w:themeFillShade="BF"/>
            <w:vAlign w:val="center"/>
          </w:tcPr>
          <w:p w14:paraId="0AD91731" w14:textId="77777777" w:rsidR="00D619B4" w:rsidRPr="007D5748" w:rsidRDefault="00D619B4" w:rsidP="001C13FB">
            <w:pPr>
              <w:autoSpaceDE w:val="0"/>
              <w:autoSpaceDN w:val="0"/>
              <w:adjustRightInd w:val="0"/>
              <w:jc w:val="center"/>
              <w:rPr>
                <w:b/>
                <w:bCs/>
                <w:lang w:eastAsia="sk-SK"/>
              </w:rPr>
            </w:pPr>
            <w:r w:rsidRPr="007D5748">
              <w:rPr>
                <w:b/>
                <w:bCs/>
                <w:lang w:eastAsia="sk-SK"/>
              </w:rPr>
              <w:t>r + 2</w:t>
            </w:r>
          </w:p>
        </w:tc>
        <w:tc>
          <w:tcPr>
            <w:tcW w:w="1134" w:type="dxa"/>
            <w:shd w:val="clear" w:color="auto" w:fill="BFBFBF" w:themeFill="background1" w:themeFillShade="BF"/>
            <w:vAlign w:val="center"/>
          </w:tcPr>
          <w:p w14:paraId="455B6959" w14:textId="77777777" w:rsidR="00D619B4" w:rsidRPr="007D5748" w:rsidRDefault="00D619B4" w:rsidP="001C13FB">
            <w:pPr>
              <w:autoSpaceDE w:val="0"/>
              <w:autoSpaceDN w:val="0"/>
              <w:adjustRightInd w:val="0"/>
              <w:jc w:val="center"/>
              <w:rPr>
                <w:b/>
                <w:bCs/>
                <w:lang w:eastAsia="sk-SK"/>
              </w:rPr>
            </w:pPr>
            <w:r w:rsidRPr="007D5748">
              <w:rPr>
                <w:b/>
                <w:bCs/>
                <w:lang w:eastAsia="sk-SK"/>
              </w:rPr>
              <w:t>r + 3</w:t>
            </w:r>
          </w:p>
        </w:tc>
      </w:tr>
      <w:tr w:rsidR="00D619B4" w:rsidRPr="007D5748" w14:paraId="47022C14" w14:textId="77777777" w:rsidTr="001C13FB">
        <w:trPr>
          <w:trHeight w:val="70"/>
        </w:trPr>
        <w:tc>
          <w:tcPr>
            <w:tcW w:w="4530" w:type="dxa"/>
          </w:tcPr>
          <w:p w14:paraId="205A3B24" w14:textId="77777777" w:rsidR="00D619B4" w:rsidRPr="007D5748" w:rsidRDefault="00D619B4" w:rsidP="001C13FB">
            <w:pPr>
              <w:autoSpaceDE w:val="0"/>
              <w:autoSpaceDN w:val="0"/>
              <w:adjustRightInd w:val="0"/>
              <w:rPr>
                <w:color w:val="000000"/>
                <w:lang w:eastAsia="sk-SK"/>
              </w:rPr>
            </w:pPr>
            <w:r w:rsidRPr="007D5748">
              <w:rPr>
                <w:color w:val="000000"/>
                <w:lang w:eastAsia="sk-SK"/>
              </w:rPr>
              <w:t>Indikátor ABC</w:t>
            </w:r>
          </w:p>
        </w:tc>
        <w:tc>
          <w:tcPr>
            <w:tcW w:w="1134" w:type="dxa"/>
          </w:tcPr>
          <w:p w14:paraId="409B8B4D" w14:textId="77777777" w:rsidR="00D619B4" w:rsidRPr="007D5748" w:rsidRDefault="00D619B4" w:rsidP="001C13FB">
            <w:pPr>
              <w:autoSpaceDE w:val="0"/>
              <w:autoSpaceDN w:val="0"/>
              <w:adjustRightInd w:val="0"/>
              <w:jc w:val="right"/>
              <w:rPr>
                <w:color w:val="000000"/>
                <w:lang w:eastAsia="sk-SK"/>
              </w:rPr>
            </w:pPr>
          </w:p>
        </w:tc>
        <w:tc>
          <w:tcPr>
            <w:tcW w:w="1134" w:type="dxa"/>
          </w:tcPr>
          <w:p w14:paraId="2A3BDDCB" w14:textId="77777777" w:rsidR="00D619B4" w:rsidRPr="007D5748" w:rsidRDefault="00D619B4" w:rsidP="001C13FB">
            <w:pPr>
              <w:autoSpaceDE w:val="0"/>
              <w:autoSpaceDN w:val="0"/>
              <w:adjustRightInd w:val="0"/>
              <w:jc w:val="right"/>
              <w:rPr>
                <w:color w:val="000000"/>
                <w:lang w:eastAsia="sk-SK"/>
              </w:rPr>
            </w:pPr>
          </w:p>
        </w:tc>
        <w:tc>
          <w:tcPr>
            <w:tcW w:w="1134" w:type="dxa"/>
          </w:tcPr>
          <w:p w14:paraId="55B87FE6" w14:textId="77777777" w:rsidR="00D619B4" w:rsidRPr="007D5748" w:rsidRDefault="00D619B4" w:rsidP="001C13FB">
            <w:pPr>
              <w:autoSpaceDE w:val="0"/>
              <w:autoSpaceDN w:val="0"/>
              <w:adjustRightInd w:val="0"/>
              <w:jc w:val="right"/>
              <w:rPr>
                <w:color w:val="000000"/>
                <w:lang w:eastAsia="sk-SK"/>
              </w:rPr>
            </w:pPr>
          </w:p>
        </w:tc>
        <w:tc>
          <w:tcPr>
            <w:tcW w:w="1134" w:type="dxa"/>
          </w:tcPr>
          <w:p w14:paraId="220F7B84" w14:textId="77777777" w:rsidR="00D619B4" w:rsidRPr="007D5748" w:rsidRDefault="00D619B4" w:rsidP="001C13FB">
            <w:pPr>
              <w:autoSpaceDE w:val="0"/>
              <w:autoSpaceDN w:val="0"/>
              <w:adjustRightInd w:val="0"/>
              <w:jc w:val="right"/>
              <w:rPr>
                <w:color w:val="000000"/>
                <w:lang w:eastAsia="sk-SK"/>
              </w:rPr>
            </w:pPr>
          </w:p>
        </w:tc>
      </w:tr>
      <w:tr w:rsidR="00D619B4" w:rsidRPr="007D5748" w14:paraId="00FDE42C" w14:textId="77777777" w:rsidTr="001C13FB">
        <w:trPr>
          <w:trHeight w:val="70"/>
        </w:trPr>
        <w:tc>
          <w:tcPr>
            <w:tcW w:w="4530" w:type="dxa"/>
          </w:tcPr>
          <w:p w14:paraId="3961CCCA" w14:textId="77777777" w:rsidR="00D619B4" w:rsidRPr="007D5748" w:rsidRDefault="00D619B4" w:rsidP="001C13FB">
            <w:pPr>
              <w:autoSpaceDE w:val="0"/>
              <w:autoSpaceDN w:val="0"/>
              <w:adjustRightInd w:val="0"/>
              <w:rPr>
                <w:color w:val="000000"/>
                <w:lang w:eastAsia="sk-SK"/>
              </w:rPr>
            </w:pPr>
            <w:r w:rsidRPr="007D5748">
              <w:rPr>
                <w:color w:val="000000"/>
                <w:lang w:eastAsia="sk-SK"/>
              </w:rPr>
              <w:t>Indikátor KLM</w:t>
            </w:r>
          </w:p>
        </w:tc>
        <w:tc>
          <w:tcPr>
            <w:tcW w:w="1134" w:type="dxa"/>
          </w:tcPr>
          <w:p w14:paraId="77FA2CD5" w14:textId="77777777" w:rsidR="00D619B4" w:rsidRPr="007D5748" w:rsidRDefault="00D619B4" w:rsidP="001C13FB">
            <w:pPr>
              <w:autoSpaceDE w:val="0"/>
              <w:autoSpaceDN w:val="0"/>
              <w:adjustRightInd w:val="0"/>
              <w:jc w:val="right"/>
              <w:rPr>
                <w:color w:val="000000"/>
                <w:lang w:eastAsia="sk-SK"/>
              </w:rPr>
            </w:pPr>
          </w:p>
        </w:tc>
        <w:tc>
          <w:tcPr>
            <w:tcW w:w="1134" w:type="dxa"/>
          </w:tcPr>
          <w:p w14:paraId="5396E435" w14:textId="77777777" w:rsidR="00D619B4" w:rsidRPr="007D5748" w:rsidRDefault="00D619B4" w:rsidP="001C13FB">
            <w:pPr>
              <w:autoSpaceDE w:val="0"/>
              <w:autoSpaceDN w:val="0"/>
              <w:adjustRightInd w:val="0"/>
              <w:jc w:val="right"/>
              <w:rPr>
                <w:color w:val="000000"/>
                <w:lang w:eastAsia="sk-SK"/>
              </w:rPr>
            </w:pPr>
          </w:p>
        </w:tc>
        <w:tc>
          <w:tcPr>
            <w:tcW w:w="1134" w:type="dxa"/>
          </w:tcPr>
          <w:p w14:paraId="5EBDB6C5" w14:textId="77777777" w:rsidR="00D619B4" w:rsidRPr="007D5748" w:rsidRDefault="00D619B4" w:rsidP="001C13FB">
            <w:pPr>
              <w:autoSpaceDE w:val="0"/>
              <w:autoSpaceDN w:val="0"/>
              <w:adjustRightInd w:val="0"/>
              <w:jc w:val="right"/>
              <w:rPr>
                <w:color w:val="000000"/>
                <w:lang w:eastAsia="sk-SK"/>
              </w:rPr>
            </w:pPr>
          </w:p>
        </w:tc>
        <w:tc>
          <w:tcPr>
            <w:tcW w:w="1134" w:type="dxa"/>
          </w:tcPr>
          <w:p w14:paraId="2F198486" w14:textId="77777777" w:rsidR="00D619B4" w:rsidRPr="007D5748" w:rsidRDefault="00D619B4" w:rsidP="001C13FB">
            <w:pPr>
              <w:autoSpaceDE w:val="0"/>
              <w:autoSpaceDN w:val="0"/>
              <w:adjustRightInd w:val="0"/>
              <w:jc w:val="right"/>
              <w:rPr>
                <w:color w:val="000000"/>
                <w:lang w:eastAsia="sk-SK"/>
              </w:rPr>
            </w:pPr>
          </w:p>
        </w:tc>
      </w:tr>
      <w:tr w:rsidR="00D619B4" w:rsidRPr="007D5748" w14:paraId="05D22191" w14:textId="77777777" w:rsidTr="001C13FB">
        <w:trPr>
          <w:trHeight w:val="70"/>
        </w:trPr>
        <w:tc>
          <w:tcPr>
            <w:tcW w:w="4530" w:type="dxa"/>
          </w:tcPr>
          <w:p w14:paraId="27271725" w14:textId="77777777" w:rsidR="00D619B4" w:rsidRPr="007D5748" w:rsidRDefault="00D619B4" w:rsidP="001C13FB">
            <w:pPr>
              <w:autoSpaceDE w:val="0"/>
              <w:autoSpaceDN w:val="0"/>
              <w:adjustRightInd w:val="0"/>
              <w:rPr>
                <w:color w:val="000000"/>
                <w:lang w:eastAsia="sk-SK"/>
              </w:rPr>
            </w:pPr>
            <w:r w:rsidRPr="007D5748">
              <w:rPr>
                <w:color w:val="000000"/>
                <w:lang w:eastAsia="sk-SK"/>
              </w:rPr>
              <w:t>Indikátor XYZ</w:t>
            </w:r>
          </w:p>
        </w:tc>
        <w:tc>
          <w:tcPr>
            <w:tcW w:w="1134" w:type="dxa"/>
          </w:tcPr>
          <w:p w14:paraId="21AFB1E6" w14:textId="77777777" w:rsidR="00D619B4" w:rsidRPr="007D5748" w:rsidRDefault="00D619B4" w:rsidP="001C13FB">
            <w:pPr>
              <w:autoSpaceDE w:val="0"/>
              <w:autoSpaceDN w:val="0"/>
              <w:adjustRightInd w:val="0"/>
              <w:jc w:val="right"/>
              <w:rPr>
                <w:color w:val="000000"/>
                <w:lang w:eastAsia="sk-SK"/>
              </w:rPr>
            </w:pPr>
          </w:p>
        </w:tc>
        <w:tc>
          <w:tcPr>
            <w:tcW w:w="1134" w:type="dxa"/>
          </w:tcPr>
          <w:p w14:paraId="6C488028" w14:textId="77777777" w:rsidR="00D619B4" w:rsidRPr="007D5748" w:rsidRDefault="00D619B4" w:rsidP="001C13FB">
            <w:pPr>
              <w:autoSpaceDE w:val="0"/>
              <w:autoSpaceDN w:val="0"/>
              <w:adjustRightInd w:val="0"/>
              <w:jc w:val="right"/>
              <w:rPr>
                <w:color w:val="000000"/>
                <w:lang w:eastAsia="sk-SK"/>
              </w:rPr>
            </w:pPr>
          </w:p>
        </w:tc>
        <w:tc>
          <w:tcPr>
            <w:tcW w:w="1134" w:type="dxa"/>
          </w:tcPr>
          <w:p w14:paraId="34697E8C" w14:textId="77777777" w:rsidR="00D619B4" w:rsidRPr="007D5748" w:rsidRDefault="00D619B4" w:rsidP="001C13FB">
            <w:pPr>
              <w:autoSpaceDE w:val="0"/>
              <w:autoSpaceDN w:val="0"/>
              <w:adjustRightInd w:val="0"/>
              <w:jc w:val="right"/>
              <w:rPr>
                <w:color w:val="000000"/>
                <w:lang w:eastAsia="sk-SK"/>
              </w:rPr>
            </w:pPr>
          </w:p>
        </w:tc>
        <w:tc>
          <w:tcPr>
            <w:tcW w:w="1134" w:type="dxa"/>
          </w:tcPr>
          <w:p w14:paraId="4E289467" w14:textId="77777777" w:rsidR="00D619B4" w:rsidRPr="007D5748" w:rsidRDefault="00D619B4" w:rsidP="001C13FB">
            <w:pPr>
              <w:autoSpaceDE w:val="0"/>
              <w:autoSpaceDN w:val="0"/>
              <w:adjustRightInd w:val="0"/>
              <w:jc w:val="right"/>
              <w:rPr>
                <w:color w:val="000000"/>
                <w:lang w:eastAsia="sk-SK"/>
              </w:rPr>
            </w:pPr>
          </w:p>
        </w:tc>
      </w:tr>
    </w:tbl>
    <w:p w14:paraId="695E6B99" w14:textId="77777777" w:rsidR="00D619B4" w:rsidRPr="007D5748" w:rsidRDefault="00D619B4" w:rsidP="00D619B4">
      <w:pPr>
        <w:rPr>
          <w:lang w:eastAsia="sk-SK"/>
        </w:rPr>
      </w:pPr>
    </w:p>
    <w:p w14:paraId="6652C810" w14:textId="77777777" w:rsidR="00D619B4" w:rsidRPr="007D5748" w:rsidRDefault="00D619B4" w:rsidP="00D619B4">
      <w:pPr>
        <w:rPr>
          <w:lang w:eastAsia="sk-SK"/>
        </w:rPr>
      </w:pPr>
    </w:p>
    <w:p w14:paraId="10D1F4D8" w14:textId="77777777" w:rsidR="00D619B4" w:rsidRPr="007D5748" w:rsidRDefault="00D619B4" w:rsidP="00D619B4">
      <w:pPr>
        <w:rPr>
          <w:b/>
          <w:bCs/>
          <w:lang w:eastAsia="sk-SK"/>
        </w:rPr>
      </w:pPr>
      <w:r w:rsidRPr="007D5748">
        <w:rPr>
          <w:b/>
          <w:bCs/>
          <w:lang w:eastAsia="sk-SK"/>
        </w:rPr>
        <w:t>2.2.4. Výpočty vplyvov na verejné financie</w:t>
      </w:r>
    </w:p>
    <w:p w14:paraId="61AAAC94" w14:textId="77777777" w:rsidR="00D619B4" w:rsidRPr="007D5748" w:rsidRDefault="00D619B4" w:rsidP="00D619B4">
      <w:pPr>
        <w:rPr>
          <w:lang w:eastAsia="sk-SK"/>
        </w:rPr>
      </w:pPr>
    </w:p>
    <w:p w14:paraId="6BAB86C0" w14:textId="77777777" w:rsidR="00D619B4" w:rsidRPr="007D5748" w:rsidRDefault="00D619B4" w:rsidP="00D619B4">
      <w:pPr>
        <w:ind w:firstLine="708"/>
        <w:jc w:val="both"/>
        <w:rPr>
          <w:lang w:eastAsia="sk-SK"/>
        </w:rPr>
      </w:pPr>
      <w:r w:rsidRPr="007D5748">
        <w:rPr>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2E5D5D8D" w14:textId="77777777" w:rsidR="00D619B4" w:rsidRPr="007D5748" w:rsidRDefault="00D619B4" w:rsidP="00D619B4">
      <w:pPr>
        <w:jc w:val="both"/>
        <w:rPr>
          <w:lang w:eastAsia="sk-SK"/>
        </w:rPr>
      </w:pPr>
    </w:p>
    <w:p w14:paraId="4EDAAFFB" w14:textId="77777777" w:rsidR="00D619B4" w:rsidRDefault="00D619B4" w:rsidP="00D619B4">
      <w:pPr>
        <w:ind w:firstLine="708"/>
        <w:jc w:val="both"/>
        <w:rPr>
          <w:lang w:eastAsia="sk-SK"/>
        </w:rPr>
      </w:pPr>
      <w:r w:rsidRPr="00D91CAA">
        <w:rPr>
          <w:lang w:eastAsia="sk-SK"/>
        </w:rPr>
        <w:t xml:space="preserve">Výpočet vplyvov na verejné financie bol stanovený súčtom predpokladaných mzdových nákladov na zabezpečenie úloh vyplývajúcich z predloženého návrhu.  Priemerná mzda </w:t>
      </w:r>
      <w:r>
        <w:rPr>
          <w:lang w:eastAsia="sk-SK"/>
        </w:rPr>
        <w:t xml:space="preserve">3 312,-EUR/mesiac. </w:t>
      </w:r>
    </w:p>
    <w:p w14:paraId="369E0E25" w14:textId="77777777" w:rsidR="00D619B4" w:rsidRPr="00D91CAA" w:rsidRDefault="00D619B4" w:rsidP="00D619B4">
      <w:pPr>
        <w:jc w:val="both"/>
        <w:rPr>
          <w:lang w:eastAsia="sk-SK"/>
        </w:rPr>
      </w:pPr>
    </w:p>
    <w:p w14:paraId="689172BD" w14:textId="77777777" w:rsidR="00D619B4" w:rsidRDefault="00D619B4" w:rsidP="00D619B4">
      <w:pPr>
        <w:ind w:firstLine="708"/>
        <w:jc w:val="both"/>
        <w:rPr>
          <w:lang w:eastAsia="sk-SK"/>
        </w:rPr>
      </w:pPr>
      <w:r w:rsidRPr="00417B57">
        <w:rPr>
          <w:lang w:eastAsia="sk-SK"/>
        </w:rPr>
        <w:t xml:space="preserve">Predpokladaná časová náročnosť na zabezpečenie úloh vyplývajúcich z predloženého návrhu pre </w:t>
      </w:r>
      <w:r>
        <w:rPr>
          <w:lang w:eastAsia="sk-SK"/>
        </w:rPr>
        <w:t>deväť</w:t>
      </w:r>
      <w:r w:rsidRPr="00417B57">
        <w:rPr>
          <w:lang w:eastAsia="sk-SK"/>
        </w:rPr>
        <w:t xml:space="preserve"> druhov pozícií</w:t>
      </w:r>
      <w:r>
        <w:rPr>
          <w:lang w:eastAsia="sk-SK"/>
        </w:rPr>
        <w:t xml:space="preserve">, ktorá </w:t>
      </w:r>
      <w:r w:rsidRPr="00417B57">
        <w:rPr>
          <w:lang w:eastAsia="sk-SK"/>
        </w:rPr>
        <w:t>vyžaduje rozšírenie kapacity vládnej jednotky CSIRT, sekcie kybernetickej bezpečnosti MIRRI SR, v súhrne o 1</w:t>
      </w:r>
      <w:r>
        <w:rPr>
          <w:lang w:eastAsia="sk-SK"/>
        </w:rPr>
        <w:t>7</w:t>
      </w:r>
      <w:r w:rsidRPr="00417B57">
        <w:rPr>
          <w:lang w:eastAsia="sk-SK"/>
        </w:rPr>
        <w:t xml:space="preserve"> interných zamestnancov pracujúcich na plný pracovný úväzok. Návrh predstavuje nevyhnutný (minimálny) odhad časovej náročnosti na zabezpečenie nových odborných činností na zabezpečenie úloh vyplývajúcich z predloženého návrhu. Pri ostatných činnostiach vyplývajúcich z návrhu zákona týkajúcich sa činností vládnej jednotky CSIRT tento návrh zohľadňuje aj čiastočné využitie súčasných personálnych kapacít a infraštruktúry vládnej jednotky CSIRT.</w:t>
      </w:r>
    </w:p>
    <w:p w14:paraId="2EEB9993" w14:textId="77777777" w:rsidR="00D619B4" w:rsidRPr="00417B57" w:rsidRDefault="00D619B4" w:rsidP="00D619B4">
      <w:pPr>
        <w:ind w:firstLine="708"/>
        <w:jc w:val="both"/>
        <w:rPr>
          <w:lang w:eastAsia="sk-SK"/>
        </w:rPr>
      </w:pPr>
      <w:r>
        <w:rPr>
          <w:lang w:eastAsia="sk-SK"/>
        </w:rPr>
        <w:t xml:space="preserve">V návrhu predpokladáme čiastočné financovanie mzdových výdavkov pre 7 interných zamestnancov </w:t>
      </w:r>
      <w:r w:rsidRPr="00417B57">
        <w:rPr>
          <w:lang w:eastAsia="sk-SK"/>
        </w:rPr>
        <w:t xml:space="preserve">vládnej jednotky </w:t>
      </w:r>
      <w:r>
        <w:rPr>
          <w:lang w:eastAsia="sk-SK"/>
        </w:rPr>
        <w:t xml:space="preserve">CSIRT, ktoré bude pokryté zo zdrojov Plánu obnovy a odolnosti Slovenskej republiky, inv. č. 6 </w:t>
      </w:r>
      <w:r w:rsidRPr="005A0F7B">
        <w:rPr>
          <w:lang w:eastAsia="sk-SK"/>
        </w:rPr>
        <w:t>Posilnenie preventívnych opatrení, zvýšenie rýchlosti detekcie a riešenia incidentov (ITVS)</w:t>
      </w:r>
      <w:r>
        <w:rPr>
          <w:lang w:eastAsia="sk-SK"/>
        </w:rPr>
        <w:t xml:space="preserve"> a budú zabezpečovať úlohy podľa </w:t>
      </w:r>
      <w:r w:rsidRPr="00417B57">
        <w:rPr>
          <w:lang w:eastAsia="sk-SK"/>
        </w:rPr>
        <w:t>§ 23a ods. 3 písm. b)</w:t>
      </w:r>
      <w:r>
        <w:rPr>
          <w:lang w:eastAsia="sk-SK"/>
        </w:rPr>
        <w:t xml:space="preserve"> a písm. c) návrhu zákona (pozn. ostatné personálne kapacity financované touto investíciou tvoria tzv. administratívne kapacity alebo budú zabezpečovať ostatné ciele investície a nemôžu byť využité na financovanie nových zákonných úloh, ktoré má zabezpečiť vládna jednotka</w:t>
      </w:r>
      <w:r w:rsidRPr="00417B57">
        <w:rPr>
          <w:lang w:eastAsia="sk-SK"/>
        </w:rPr>
        <w:t xml:space="preserve"> </w:t>
      </w:r>
      <w:r>
        <w:rPr>
          <w:lang w:eastAsia="sk-SK"/>
        </w:rPr>
        <w:t xml:space="preserve">CSIRT). </w:t>
      </w:r>
    </w:p>
    <w:p w14:paraId="1F6F58DF" w14:textId="77777777" w:rsidR="00D619B4" w:rsidRPr="00417B57" w:rsidRDefault="00D619B4" w:rsidP="00D619B4">
      <w:pPr>
        <w:ind w:firstLine="708"/>
        <w:jc w:val="both"/>
        <w:rPr>
          <w:lang w:eastAsia="sk-SK"/>
        </w:rPr>
      </w:pPr>
      <w:r w:rsidRPr="00417B57">
        <w:rPr>
          <w:lang w:eastAsia="sk-SK"/>
        </w:rPr>
        <w:t xml:space="preserve">V súčasnosti je tzv. hodnotenie zraniteľností zabezpečované automatizovaným nástrojom, pričom všetky výstupy z tohto nástroja je potrebné validovať odborníkom. Samotná činnosť analytika kybernetickej bezpečnosti pre hodnotenie zraniteľnosti služby podľa § 23a ods. </w:t>
      </w:r>
      <w:r>
        <w:rPr>
          <w:lang w:eastAsia="sk-SK"/>
        </w:rPr>
        <w:t>2</w:t>
      </w:r>
      <w:r w:rsidRPr="00417B57">
        <w:rPr>
          <w:lang w:eastAsia="sk-SK"/>
        </w:rPr>
        <w:t xml:space="preserve"> písm. b) a c) nezahŕňa nastavovanie a konfiguráciu (v súčasnosti sú na túto činnosť dedikovaní dvaja interní zamestnanci). </w:t>
      </w:r>
      <w:r>
        <w:rPr>
          <w:lang w:eastAsia="sk-SK"/>
        </w:rPr>
        <w:t>Vládna jednotka</w:t>
      </w:r>
      <w:r w:rsidRPr="00417B57">
        <w:rPr>
          <w:lang w:eastAsia="sk-SK"/>
        </w:rPr>
        <w:t xml:space="preserve"> CSIRT </w:t>
      </w:r>
      <w:r>
        <w:rPr>
          <w:lang w:eastAsia="sk-SK"/>
        </w:rPr>
        <w:t>v súčasnosti</w:t>
      </w:r>
      <w:r w:rsidRPr="00417B57">
        <w:rPr>
          <w:lang w:eastAsia="sk-SK"/>
        </w:rPr>
        <w:t xml:space="preserve"> vykonáva len prvú z dvoch uvedených činností a to len pre 153 subjektov verejnej správy z najvyššej kategórie. Minimálny nárast pracovnej sily vykonávajúcej iba validáciu zraniteľností je </w:t>
      </w:r>
      <w:r>
        <w:rPr>
          <w:lang w:eastAsia="sk-SK"/>
        </w:rPr>
        <w:t>1</w:t>
      </w:r>
      <w:r w:rsidRPr="00417B57">
        <w:rPr>
          <w:lang w:eastAsia="sk-SK"/>
        </w:rPr>
        <w:t xml:space="preserve"> odborník pracujúci na plný pracovný úväzok. Podľa našich analýz je táto služba potrebná pre všetkých konštituentov, t.</w:t>
      </w:r>
      <w:r>
        <w:rPr>
          <w:lang w:eastAsia="sk-SK"/>
        </w:rPr>
        <w:t xml:space="preserve"> </w:t>
      </w:r>
      <w:r w:rsidRPr="00417B57">
        <w:rPr>
          <w:lang w:eastAsia="sk-SK"/>
        </w:rPr>
        <w:t>j. všetky orgány riadenia, kam spadá viac ako 8 000 subjektov verejnej správy. Minimálne 500 ďalších orgánov riadenia bude rozsahom porovnateľných s aktuálne skenovanými orgánmi riadenia. Z toho vyplýva, že minimálne nutné navýšenie pracovných kapacít na tieto činnosti je (500x2)/153, tzn. zaokrúhlene 7 odborných zamestnancov. Zároveň je potrebné, aby sa seniornejší zamestnanci mohli zaoberať aj aktualizovaním procesu hodnotenia zraniteľnosti služby tak, aby držal krok so stále meniacimi sa trendmi. Navýšenie kapacít reflektuje aj dopyt verejnej správy po rozšírení služieb v oblasti tzv. vulnerability managementu.</w:t>
      </w:r>
    </w:p>
    <w:p w14:paraId="0DB12CE5" w14:textId="77777777" w:rsidR="00D619B4" w:rsidRPr="00417B57" w:rsidRDefault="00D619B4" w:rsidP="00D619B4">
      <w:pPr>
        <w:ind w:firstLine="708"/>
        <w:jc w:val="both"/>
        <w:rPr>
          <w:lang w:eastAsia="sk-SK"/>
        </w:rPr>
      </w:pPr>
      <w:r w:rsidRPr="00417B57">
        <w:rPr>
          <w:lang w:eastAsia="sk-SK"/>
        </w:rPr>
        <w:t>V prípade rozšírenia činností o služby podľa § 23a ods. 3 bude zároveň nutná ďalšia správcovská kapacita, pretože bude musieť dôjsť k zapojeniu ďalšej HW/SW infraštruktúry a výpočtových jednotiek, z ktorých budú bezpečnostné nástroje spúšťané.</w:t>
      </w:r>
    </w:p>
    <w:p w14:paraId="61140469" w14:textId="77777777" w:rsidR="00D619B4" w:rsidRPr="00417B57" w:rsidRDefault="00D619B4" w:rsidP="00D619B4">
      <w:pPr>
        <w:ind w:firstLine="708"/>
        <w:jc w:val="both"/>
        <w:rPr>
          <w:lang w:eastAsia="sk-SK"/>
        </w:rPr>
      </w:pPr>
      <w:r w:rsidRPr="00417B57">
        <w:rPr>
          <w:lang w:eastAsia="sk-SK"/>
        </w:rPr>
        <w:t xml:space="preserve">Činnosti zahŕňajúce riadenie rizík si vyžadujú kapacitu minimálne </w:t>
      </w:r>
      <w:r>
        <w:rPr>
          <w:lang w:eastAsia="sk-SK"/>
        </w:rPr>
        <w:t>2</w:t>
      </w:r>
      <w:r w:rsidRPr="00417B57">
        <w:rPr>
          <w:lang w:eastAsia="sk-SK"/>
        </w:rPr>
        <w:t xml:space="preserve"> ďalších odborníkov a súvisiacej malvér analýzy aspoň jedného odborníka. Odhadovaná časová náročnosť zohľadňuje, že tieto služby budú poskytované pre viac než 8 000 subjektov verejnej správy. Vzhľadom na to, že IT infraštruktúra subjektov verejnej správy je z časti homogénna, čiastočným zabezpečením týchto služieb na úrovni sektora verejnej správy dôjde k značným úsporám z rozsahu.</w:t>
      </w:r>
    </w:p>
    <w:p w14:paraId="57FA2B53" w14:textId="77777777" w:rsidR="00D619B4" w:rsidRPr="00417B57" w:rsidRDefault="00D619B4" w:rsidP="00D619B4">
      <w:pPr>
        <w:ind w:firstLine="708"/>
        <w:jc w:val="both"/>
        <w:rPr>
          <w:lang w:eastAsia="sk-SK"/>
        </w:rPr>
      </w:pPr>
      <w:r w:rsidRPr="00417B57">
        <w:rPr>
          <w:lang w:eastAsia="sk-SK"/>
        </w:rPr>
        <w:t>Návrh zahŕňa minimálne požiadavky pre zabezpečenie činnosti nepretržitého bezpečnostného monitoringu ITVS (tzv. SOC služba), ktorý účinná legislatíva vyžaduje pre ITVS spadajúce do kategórie II. a III. podľa vyhlášky</w:t>
      </w:r>
      <w:r>
        <w:rPr>
          <w:lang w:eastAsia="sk-SK"/>
        </w:rPr>
        <w:t xml:space="preserve"> Ú</w:t>
      </w:r>
      <w:r w:rsidRPr="00B90CEB">
        <w:rPr>
          <w:lang w:eastAsia="sk-SK"/>
        </w:rPr>
        <w:t>radu podpredsedu vlády Slovenskej republiky pre investície a informatizáciu</w:t>
      </w:r>
      <w:r w:rsidRPr="00417B57">
        <w:rPr>
          <w:lang w:eastAsia="sk-SK"/>
        </w:rPr>
        <w:t xml:space="preserve"> č. 179/2020 Z. z. ktorou sa ustanovuje spôsob kategorizácie a obsah bezpečnostných opatrení informačných technológií verejnej správy. Túto činnosť bude zabezpečovať VJ CSIRT na žiadosť správcov. Pracovný tím na zabezpečenie funkčnej prevádzky monitorovania a základných odborných rolí je nevyhnutné zložiť z analytikov kybernetickej bezpečnosti (úroveň L1, L2 a L3) so špecializáciou na bezpečnostné nástroje a technológie využívané za účelom bezpečnostného monitoringu. Časová náročnosť bola stanovená prostredníctvom kvalifikovaného odhadu vyplývajúceho zo skúseností súkromného sektora a projektov verejnej správy (najmä tzv. platform support pre SOC nástroje, onboarding, threat inteligence).</w:t>
      </w:r>
    </w:p>
    <w:p w14:paraId="335D00AB" w14:textId="77777777" w:rsidR="00D619B4" w:rsidRPr="00417B57" w:rsidRDefault="00D619B4" w:rsidP="00D619B4">
      <w:pPr>
        <w:jc w:val="both"/>
        <w:rPr>
          <w:lang w:eastAsia="sk-SK"/>
        </w:rPr>
      </w:pPr>
    </w:p>
    <w:tbl>
      <w:tblPr>
        <w:tblStyle w:val="Mriekatabuky"/>
        <w:tblW w:w="0" w:type="auto"/>
        <w:tblLook w:val="04A0" w:firstRow="1" w:lastRow="0" w:firstColumn="1" w:lastColumn="0" w:noHBand="0" w:noVBand="1"/>
      </w:tblPr>
      <w:tblGrid>
        <w:gridCol w:w="909"/>
        <w:gridCol w:w="833"/>
        <w:gridCol w:w="4534"/>
        <w:gridCol w:w="1256"/>
        <w:gridCol w:w="1530"/>
      </w:tblGrid>
      <w:tr w:rsidR="00D619B4" w:rsidRPr="00417B57" w14:paraId="0ECA39BC" w14:textId="77777777" w:rsidTr="001C13FB">
        <w:tc>
          <w:tcPr>
            <w:tcW w:w="909" w:type="dxa"/>
          </w:tcPr>
          <w:p w14:paraId="11EF8115" w14:textId="77777777" w:rsidR="00D619B4" w:rsidRPr="00417B57" w:rsidRDefault="00D619B4" w:rsidP="001C13FB">
            <w:pPr>
              <w:jc w:val="both"/>
              <w:rPr>
                <w:lang w:eastAsia="sk-SK"/>
              </w:rPr>
            </w:pPr>
            <w:r w:rsidRPr="00417B57">
              <w:rPr>
                <w:lang w:eastAsia="sk-SK"/>
              </w:rPr>
              <w:t>Číslo pozície</w:t>
            </w:r>
          </w:p>
        </w:tc>
        <w:tc>
          <w:tcPr>
            <w:tcW w:w="833" w:type="dxa"/>
          </w:tcPr>
          <w:p w14:paraId="2C37B7C1" w14:textId="77777777" w:rsidR="00D619B4" w:rsidRPr="00417B57" w:rsidRDefault="00D619B4" w:rsidP="001C13FB">
            <w:pPr>
              <w:jc w:val="both"/>
              <w:rPr>
                <w:lang w:eastAsia="sk-SK"/>
              </w:rPr>
            </w:pPr>
            <w:r w:rsidRPr="00417B57">
              <w:rPr>
                <w:lang w:eastAsia="sk-SK"/>
              </w:rPr>
              <w:t>Počet</w:t>
            </w:r>
          </w:p>
        </w:tc>
        <w:tc>
          <w:tcPr>
            <w:tcW w:w="4534" w:type="dxa"/>
          </w:tcPr>
          <w:p w14:paraId="709138A2" w14:textId="77777777" w:rsidR="00D619B4" w:rsidRPr="00417B57" w:rsidRDefault="00D619B4" w:rsidP="001C13FB">
            <w:pPr>
              <w:jc w:val="both"/>
              <w:rPr>
                <w:lang w:eastAsia="sk-SK"/>
              </w:rPr>
            </w:pPr>
            <w:r w:rsidRPr="00417B57">
              <w:rPr>
                <w:lang w:eastAsia="sk-SK"/>
              </w:rPr>
              <w:t>Pozícia</w:t>
            </w:r>
          </w:p>
        </w:tc>
        <w:tc>
          <w:tcPr>
            <w:tcW w:w="1256" w:type="dxa"/>
          </w:tcPr>
          <w:p w14:paraId="0E3690AC" w14:textId="77777777" w:rsidR="00D619B4" w:rsidRPr="00417B57" w:rsidRDefault="00D619B4" w:rsidP="001C13FB">
            <w:pPr>
              <w:jc w:val="both"/>
              <w:rPr>
                <w:lang w:eastAsia="sk-SK"/>
              </w:rPr>
            </w:pPr>
            <w:r w:rsidRPr="00417B57">
              <w:rPr>
                <w:lang w:eastAsia="sk-SK"/>
              </w:rPr>
              <w:t>Mzda</w:t>
            </w:r>
          </w:p>
        </w:tc>
        <w:tc>
          <w:tcPr>
            <w:tcW w:w="1530" w:type="dxa"/>
          </w:tcPr>
          <w:p w14:paraId="5E58C6A9" w14:textId="77777777" w:rsidR="00D619B4" w:rsidRPr="00417B57" w:rsidRDefault="00D619B4" w:rsidP="001C13FB">
            <w:pPr>
              <w:jc w:val="both"/>
              <w:rPr>
                <w:lang w:eastAsia="sk-SK"/>
              </w:rPr>
            </w:pPr>
            <w:r w:rsidRPr="00417B57">
              <w:rPr>
                <w:lang w:eastAsia="sk-SK"/>
              </w:rPr>
              <w:t>Zákonná úloha</w:t>
            </w:r>
          </w:p>
        </w:tc>
      </w:tr>
      <w:tr w:rsidR="00D619B4" w:rsidRPr="00417B57" w14:paraId="662059DC" w14:textId="77777777" w:rsidTr="001C13FB">
        <w:tc>
          <w:tcPr>
            <w:tcW w:w="909" w:type="dxa"/>
          </w:tcPr>
          <w:p w14:paraId="7F1589D4" w14:textId="77777777" w:rsidR="00D619B4" w:rsidRPr="00417B57" w:rsidRDefault="00D619B4" w:rsidP="001C13FB">
            <w:pPr>
              <w:jc w:val="both"/>
              <w:rPr>
                <w:lang w:eastAsia="sk-SK"/>
              </w:rPr>
            </w:pPr>
            <w:r w:rsidRPr="00417B57">
              <w:rPr>
                <w:lang w:eastAsia="sk-SK"/>
              </w:rPr>
              <w:t>1</w:t>
            </w:r>
          </w:p>
        </w:tc>
        <w:tc>
          <w:tcPr>
            <w:tcW w:w="833" w:type="dxa"/>
          </w:tcPr>
          <w:p w14:paraId="7855947B" w14:textId="77777777" w:rsidR="00D619B4" w:rsidRPr="00417B57" w:rsidRDefault="00D619B4" w:rsidP="001C13FB">
            <w:pPr>
              <w:jc w:val="both"/>
              <w:rPr>
                <w:lang w:eastAsia="sk-SK"/>
              </w:rPr>
            </w:pPr>
            <w:r w:rsidRPr="00417B57">
              <w:rPr>
                <w:lang w:eastAsia="sk-SK"/>
              </w:rPr>
              <w:t>1</w:t>
            </w:r>
          </w:p>
        </w:tc>
        <w:tc>
          <w:tcPr>
            <w:tcW w:w="4534" w:type="dxa"/>
          </w:tcPr>
          <w:p w14:paraId="062E264D" w14:textId="77777777" w:rsidR="00D619B4" w:rsidRPr="00417B57" w:rsidRDefault="00D619B4" w:rsidP="001C13FB">
            <w:pPr>
              <w:jc w:val="both"/>
              <w:rPr>
                <w:lang w:eastAsia="sk-SK"/>
              </w:rPr>
            </w:pPr>
            <w:r w:rsidRPr="00417B57">
              <w:rPr>
                <w:lang w:eastAsia="sk-SK"/>
              </w:rPr>
              <w:t>Analytik kybernetickej bezpečnosti pre pravidelné neinvazívne hodnotenie zraniteľnosti služby verejnej správy, služby vo verejnom záujme, verejnej služby a ďalších služieb informačných technológií poskytovaných prostredníctvom siete internet alebo prostredníctvom Govnetu</w:t>
            </w:r>
          </w:p>
        </w:tc>
        <w:tc>
          <w:tcPr>
            <w:tcW w:w="1256" w:type="dxa"/>
          </w:tcPr>
          <w:p w14:paraId="338015F0" w14:textId="77777777" w:rsidR="00D619B4" w:rsidRPr="00417B57" w:rsidRDefault="00D619B4" w:rsidP="001C13FB">
            <w:pPr>
              <w:jc w:val="both"/>
              <w:rPr>
                <w:bCs/>
                <w:lang w:eastAsia="sk-SK"/>
              </w:rPr>
            </w:pPr>
            <w:r>
              <w:rPr>
                <w:lang w:eastAsia="sk-SK"/>
              </w:rPr>
              <w:t>3 500</w:t>
            </w:r>
            <w:r w:rsidRPr="00417B57">
              <w:rPr>
                <w:lang w:eastAsia="sk-SK"/>
              </w:rPr>
              <w:t>,-€</w:t>
            </w:r>
          </w:p>
        </w:tc>
        <w:tc>
          <w:tcPr>
            <w:tcW w:w="1530" w:type="dxa"/>
          </w:tcPr>
          <w:p w14:paraId="53D67A58"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b)</w:t>
            </w:r>
          </w:p>
        </w:tc>
      </w:tr>
      <w:tr w:rsidR="00D619B4" w:rsidRPr="00417B57" w14:paraId="5474A7E1" w14:textId="77777777" w:rsidTr="001C13FB">
        <w:tc>
          <w:tcPr>
            <w:tcW w:w="909" w:type="dxa"/>
          </w:tcPr>
          <w:p w14:paraId="0224293D" w14:textId="77777777" w:rsidR="00D619B4" w:rsidRPr="00417B57" w:rsidRDefault="00D619B4" w:rsidP="001C13FB">
            <w:pPr>
              <w:jc w:val="both"/>
              <w:rPr>
                <w:lang w:eastAsia="sk-SK"/>
              </w:rPr>
            </w:pPr>
            <w:r w:rsidRPr="00417B57">
              <w:rPr>
                <w:lang w:eastAsia="sk-SK"/>
              </w:rPr>
              <w:t>2</w:t>
            </w:r>
          </w:p>
        </w:tc>
        <w:tc>
          <w:tcPr>
            <w:tcW w:w="833" w:type="dxa"/>
          </w:tcPr>
          <w:p w14:paraId="404EB43F" w14:textId="77777777" w:rsidR="00D619B4" w:rsidRPr="00417B57" w:rsidRDefault="00D619B4" w:rsidP="001C13FB">
            <w:pPr>
              <w:jc w:val="both"/>
              <w:rPr>
                <w:lang w:eastAsia="sk-SK"/>
              </w:rPr>
            </w:pPr>
            <w:r w:rsidRPr="00417B57">
              <w:rPr>
                <w:lang w:eastAsia="sk-SK"/>
              </w:rPr>
              <w:t>3</w:t>
            </w:r>
          </w:p>
        </w:tc>
        <w:tc>
          <w:tcPr>
            <w:tcW w:w="4534" w:type="dxa"/>
          </w:tcPr>
          <w:p w14:paraId="26659960" w14:textId="77777777" w:rsidR="00D619B4" w:rsidRPr="00417B57" w:rsidRDefault="00D619B4" w:rsidP="001C13FB">
            <w:pPr>
              <w:jc w:val="both"/>
              <w:rPr>
                <w:lang w:eastAsia="sk-SK"/>
              </w:rPr>
            </w:pPr>
            <w:r w:rsidRPr="00417B57">
              <w:rPr>
                <w:lang w:eastAsia="sk-SK"/>
              </w:rPr>
              <w:t>Analytik kybernetickej bezpečnosti pre pravidelné hodnotenie zraniteľnosti služby verejnej správy, služby vo verejnom záujme, verejnej služby a ďalších služieb informačných technológií poskytovaných prostredníctvom siete internet alebo prostredníctvom Govnetu, ktoré boli zistené pri neinvazívnom hodnotení zraniteľností podľa § 23a ods. 3 písm. b)</w:t>
            </w:r>
          </w:p>
        </w:tc>
        <w:tc>
          <w:tcPr>
            <w:tcW w:w="1256" w:type="dxa"/>
          </w:tcPr>
          <w:p w14:paraId="22B9C31B" w14:textId="77777777" w:rsidR="00D619B4" w:rsidRPr="00417B57" w:rsidRDefault="00D619B4" w:rsidP="001C13FB">
            <w:pPr>
              <w:jc w:val="both"/>
              <w:rPr>
                <w:lang w:eastAsia="sk-SK"/>
              </w:rPr>
            </w:pPr>
            <w:r>
              <w:rPr>
                <w:lang w:eastAsia="sk-SK"/>
              </w:rPr>
              <w:t>3 500</w:t>
            </w:r>
            <w:r w:rsidRPr="00417B57">
              <w:rPr>
                <w:lang w:eastAsia="sk-SK"/>
              </w:rPr>
              <w:t>,-€</w:t>
            </w:r>
          </w:p>
        </w:tc>
        <w:tc>
          <w:tcPr>
            <w:tcW w:w="1530" w:type="dxa"/>
          </w:tcPr>
          <w:p w14:paraId="4B7EA45F"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c)</w:t>
            </w:r>
          </w:p>
        </w:tc>
      </w:tr>
      <w:tr w:rsidR="00D619B4" w:rsidRPr="00417B57" w14:paraId="7EFC6FD3" w14:textId="77777777" w:rsidTr="001C13FB">
        <w:tc>
          <w:tcPr>
            <w:tcW w:w="909" w:type="dxa"/>
          </w:tcPr>
          <w:p w14:paraId="1A5934A3" w14:textId="77777777" w:rsidR="00D619B4" w:rsidRPr="00417B57" w:rsidRDefault="00D619B4" w:rsidP="001C13FB">
            <w:pPr>
              <w:jc w:val="both"/>
              <w:rPr>
                <w:lang w:eastAsia="sk-SK"/>
              </w:rPr>
            </w:pPr>
            <w:r w:rsidRPr="00417B57">
              <w:rPr>
                <w:lang w:eastAsia="sk-SK"/>
              </w:rPr>
              <w:t>3</w:t>
            </w:r>
          </w:p>
        </w:tc>
        <w:tc>
          <w:tcPr>
            <w:tcW w:w="833" w:type="dxa"/>
          </w:tcPr>
          <w:p w14:paraId="6B451925" w14:textId="77777777" w:rsidR="00D619B4" w:rsidRPr="00417B57" w:rsidRDefault="00D619B4" w:rsidP="001C13FB">
            <w:pPr>
              <w:jc w:val="both"/>
              <w:rPr>
                <w:lang w:eastAsia="sk-SK"/>
              </w:rPr>
            </w:pPr>
            <w:r w:rsidRPr="00417B57">
              <w:rPr>
                <w:lang w:eastAsia="sk-SK"/>
              </w:rPr>
              <w:t>3</w:t>
            </w:r>
          </w:p>
        </w:tc>
        <w:tc>
          <w:tcPr>
            <w:tcW w:w="4534" w:type="dxa"/>
          </w:tcPr>
          <w:p w14:paraId="54E288AA" w14:textId="77777777" w:rsidR="00D619B4" w:rsidRPr="00417B57" w:rsidRDefault="00D619B4" w:rsidP="001C13FB">
            <w:pPr>
              <w:jc w:val="both"/>
              <w:rPr>
                <w:lang w:eastAsia="sk-SK"/>
              </w:rPr>
            </w:pPr>
            <w:r w:rsidRPr="00417B57">
              <w:rPr>
                <w:lang w:eastAsia="sk-SK"/>
              </w:rPr>
              <w:t>Analytik kybernetickej bezpečnosti (senior) pre pravidelné hodnotenie zraniteľnosti služby verejnej správy, služby vo verejnom záujme, verejnej služby a ďalších služieb informačných technológií poskytovaných prostredníctvom siete internet alebo prostredníctvom Govnetu, ktoré boli zistené pri neinvazívnom hodnotení zraniteľností podľa § 23a ods. 3 písm. c)</w:t>
            </w:r>
          </w:p>
        </w:tc>
        <w:tc>
          <w:tcPr>
            <w:tcW w:w="1256" w:type="dxa"/>
          </w:tcPr>
          <w:p w14:paraId="11A1D513" w14:textId="77777777" w:rsidR="00D619B4" w:rsidRPr="00417B57" w:rsidRDefault="00D619B4" w:rsidP="001C13FB">
            <w:pPr>
              <w:jc w:val="both"/>
              <w:rPr>
                <w:lang w:eastAsia="sk-SK"/>
              </w:rPr>
            </w:pPr>
            <w:r w:rsidRPr="00417B57">
              <w:rPr>
                <w:lang w:eastAsia="sk-SK"/>
              </w:rPr>
              <w:t>3 900,-€</w:t>
            </w:r>
          </w:p>
        </w:tc>
        <w:tc>
          <w:tcPr>
            <w:tcW w:w="1530" w:type="dxa"/>
          </w:tcPr>
          <w:p w14:paraId="08780249"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c)</w:t>
            </w:r>
          </w:p>
        </w:tc>
      </w:tr>
      <w:tr w:rsidR="00D619B4" w:rsidRPr="00417B57" w14:paraId="722CBE8F" w14:textId="77777777" w:rsidTr="001C13FB">
        <w:tc>
          <w:tcPr>
            <w:tcW w:w="909" w:type="dxa"/>
          </w:tcPr>
          <w:p w14:paraId="355AF288" w14:textId="77777777" w:rsidR="00D619B4" w:rsidRPr="00417B57" w:rsidRDefault="00D619B4" w:rsidP="001C13FB">
            <w:pPr>
              <w:jc w:val="both"/>
              <w:rPr>
                <w:lang w:eastAsia="sk-SK"/>
              </w:rPr>
            </w:pPr>
            <w:r>
              <w:rPr>
                <w:lang w:eastAsia="sk-SK"/>
              </w:rPr>
              <w:t>4</w:t>
            </w:r>
          </w:p>
        </w:tc>
        <w:tc>
          <w:tcPr>
            <w:tcW w:w="833" w:type="dxa"/>
          </w:tcPr>
          <w:p w14:paraId="7D170F10" w14:textId="77777777" w:rsidR="00D619B4" w:rsidRPr="00417B57" w:rsidRDefault="00D619B4" w:rsidP="001C13FB">
            <w:pPr>
              <w:jc w:val="both"/>
              <w:rPr>
                <w:lang w:eastAsia="sk-SK"/>
              </w:rPr>
            </w:pPr>
            <w:r w:rsidRPr="00417B57">
              <w:rPr>
                <w:lang w:eastAsia="sk-SK"/>
              </w:rPr>
              <w:t>1</w:t>
            </w:r>
          </w:p>
        </w:tc>
        <w:tc>
          <w:tcPr>
            <w:tcW w:w="4534" w:type="dxa"/>
          </w:tcPr>
          <w:p w14:paraId="78A9D9D6" w14:textId="77777777" w:rsidR="00D619B4" w:rsidRPr="00417B57" w:rsidRDefault="00D619B4" w:rsidP="001C13FB">
            <w:pPr>
              <w:jc w:val="both"/>
              <w:rPr>
                <w:lang w:eastAsia="sk-SK"/>
              </w:rPr>
            </w:pPr>
            <w:r w:rsidRPr="00417B57">
              <w:rPr>
                <w:lang w:eastAsia="sk-SK"/>
              </w:rPr>
              <w:t>Administrátor prevádzky analytickej infraštruktúry</w:t>
            </w:r>
          </w:p>
        </w:tc>
        <w:tc>
          <w:tcPr>
            <w:tcW w:w="1256" w:type="dxa"/>
          </w:tcPr>
          <w:p w14:paraId="2716DEDB" w14:textId="77777777" w:rsidR="00D619B4" w:rsidRPr="00417B57" w:rsidRDefault="00D619B4" w:rsidP="001C13FB">
            <w:pPr>
              <w:jc w:val="both"/>
              <w:rPr>
                <w:lang w:eastAsia="sk-SK"/>
              </w:rPr>
            </w:pPr>
            <w:r>
              <w:rPr>
                <w:lang w:eastAsia="sk-SK"/>
              </w:rPr>
              <w:t>2 500</w:t>
            </w:r>
            <w:r w:rsidRPr="00417B57">
              <w:rPr>
                <w:lang w:eastAsia="sk-SK"/>
              </w:rPr>
              <w:t>,-€</w:t>
            </w:r>
          </w:p>
        </w:tc>
        <w:tc>
          <w:tcPr>
            <w:tcW w:w="1530" w:type="dxa"/>
          </w:tcPr>
          <w:p w14:paraId="337031A1" w14:textId="77777777" w:rsidR="00D619B4" w:rsidRPr="00417B57" w:rsidRDefault="00D619B4" w:rsidP="001C13FB">
            <w:pPr>
              <w:jc w:val="both"/>
              <w:rPr>
                <w:lang w:eastAsia="sk-SK"/>
              </w:rPr>
            </w:pPr>
            <w:r w:rsidRPr="00417B57">
              <w:rPr>
                <w:lang w:eastAsia="sk-SK"/>
              </w:rPr>
              <w:t xml:space="preserve">§ 23a ods. </w:t>
            </w:r>
            <w:r>
              <w:rPr>
                <w:lang w:eastAsia="sk-SK"/>
              </w:rPr>
              <w:t>2</w:t>
            </w:r>
          </w:p>
        </w:tc>
      </w:tr>
      <w:tr w:rsidR="00D619B4" w:rsidRPr="00417B57" w14:paraId="78EFC4BE" w14:textId="77777777" w:rsidTr="001C13FB">
        <w:tc>
          <w:tcPr>
            <w:tcW w:w="909" w:type="dxa"/>
          </w:tcPr>
          <w:p w14:paraId="39976252" w14:textId="77777777" w:rsidR="00D619B4" w:rsidRPr="00417B57" w:rsidRDefault="00D619B4" w:rsidP="001C13FB">
            <w:pPr>
              <w:jc w:val="both"/>
              <w:rPr>
                <w:lang w:eastAsia="sk-SK"/>
              </w:rPr>
            </w:pPr>
            <w:r>
              <w:rPr>
                <w:lang w:eastAsia="sk-SK"/>
              </w:rPr>
              <w:t>5</w:t>
            </w:r>
          </w:p>
        </w:tc>
        <w:tc>
          <w:tcPr>
            <w:tcW w:w="833" w:type="dxa"/>
          </w:tcPr>
          <w:p w14:paraId="7FA3ACB1" w14:textId="77777777" w:rsidR="00D619B4" w:rsidRPr="00417B57" w:rsidRDefault="00D619B4" w:rsidP="001C13FB">
            <w:pPr>
              <w:jc w:val="both"/>
              <w:rPr>
                <w:lang w:eastAsia="sk-SK"/>
              </w:rPr>
            </w:pPr>
            <w:r w:rsidRPr="00417B57">
              <w:rPr>
                <w:lang w:eastAsia="sk-SK"/>
              </w:rPr>
              <w:t>2</w:t>
            </w:r>
          </w:p>
        </w:tc>
        <w:tc>
          <w:tcPr>
            <w:tcW w:w="4534" w:type="dxa"/>
          </w:tcPr>
          <w:p w14:paraId="4524F863" w14:textId="77777777" w:rsidR="00D619B4" w:rsidRPr="00417B57" w:rsidRDefault="00D619B4" w:rsidP="001C13FB">
            <w:pPr>
              <w:jc w:val="both"/>
              <w:rPr>
                <w:lang w:eastAsia="sk-SK"/>
              </w:rPr>
            </w:pPr>
            <w:r w:rsidRPr="00417B57">
              <w:rPr>
                <w:lang w:eastAsia="sk-SK"/>
              </w:rPr>
              <w:t>Analytik kybernetickej bezpečnosti pre zber, spracúvanie a vyhodnocovanie systémových informácií a informácií o riadení rizík a bezpečnostných auditoch informačných technológií verejnej správy podľa § 19 ods. 1 písm. c)</w:t>
            </w:r>
          </w:p>
        </w:tc>
        <w:tc>
          <w:tcPr>
            <w:tcW w:w="1256" w:type="dxa"/>
          </w:tcPr>
          <w:p w14:paraId="3659D1FF" w14:textId="77777777" w:rsidR="00D619B4" w:rsidRPr="00417B57" w:rsidRDefault="00D619B4" w:rsidP="001C13FB">
            <w:pPr>
              <w:jc w:val="both"/>
              <w:rPr>
                <w:lang w:eastAsia="sk-SK"/>
              </w:rPr>
            </w:pPr>
            <w:r w:rsidRPr="00417B57">
              <w:rPr>
                <w:lang w:eastAsia="sk-SK"/>
              </w:rPr>
              <w:t>2 700,-€</w:t>
            </w:r>
          </w:p>
        </w:tc>
        <w:tc>
          <w:tcPr>
            <w:tcW w:w="1530" w:type="dxa"/>
          </w:tcPr>
          <w:p w14:paraId="2ED9E9EC"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d)</w:t>
            </w:r>
          </w:p>
        </w:tc>
      </w:tr>
      <w:tr w:rsidR="00D619B4" w:rsidRPr="00417B57" w14:paraId="370F517C" w14:textId="77777777" w:rsidTr="001C13FB">
        <w:tc>
          <w:tcPr>
            <w:tcW w:w="909" w:type="dxa"/>
          </w:tcPr>
          <w:p w14:paraId="215BAE34" w14:textId="77777777" w:rsidR="00D619B4" w:rsidRPr="00417B57" w:rsidRDefault="00D619B4" w:rsidP="001C13FB">
            <w:pPr>
              <w:jc w:val="both"/>
              <w:rPr>
                <w:lang w:eastAsia="sk-SK"/>
              </w:rPr>
            </w:pPr>
            <w:r>
              <w:rPr>
                <w:lang w:eastAsia="sk-SK"/>
              </w:rPr>
              <w:t>6</w:t>
            </w:r>
          </w:p>
        </w:tc>
        <w:tc>
          <w:tcPr>
            <w:tcW w:w="833" w:type="dxa"/>
          </w:tcPr>
          <w:p w14:paraId="5536BA0F" w14:textId="77777777" w:rsidR="00D619B4" w:rsidRPr="00417B57" w:rsidRDefault="00D619B4" w:rsidP="001C13FB">
            <w:pPr>
              <w:jc w:val="both"/>
              <w:rPr>
                <w:lang w:eastAsia="sk-SK"/>
              </w:rPr>
            </w:pPr>
            <w:r w:rsidRPr="00417B57">
              <w:rPr>
                <w:lang w:eastAsia="sk-SK"/>
              </w:rPr>
              <w:t>1</w:t>
            </w:r>
          </w:p>
        </w:tc>
        <w:tc>
          <w:tcPr>
            <w:tcW w:w="4534" w:type="dxa"/>
          </w:tcPr>
          <w:p w14:paraId="2F8CC1FE" w14:textId="77777777" w:rsidR="00D619B4" w:rsidRPr="00417B57" w:rsidRDefault="00D619B4" w:rsidP="001C13FB">
            <w:pPr>
              <w:jc w:val="both"/>
              <w:rPr>
                <w:lang w:eastAsia="sk-SK"/>
              </w:rPr>
            </w:pPr>
            <w:r w:rsidRPr="00417B57">
              <w:rPr>
                <w:lang w:eastAsia="sk-SK"/>
              </w:rPr>
              <w:t>Analytik kybernetickej bezpečnosti (špecialista pre analýzu škodlivého kódu, reverzné inžinierstvo), statická a dynamická analýza rôznych typov malvéru, tvorba dokumentácie, podpora incident response</w:t>
            </w:r>
          </w:p>
        </w:tc>
        <w:tc>
          <w:tcPr>
            <w:tcW w:w="1256" w:type="dxa"/>
          </w:tcPr>
          <w:p w14:paraId="45FB005E" w14:textId="77777777" w:rsidR="00D619B4" w:rsidRPr="00417B57" w:rsidRDefault="00D619B4" w:rsidP="001C13FB">
            <w:pPr>
              <w:jc w:val="both"/>
              <w:rPr>
                <w:lang w:eastAsia="sk-SK"/>
              </w:rPr>
            </w:pPr>
            <w:r w:rsidRPr="00417B57">
              <w:rPr>
                <w:lang w:eastAsia="sk-SK"/>
              </w:rPr>
              <w:t>3 200,-€</w:t>
            </w:r>
          </w:p>
        </w:tc>
        <w:tc>
          <w:tcPr>
            <w:tcW w:w="1530" w:type="dxa"/>
          </w:tcPr>
          <w:p w14:paraId="494A00D9"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w:t>
            </w:r>
            <w:r>
              <w:rPr>
                <w:lang w:eastAsia="sk-SK"/>
              </w:rPr>
              <w:t>d</w:t>
            </w:r>
            <w:r w:rsidRPr="00417B57">
              <w:rPr>
                <w:lang w:eastAsia="sk-SK"/>
              </w:rPr>
              <w:t>)</w:t>
            </w:r>
          </w:p>
        </w:tc>
      </w:tr>
      <w:tr w:rsidR="00D619B4" w:rsidRPr="00417B57" w14:paraId="2A56EC02" w14:textId="77777777" w:rsidTr="001C13FB">
        <w:tc>
          <w:tcPr>
            <w:tcW w:w="909" w:type="dxa"/>
          </w:tcPr>
          <w:p w14:paraId="61B5D4EA" w14:textId="77777777" w:rsidR="00D619B4" w:rsidRPr="00417B57" w:rsidRDefault="00D619B4" w:rsidP="001C13FB">
            <w:pPr>
              <w:jc w:val="both"/>
              <w:rPr>
                <w:lang w:eastAsia="sk-SK"/>
              </w:rPr>
            </w:pPr>
            <w:r>
              <w:rPr>
                <w:lang w:eastAsia="sk-SK"/>
              </w:rPr>
              <w:t>7</w:t>
            </w:r>
          </w:p>
        </w:tc>
        <w:tc>
          <w:tcPr>
            <w:tcW w:w="833" w:type="dxa"/>
          </w:tcPr>
          <w:p w14:paraId="17B6112B" w14:textId="77777777" w:rsidR="00D619B4" w:rsidRPr="00417B57" w:rsidRDefault="00D619B4" w:rsidP="001C13FB">
            <w:pPr>
              <w:jc w:val="both"/>
              <w:rPr>
                <w:lang w:eastAsia="sk-SK"/>
              </w:rPr>
            </w:pPr>
            <w:r w:rsidRPr="00417B57">
              <w:rPr>
                <w:lang w:eastAsia="sk-SK"/>
              </w:rPr>
              <w:t>3</w:t>
            </w:r>
          </w:p>
        </w:tc>
        <w:tc>
          <w:tcPr>
            <w:tcW w:w="4534" w:type="dxa"/>
          </w:tcPr>
          <w:p w14:paraId="3EBD5146" w14:textId="77777777" w:rsidR="00D619B4" w:rsidRPr="00417B57" w:rsidRDefault="00D619B4" w:rsidP="001C13FB">
            <w:pPr>
              <w:jc w:val="both"/>
              <w:rPr>
                <w:lang w:eastAsia="sk-SK"/>
              </w:rPr>
            </w:pPr>
            <w:r w:rsidRPr="00417B57">
              <w:rPr>
                <w:lang w:eastAsia="sk-SK"/>
              </w:rPr>
              <w:t>Analytik kybernetickej bezpečnosti (SOC špecialista)</w:t>
            </w:r>
          </w:p>
        </w:tc>
        <w:tc>
          <w:tcPr>
            <w:tcW w:w="1256" w:type="dxa"/>
          </w:tcPr>
          <w:p w14:paraId="7FE3BC2C" w14:textId="77777777" w:rsidR="00D619B4" w:rsidRPr="00417B57" w:rsidRDefault="00D619B4" w:rsidP="001C13FB">
            <w:pPr>
              <w:jc w:val="both"/>
              <w:rPr>
                <w:lang w:eastAsia="sk-SK"/>
              </w:rPr>
            </w:pPr>
            <w:r w:rsidRPr="00417B57">
              <w:rPr>
                <w:lang w:eastAsia="sk-SK"/>
              </w:rPr>
              <w:t>2 900,-€</w:t>
            </w:r>
          </w:p>
        </w:tc>
        <w:tc>
          <w:tcPr>
            <w:tcW w:w="1530" w:type="dxa"/>
          </w:tcPr>
          <w:p w14:paraId="5EB6EAB4"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a)</w:t>
            </w:r>
          </w:p>
        </w:tc>
      </w:tr>
      <w:tr w:rsidR="00D619B4" w:rsidRPr="00417B57" w14:paraId="4FDBD9D5" w14:textId="77777777" w:rsidTr="001C13FB">
        <w:tc>
          <w:tcPr>
            <w:tcW w:w="909" w:type="dxa"/>
          </w:tcPr>
          <w:p w14:paraId="63A8E2CA" w14:textId="77777777" w:rsidR="00D619B4" w:rsidRPr="00417B57" w:rsidRDefault="00D619B4" w:rsidP="001C13FB">
            <w:pPr>
              <w:jc w:val="both"/>
              <w:rPr>
                <w:lang w:eastAsia="sk-SK"/>
              </w:rPr>
            </w:pPr>
            <w:r>
              <w:rPr>
                <w:lang w:eastAsia="sk-SK"/>
              </w:rPr>
              <w:t>8</w:t>
            </w:r>
          </w:p>
        </w:tc>
        <w:tc>
          <w:tcPr>
            <w:tcW w:w="833" w:type="dxa"/>
          </w:tcPr>
          <w:p w14:paraId="611145F5" w14:textId="77777777" w:rsidR="00D619B4" w:rsidRPr="00417B57" w:rsidRDefault="00D619B4" w:rsidP="001C13FB">
            <w:pPr>
              <w:jc w:val="both"/>
              <w:rPr>
                <w:lang w:eastAsia="sk-SK"/>
              </w:rPr>
            </w:pPr>
            <w:r w:rsidRPr="00417B57">
              <w:rPr>
                <w:lang w:eastAsia="sk-SK"/>
              </w:rPr>
              <w:t>2</w:t>
            </w:r>
          </w:p>
        </w:tc>
        <w:tc>
          <w:tcPr>
            <w:tcW w:w="4534" w:type="dxa"/>
          </w:tcPr>
          <w:p w14:paraId="6EB5BB64" w14:textId="77777777" w:rsidR="00D619B4" w:rsidRPr="00417B57" w:rsidRDefault="00D619B4" w:rsidP="001C13FB">
            <w:pPr>
              <w:jc w:val="both"/>
              <w:rPr>
                <w:lang w:eastAsia="sk-SK"/>
              </w:rPr>
            </w:pPr>
            <w:r w:rsidRPr="00417B57">
              <w:rPr>
                <w:lang w:eastAsia="sk-SK"/>
              </w:rPr>
              <w:t>Analytik kybernetickej bezpečnosti (SOC špecialista senior)</w:t>
            </w:r>
          </w:p>
        </w:tc>
        <w:tc>
          <w:tcPr>
            <w:tcW w:w="1256" w:type="dxa"/>
          </w:tcPr>
          <w:p w14:paraId="4CE2E10A" w14:textId="77777777" w:rsidR="00D619B4" w:rsidRPr="00417B57" w:rsidRDefault="00D619B4" w:rsidP="001C13FB">
            <w:pPr>
              <w:jc w:val="both"/>
              <w:rPr>
                <w:lang w:eastAsia="sk-SK"/>
              </w:rPr>
            </w:pPr>
            <w:r w:rsidRPr="00417B57">
              <w:rPr>
                <w:lang w:eastAsia="sk-SK"/>
              </w:rPr>
              <w:t>3 600,-€</w:t>
            </w:r>
          </w:p>
        </w:tc>
        <w:tc>
          <w:tcPr>
            <w:tcW w:w="1530" w:type="dxa"/>
          </w:tcPr>
          <w:p w14:paraId="36E02442"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a)</w:t>
            </w:r>
          </w:p>
        </w:tc>
      </w:tr>
      <w:tr w:rsidR="00D619B4" w:rsidRPr="00417B57" w14:paraId="1205A630" w14:textId="77777777" w:rsidTr="001C13FB">
        <w:tc>
          <w:tcPr>
            <w:tcW w:w="909" w:type="dxa"/>
          </w:tcPr>
          <w:p w14:paraId="4040A2C3" w14:textId="77777777" w:rsidR="00D619B4" w:rsidRPr="00417B57" w:rsidRDefault="00D619B4" w:rsidP="001C13FB">
            <w:pPr>
              <w:jc w:val="both"/>
              <w:rPr>
                <w:lang w:eastAsia="sk-SK"/>
              </w:rPr>
            </w:pPr>
            <w:r>
              <w:rPr>
                <w:lang w:eastAsia="sk-SK"/>
              </w:rPr>
              <w:t>9</w:t>
            </w:r>
          </w:p>
        </w:tc>
        <w:tc>
          <w:tcPr>
            <w:tcW w:w="833" w:type="dxa"/>
          </w:tcPr>
          <w:p w14:paraId="0AB0D947" w14:textId="77777777" w:rsidR="00D619B4" w:rsidRPr="00417B57" w:rsidRDefault="00D619B4" w:rsidP="001C13FB">
            <w:pPr>
              <w:jc w:val="both"/>
              <w:rPr>
                <w:lang w:eastAsia="sk-SK"/>
              </w:rPr>
            </w:pPr>
            <w:r w:rsidRPr="00417B57">
              <w:rPr>
                <w:lang w:eastAsia="sk-SK"/>
              </w:rPr>
              <w:t>1</w:t>
            </w:r>
          </w:p>
        </w:tc>
        <w:tc>
          <w:tcPr>
            <w:tcW w:w="4534" w:type="dxa"/>
          </w:tcPr>
          <w:p w14:paraId="3D8C2261" w14:textId="77777777" w:rsidR="00D619B4" w:rsidRPr="00417B57" w:rsidRDefault="00D619B4" w:rsidP="001C13FB">
            <w:pPr>
              <w:jc w:val="both"/>
              <w:rPr>
                <w:lang w:eastAsia="sk-SK"/>
              </w:rPr>
            </w:pPr>
            <w:r w:rsidRPr="00417B57">
              <w:rPr>
                <w:lang w:eastAsia="sk-SK"/>
              </w:rPr>
              <w:t>Analytik kybernetickej bezpečnosti (SOC manažér)</w:t>
            </w:r>
          </w:p>
        </w:tc>
        <w:tc>
          <w:tcPr>
            <w:tcW w:w="1256" w:type="dxa"/>
          </w:tcPr>
          <w:p w14:paraId="440FB5CF" w14:textId="77777777" w:rsidR="00D619B4" w:rsidRPr="00417B57" w:rsidRDefault="00D619B4" w:rsidP="001C13FB">
            <w:pPr>
              <w:jc w:val="both"/>
              <w:rPr>
                <w:lang w:eastAsia="sk-SK"/>
              </w:rPr>
            </w:pPr>
            <w:r w:rsidRPr="00417B57">
              <w:rPr>
                <w:lang w:eastAsia="sk-SK"/>
              </w:rPr>
              <w:t>3 600,-€</w:t>
            </w:r>
          </w:p>
        </w:tc>
        <w:tc>
          <w:tcPr>
            <w:tcW w:w="1530" w:type="dxa"/>
          </w:tcPr>
          <w:p w14:paraId="29BEA67C" w14:textId="77777777" w:rsidR="00D619B4" w:rsidRPr="00417B57" w:rsidRDefault="00D619B4" w:rsidP="001C13FB">
            <w:pPr>
              <w:jc w:val="both"/>
              <w:rPr>
                <w:lang w:eastAsia="sk-SK"/>
              </w:rPr>
            </w:pPr>
            <w:r w:rsidRPr="00417B57">
              <w:rPr>
                <w:lang w:eastAsia="sk-SK"/>
              </w:rPr>
              <w:t xml:space="preserve">§ 23a ods. </w:t>
            </w:r>
            <w:r>
              <w:rPr>
                <w:lang w:eastAsia="sk-SK"/>
              </w:rPr>
              <w:t>2</w:t>
            </w:r>
            <w:r w:rsidRPr="00417B57">
              <w:rPr>
                <w:lang w:eastAsia="sk-SK"/>
              </w:rPr>
              <w:t xml:space="preserve"> písm. a)</w:t>
            </w:r>
          </w:p>
        </w:tc>
      </w:tr>
    </w:tbl>
    <w:p w14:paraId="7DC52952" w14:textId="77777777" w:rsidR="00D619B4" w:rsidRPr="00417B57" w:rsidRDefault="00D619B4" w:rsidP="00D619B4">
      <w:pPr>
        <w:tabs>
          <w:tab w:val="num" w:pos="1080"/>
        </w:tabs>
        <w:jc w:val="both"/>
        <w:rPr>
          <w:bCs/>
          <w:lang w:eastAsia="sk-SK"/>
        </w:rPr>
      </w:pPr>
    </w:p>
    <w:p w14:paraId="0FCF1D3D" w14:textId="77777777" w:rsidR="00D619B4" w:rsidRPr="00417B57" w:rsidRDefault="00D619B4" w:rsidP="00D619B4">
      <w:pPr>
        <w:tabs>
          <w:tab w:val="num" w:pos="1080"/>
        </w:tabs>
        <w:jc w:val="both"/>
        <w:rPr>
          <w:bCs/>
          <w:lang w:eastAsia="sk-SK"/>
        </w:rPr>
      </w:pPr>
    </w:p>
    <w:p w14:paraId="17A156C0" w14:textId="77777777" w:rsidR="00D619B4" w:rsidRPr="00417B57" w:rsidRDefault="00D619B4" w:rsidP="00D619B4">
      <w:pPr>
        <w:tabs>
          <w:tab w:val="num" w:pos="1080"/>
        </w:tabs>
        <w:jc w:val="both"/>
        <w:rPr>
          <w:bCs/>
          <w:lang w:eastAsia="sk-SK"/>
        </w:rPr>
      </w:pPr>
      <w:r w:rsidRPr="00417B57">
        <w:rPr>
          <w:bCs/>
          <w:lang w:eastAsia="sk-SK"/>
        </w:rPr>
        <w:t>Výška hrubej mzdy zahrnutá do výpočtov analýzy vplyvov na rozpočet verejnej správy vychádza z analýzy Inštitútu digitálnych a rozvojových politík (MIRRI SR</w:t>
      </w:r>
      <w:r>
        <w:rPr>
          <w:bCs/>
          <w:lang w:eastAsia="sk-SK"/>
        </w:rPr>
        <w:t xml:space="preserve"> </w:t>
      </w:r>
      <w:hyperlink r:id="rId12" w:history="1">
        <w:r w:rsidRPr="001C5594">
          <w:rPr>
            <w:rStyle w:val="Hypertextovprepojenie"/>
            <w:bCs/>
            <w:lang w:eastAsia="sk-SK"/>
          </w:rPr>
          <w:t>https://www.mirri.gov.sk/wp-content/uploads/2019/09/Publikacia-priemernych-sadzieb-za-clovekoden-jednotlivych-roli-spojenych-s-vyvojom-aplikacii.pdf</w:t>
        </w:r>
      </w:hyperlink>
      <w:r w:rsidRPr="00417B57">
        <w:rPr>
          <w:bCs/>
          <w:lang w:eastAsia="sk-SK"/>
        </w:rPr>
        <w:t>) a prieskumu pracovného trhu a otvorených pracovných pozícií zverejnených na inzertnom portáli pracovných pozícií. Uvedená výška mzdy bola stanovená ako priemerná ponúkaná základná mzda bez príplatkov a ďalších benefitov, ktorá je ponúkaná pre obdobnú pracovnú činnosť, navýšená o</w:t>
      </w:r>
      <w:r>
        <w:rPr>
          <w:bCs/>
          <w:lang w:eastAsia="sk-SK"/>
        </w:rPr>
        <w:t xml:space="preserve"> v priemere približne </w:t>
      </w:r>
      <w:r w:rsidRPr="00417B57">
        <w:rPr>
          <w:bCs/>
          <w:lang w:eastAsia="sk-SK"/>
        </w:rPr>
        <w:t>15 % vzhľadom na úroveň odbornej kvalifikácie potrebnej pre výkon činnosti vládnej jednotky CSIRT. Výška mzdy je stanovená pre rok 2023 a nasl. a reflektuje nedostatok odborných kapacít na trhu práce a predpokladaný medziročný rast inflácie a platov.</w:t>
      </w:r>
    </w:p>
    <w:p w14:paraId="2389AFF6" w14:textId="77777777" w:rsidR="00D619B4" w:rsidRPr="00417B57" w:rsidRDefault="00D619B4" w:rsidP="00D619B4">
      <w:pPr>
        <w:tabs>
          <w:tab w:val="num" w:pos="1080"/>
        </w:tabs>
        <w:jc w:val="both"/>
        <w:rPr>
          <w:bCs/>
          <w:lang w:eastAsia="sk-SK"/>
        </w:rPr>
      </w:pPr>
    </w:p>
    <w:p w14:paraId="74302A49" w14:textId="77777777" w:rsidR="00D619B4" w:rsidRPr="00417B57" w:rsidRDefault="00D619B4" w:rsidP="00D619B4">
      <w:pPr>
        <w:tabs>
          <w:tab w:val="num" w:pos="1080"/>
        </w:tabs>
        <w:jc w:val="both"/>
        <w:rPr>
          <w:bCs/>
          <w:szCs w:val="20"/>
          <w:lang w:eastAsia="sk-SK"/>
        </w:rPr>
      </w:pPr>
      <w:r w:rsidRPr="00417B57">
        <w:rPr>
          <w:bCs/>
          <w:lang w:eastAsia="sk-SK"/>
        </w:rPr>
        <w:t>Indikatívny prehľad obdobných pracovných ponúk zverejnených na inzertnom portáli:</w:t>
      </w:r>
    </w:p>
    <w:p w14:paraId="76D31C04" w14:textId="77777777" w:rsidR="00D619B4" w:rsidRPr="00417B57" w:rsidRDefault="00D619B4" w:rsidP="00D619B4">
      <w:pPr>
        <w:tabs>
          <w:tab w:val="num" w:pos="1080"/>
        </w:tabs>
        <w:jc w:val="both"/>
        <w:rPr>
          <w:bCs/>
          <w:szCs w:val="20"/>
          <w:lang w:eastAsia="sk-SK"/>
        </w:rPr>
      </w:pPr>
    </w:p>
    <w:p w14:paraId="1BE6BC11" w14:textId="77777777" w:rsidR="00D619B4" w:rsidRPr="00417B57" w:rsidRDefault="00D619B4" w:rsidP="00D619B4">
      <w:pPr>
        <w:rPr>
          <w:lang w:eastAsia="sk-SK"/>
        </w:rPr>
      </w:pPr>
      <w:r w:rsidRPr="00417B57">
        <w:rPr>
          <w:lang w:eastAsia="sk-SK"/>
        </w:rPr>
        <w:t>Pozícia č. 1 a č. 2</w:t>
      </w:r>
    </w:p>
    <w:tbl>
      <w:tblPr>
        <w:tblStyle w:val="Mriekatabuky"/>
        <w:tblW w:w="0" w:type="auto"/>
        <w:tblLook w:val="04A0" w:firstRow="1" w:lastRow="0" w:firstColumn="1" w:lastColumn="0" w:noHBand="0" w:noVBand="1"/>
      </w:tblPr>
      <w:tblGrid>
        <w:gridCol w:w="4531"/>
        <w:gridCol w:w="4531"/>
      </w:tblGrid>
      <w:tr w:rsidR="00D619B4" w:rsidRPr="00417B57" w14:paraId="3DB0A7F8" w14:textId="77777777" w:rsidTr="001C13FB">
        <w:tc>
          <w:tcPr>
            <w:tcW w:w="4531" w:type="dxa"/>
          </w:tcPr>
          <w:p w14:paraId="7DC9A054"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531" w:type="dxa"/>
          </w:tcPr>
          <w:p w14:paraId="3B18B3A6"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3ADBA532" w14:textId="77777777" w:rsidTr="001C13FB">
        <w:tc>
          <w:tcPr>
            <w:tcW w:w="4531" w:type="dxa"/>
          </w:tcPr>
          <w:p w14:paraId="3D28A591"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https://www.profesia.sk/praca/siemens-slovensko/O4452452</w:t>
            </w:r>
          </w:p>
        </w:tc>
        <w:tc>
          <w:tcPr>
            <w:tcW w:w="4531" w:type="dxa"/>
          </w:tcPr>
          <w:p w14:paraId="5B6488A9" w14:textId="77777777" w:rsidR="00D619B4" w:rsidRPr="00417B57" w:rsidRDefault="00D619B4" w:rsidP="001C13FB">
            <w:pPr>
              <w:tabs>
                <w:tab w:val="left" w:pos="1087"/>
              </w:tabs>
              <w:jc w:val="both"/>
              <w:rPr>
                <w:bCs/>
                <w:szCs w:val="20"/>
                <w:lang w:eastAsia="sk-SK"/>
              </w:rPr>
            </w:pPr>
            <w:r w:rsidRPr="00417B57">
              <w:rPr>
                <w:bCs/>
                <w:szCs w:val="20"/>
                <w:lang w:eastAsia="sk-SK"/>
              </w:rPr>
              <w:t>3000</w:t>
            </w:r>
          </w:p>
        </w:tc>
      </w:tr>
      <w:tr w:rsidR="00D619B4" w:rsidRPr="00417B57" w14:paraId="1800C0F7" w14:textId="77777777" w:rsidTr="001C13FB">
        <w:tc>
          <w:tcPr>
            <w:tcW w:w="4531" w:type="dxa"/>
          </w:tcPr>
          <w:p w14:paraId="175D34ED"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https://www.profesia.sk/praca/randstad-hr-solutions/O4404308</w:t>
            </w:r>
          </w:p>
        </w:tc>
        <w:tc>
          <w:tcPr>
            <w:tcW w:w="4531" w:type="dxa"/>
          </w:tcPr>
          <w:p w14:paraId="6DC41FB1" w14:textId="77777777" w:rsidR="00D619B4" w:rsidRPr="00417B57" w:rsidRDefault="00D619B4" w:rsidP="001C13FB">
            <w:pPr>
              <w:tabs>
                <w:tab w:val="left" w:pos="1087"/>
              </w:tabs>
              <w:jc w:val="both"/>
              <w:rPr>
                <w:bCs/>
                <w:szCs w:val="20"/>
                <w:lang w:eastAsia="sk-SK"/>
              </w:rPr>
            </w:pPr>
            <w:r w:rsidRPr="00417B57">
              <w:rPr>
                <w:bCs/>
                <w:szCs w:val="20"/>
                <w:lang w:eastAsia="sk-SK"/>
              </w:rPr>
              <w:t>3000</w:t>
            </w:r>
          </w:p>
        </w:tc>
      </w:tr>
      <w:tr w:rsidR="00D619B4" w:rsidRPr="00417B57" w14:paraId="033BA5E6" w14:textId="77777777" w:rsidTr="001C13FB">
        <w:tc>
          <w:tcPr>
            <w:tcW w:w="4531" w:type="dxa"/>
          </w:tcPr>
          <w:p w14:paraId="6FF77A5A"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https://www.profesia.sk/praca/siemens-slovensko/O4356468</w:t>
            </w:r>
          </w:p>
        </w:tc>
        <w:tc>
          <w:tcPr>
            <w:tcW w:w="4531" w:type="dxa"/>
          </w:tcPr>
          <w:p w14:paraId="041DB87F" w14:textId="77777777" w:rsidR="00D619B4" w:rsidRPr="00417B57" w:rsidRDefault="00D619B4" w:rsidP="001C13FB">
            <w:pPr>
              <w:tabs>
                <w:tab w:val="left" w:pos="1087"/>
              </w:tabs>
              <w:jc w:val="both"/>
              <w:rPr>
                <w:bCs/>
                <w:szCs w:val="20"/>
                <w:lang w:eastAsia="sk-SK"/>
              </w:rPr>
            </w:pPr>
            <w:r w:rsidRPr="00417B57">
              <w:rPr>
                <w:bCs/>
                <w:szCs w:val="20"/>
                <w:lang w:eastAsia="sk-SK"/>
              </w:rPr>
              <w:t>2800</w:t>
            </w:r>
          </w:p>
        </w:tc>
      </w:tr>
      <w:tr w:rsidR="00D619B4" w:rsidRPr="00417B57" w14:paraId="1CCD4E26" w14:textId="77777777" w:rsidTr="001C13FB">
        <w:tc>
          <w:tcPr>
            <w:tcW w:w="4531" w:type="dxa"/>
          </w:tcPr>
          <w:p w14:paraId="22582027" w14:textId="77777777" w:rsidR="00D619B4" w:rsidRPr="00417B57" w:rsidRDefault="00D619B4" w:rsidP="001C13FB">
            <w:pPr>
              <w:tabs>
                <w:tab w:val="left" w:pos="1087"/>
              </w:tabs>
              <w:jc w:val="both"/>
              <w:rPr>
                <w:bCs/>
                <w:szCs w:val="20"/>
                <w:lang w:eastAsia="sk-SK"/>
              </w:rPr>
            </w:pPr>
            <w:r w:rsidRPr="00417B57">
              <w:rPr>
                <w:b/>
                <w:bCs/>
                <w:szCs w:val="20"/>
                <w:lang w:eastAsia="sk-SK"/>
              </w:rPr>
              <w:t>priemer</w:t>
            </w:r>
          </w:p>
        </w:tc>
        <w:tc>
          <w:tcPr>
            <w:tcW w:w="4531" w:type="dxa"/>
          </w:tcPr>
          <w:p w14:paraId="29D64978" w14:textId="77777777" w:rsidR="00D619B4" w:rsidRPr="00417B57" w:rsidRDefault="00D619B4" w:rsidP="001C13FB">
            <w:pPr>
              <w:tabs>
                <w:tab w:val="left" w:pos="1087"/>
              </w:tabs>
              <w:jc w:val="both"/>
              <w:rPr>
                <w:b/>
                <w:bCs/>
                <w:szCs w:val="20"/>
                <w:lang w:eastAsia="sk-SK"/>
              </w:rPr>
            </w:pPr>
            <w:r w:rsidRPr="00417B57">
              <w:rPr>
                <w:b/>
                <w:bCs/>
                <w:szCs w:val="20"/>
                <w:lang w:eastAsia="sk-SK"/>
              </w:rPr>
              <w:t>2930</w:t>
            </w:r>
          </w:p>
        </w:tc>
      </w:tr>
    </w:tbl>
    <w:p w14:paraId="0B3BBB36" w14:textId="77777777" w:rsidR="00D619B4" w:rsidRPr="00417B57" w:rsidRDefault="00D619B4" w:rsidP="00D619B4">
      <w:pPr>
        <w:tabs>
          <w:tab w:val="num" w:pos="1080"/>
        </w:tabs>
        <w:jc w:val="both"/>
        <w:rPr>
          <w:bCs/>
          <w:szCs w:val="20"/>
          <w:lang w:eastAsia="sk-SK"/>
        </w:rPr>
      </w:pPr>
    </w:p>
    <w:p w14:paraId="0D89AAF6" w14:textId="77777777" w:rsidR="00D619B4" w:rsidRPr="00417B57" w:rsidRDefault="00D619B4" w:rsidP="00D619B4">
      <w:pPr>
        <w:tabs>
          <w:tab w:val="num" w:pos="1080"/>
        </w:tabs>
        <w:jc w:val="both"/>
        <w:rPr>
          <w:bCs/>
          <w:szCs w:val="20"/>
          <w:lang w:eastAsia="sk-SK"/>
        </w:rPr>
      </w:pPr>
    </w:p>
    <w:p w14:paraId="75705683" w14:textId="77777777" w:rsidR="00D619B4" w:rsidRPr="00417B57" w:rsidRDefault="00D619B4" w:rsidP="00D619B4">
      <w:pPr>
        <w:tabs>
          <w:tab w:val="left" w:pos="7920"/>
        </w:tabs>
        <w:rPr>
          <w:szCs w:val="20"/>
          <w:lang w:eastAsia="sk-SK"/>
        </w:rPr>
      </w:pPr>
      <w:r w:rsidRPr="00417B57">
        <w:rPr>
          <w:lang w:eastAsia="sk-SK"/>
        </w:rPr>
        <w:t>Pozícia č. 3</w:t>
      </w:r>
    </w:p>
    <w:tbl>
      <w:tblPr>
        <w:tblStyle w:val="Mriekatabuky"/>
        <w:tblW w:w="0" w:type="auto"/>
        <w:tblLook w:val="04A0" w:firstRow="1" w:lastRow="0" w:firstColumn="1" w:lastColumn="0" w:noHBand="0" w:noVBand="1"/>
      </w:tblPr>
      <w:tblGrid>
        <w:gridCol w:w="4531"/>
        <w:gridCol w:w="4531"/>
      </w:tblGrid>
      <w:tr w:rsidR="00D619B4" w:rsidRPr="00417B57" w14:paraId="6BBDD3B3" w14:textId="77777777" w:rsidTr="001C13FB">
        <w:tc>
          <w:tcPr>
            <w:tcW w:w="4531" w:type="dxa"/>
          </w:tcPr>
          <w:p w14:paraId="71B3D3CD"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531" w:type="dxa"/>
          </w:tcPr>
          <w:p w14:paraId="1AD15530"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2A3E4E4C" w14:textId="77777777" w:rsidTr="001C13FB">
        <w:tc>
          <w:tcPr>
            <w:tcW w:w="4531" w:type="dxa"/>
          </w:tcPr>
          <w:p w14:paraId="6C6F5BE2"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https://www.profesia.sk/praca/siemens-slovensko/O4452443</w:t>
            </w:r>
          </w:p>
        </w:tc>
        <w:tc>
          <w:tcPr>
            <w:tcW w:w="4531" w:type="dxa"/>
          </w:tcPr>
          <w:p w14:paraId="0724CFA3" w14:textId="77777777" w:rsidR="00D619B4" w:rsidRPr="00417B57" w:rsidRDefault="00D619B4" w:rsidP="001C13FB">
            <w:pPr>
              <w:tabs>
                <w:tab w:val="left" w:pos="1087"/>
              </w:tabs>
              <w:jc w:val="both"/>
              <w:rPr>
                <w:bCs/>
                <w:szCs w:val="20"/>
                <w:lang w:eastAsia="sk-SK"/>
              </w:rPr>
            </w:pPr>
            <w:r w:rsidRPr="00417B57">
              <w:rPr>
                <w:bCs/>
                <w:szCs w:val="20"/>
                <w:lang w:eastAsia="sk-SK"/>
              </w:rPr>
              <w:t>4000</w:t>
            </w:r>
          </w:p>
        </w:tc>
      </w:tr>
      <w:tr w:rsidR="00D619B4" w:rsidRPr="00417B57" w14:paraId="34339776" w14:textId="77777777" w:rsidTr="001C13FB">
        <w:tc>
          <w:tcPr>
            <w:tcW w:w="4531" w:type="dxa"/>
          </w:tcPr>
          <w:p w14:paraId="334E8849"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https://www.profesia.sk/praca/siemens-slovensko/O4452448</w:t>
            </w:r>
          </w:p>
        </w:tc>
        <w:tc>
          <w:tcPr>
            <w:tcW w:w="4531" w:type="dxa"/>
          </w:tcPr>
          <w:p w14:paraId="66CF27B7" w14:textId="77777777" w:rsidR="00D619B4" w:rsidRPr="00417B57" w:rsidRDefault="00D619B4" w:rsidP="001C13FB">
            <w:pPr>
              <w:tabs>
                <w:tab w:val="left" w:pos="1087"/>
              </w:tabs>
              <w:jc w:val="both"/>
              <w:rPr>
                <w:bCs/>
                <w:szCs w:val="20"/>
                <w:lang w:eastAsia="sk-SK"/>
              </w:rPr>
            </w:pPr>
            <w:r w:rsidRPr="00417B57">
              <w:rPr>
                <w:bCs/>
                <w:szCs w:val="20"/>
                <w:lang w:eastAsia="sk-SK"/>
              </w:rPr>
              <w:t>4000</w:t>
            </w:r>
          </w:p>
        </w:tc>
      </w:tr>
      <w:tr w:rsidR="00D619B4" w:rsidRPr="00417B57" w14:paraId="5907F969" w14:textId="77777777" w:rsidTr="001C13FB">
        <w:tc>
          <w:tcPr>
            <w:tcW w:w="4531" w:type="dxa"/>
          </w:tcPr>
          <w:p w14:paraId="3A4646A2"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https://www.profesia.sk/praca/swiss-re/O4430776</w:t>
            </w:r>
          </w:p>
        </w:tc>
        <w:tc>
          <w:tcPr>
            <w:tcW w:w="4531" w:type="dxa"/>
          </w:tcPr>
          <w:p w14:paraId="35109A9B" w14:textId="77777777" w:rsidR="00D619B4" w:rsidRPr="00417B57" w:rsidRDefault="00D619B4" w:rsidP="001C13FB">
            <w:pPr>
              <w:tabs>
                <w:tab w:val="left" w:pos="1087"/>
              </w:tabs>
              <w:jc w:val="both"/>
              <w:rPr>
                <w:bCs/>
                <w:szCs w:val="20"/>
                <w:lang w:eastAsia="sk-SK"/>
              </w:rPr>
            </w:pPr>
            <w:r w:rsidRPr="00417B57">
              <w:rPr>
                <w:bCs/>
                <w:szCs w:val="20"/>
                <w:lang w:eastAsia="sk-SK"/>
              </w:rPr>
              <w:t>2500</w:t>
            </w:r>
          </w:p>
        </w:tc>
      </w:tr>
      <w:tr w:rsidR="00D619B4" w:rsidRPr="00417B57" w14:paraId="00C7C7E0" w14:textId="77777777" w:rsidTr="001C13FB">
        <w:tc>
          <w:tcPr>
            <w:tcW w:w="4531" w:type="dxa"/>
          </w:tcPr>
          <w:p w14:paraId="21F80777" w14:textId="77777777" w:rsidR="00D619B4" w:rsidRPr="00417B57" w:rsidRDefault="00D619B4" w:rsidP="001C13FB">
            <w:pPr>
              <w:tabs>
                <w:tab w:val="left" w:pos="1087"/>
              </w:tabs>
              <w:jc w:val="both"/>
              <w:rPr>
                <w:bCs/>
                <w:szCs w:val="20"/>
                <w:lang w:eastAsia="sk-SK"/>
              </w:rPr>
            </w:pPr>
            <w:r w:rsidRPr="00417B57">
              <w:rPr>
                <w:b/>
                <w:bCs/>
                <w:szCs w:val="20"/>
                <w:lang w:eastAsia="sk-SK"/>
              </w:rPr>
              <w:t>priemer</w:t>
            </w:r>
          </w:p>
        </w:tc>
        <w:tc>
          <w:tcPr>
            <w:tcW w:w="4531" w:type="dxa"/>
          </w:tcPr>
          <w:p w14:paraId="43431D4C" w14:textId="77777777" w:rsidR="00D619B4" w:rsidRPr="00417B57" w:rsidRDefault="00D619B4" w:rsidP="001C13FB">
            <w:pPr>
              <w:tabs>
                <w:tab w:val="left" w:pos="1087"/>
              </w:tabs>
              <w:jc w:val="both"/>
              <w:rPr>
                <w:bCs/>
                <w:szCs w:val="20"/>
                <w:lang w:eastAsia="sk-SK"/>
              </w:rPr>
            </w:pPr>
            <w:r w:rsidRPr="00417B57">
              <w:rPr>
                <w:b/>
                <w:bCs/>
                <w:szCs w:val="20"/>
                <w:lang w:eastAsia="sk-SK"/>
              </w:rPr>
              <w:t>3500</w:t>
            </w:r>
          </w:p>
        </w:tc>
      </w:tr>
    </w:tbl>
    <w:p w14:paraId="0B4B98FF" w14:textId="77777777" w:rsidR="00D619B4" w:rsidRPr="00417B57" w:rsidRDefault="00D619B4" w:rsidP="00D619B4">
      <w:pPr>
        <w:tabs>
          <w:tab w:val="num" w:pos="1080"/>
        </w:tabs>
        <w:jc w:val="both"/>
        <w:rPr>
          <w:bCs/>
          <w:szCs w:val="20"/>
          <w:lang w:eastAsia="sk-SK"/>
        </w:rPr>
      </w:pPr>
    </w:p>
    <w:p w14:paraId="6E392017" w14:textId="77777777" w:rsidR="00D619B4" w:rsidRPr="00417B57" w:rsidRDefault="00D619B4" w:rsidP="00D619B4">
      <w:pPr>
        <w:tabs>
          <w:tab w:val="num" w:pos="1080"/>
        </w:tabs>
        <w:jc w:val="both"/>
        <w:rPr>
          <w:bCs/>
          <w:szCs w:val="20"/>
          <w:lang w:eastAsia="sk-SK"/>
        </w:rPr>
      </w:pPr>
    </w:p>
    <w:p w14:paraId="2090F334" w14:textId="77777777" w:rsidR="00D619B4" w:rsidRPr="00417B57" w:rsidRDefault="00D619B4" w:rsidP="00D619B4">
      <w:pPr>
        <w:tabs>
          <w:tab w:val="num" w:pos="1080"/>
        </w:tabs>
        <w:jc w:val="both"/>
        <w:rPr>
          <w:bCs/>
          <w:szCs w:val="20"/>
          <w:lang w:eastAsia="sk-SK"/>
        </w:rPr>
      </w:pPr>
    </w:p>
    <w:p w14:paraId="73CECFDA" w14:textId="77777777" w:rsidR="00D619B4" w:rsidRPr="00417B57" w:rsidRDefault="00D619B4" w:rsidP="00D619B4">
      <w:pPr>
        <w:tabs>
          <w:tab w:val="left" w:pos="7920"/>
        </w:tabs>
        <w:rPr>
          <w:szCs w:val="20"/>
          <w:lang w:eastAsia="sk-SK"/>
        </w:rPr>
      </w:pPr>
      <w:r w:rsidRPr="00417B57">
        <w:rPr>
          <w:lang w:eastAsia="sk-SK"/>
        </w:rPr>
        <w:t xml:space="preserve">Pozícia č. </w:t>
      </w:r>
      <w:r>
        <w:rPr>
          <w:lang w:eastAsia="sk-SK"/>
        </w:rPr>
        <w:t>4</w:t>
      </w:r>
      <w:r w:rsidRPr="00417B57">
        <w:rPr>
          <w:szCs w:val="20"/>
          <w:lang w:eastAsia="sk-SK"/>
        </w:rPr>
        <w:tab/>
      </w:r>
    </w:p>
    <w:tbl>
      <w:tblPr>
        <w:tblStyle w:val="Mriekatabuky"/>
        <w:tblW w:w="0" w:type="auto"/>
        <w:tblLook w:val="04A0" w:firstRow="1" w:lastRow="0" w:firstColumn="1" w:lastColumn="0" w:noHBand="0" w:noVBand="1"/>
      </w:tblPr>
      <w:tblGrid>
        <w:gridCol w:w="4531"/>
        <w:gridCol w:w="4531"/>
      </w:tblGrid>
      <w:tr w:rsidR="00D619B4" w:rsidRPr="00417B57" w14:paraId="05A42292" w14:textId="77777777" w:rsidTr="001C13FB">
        <w:tc>
          <w:tcPr>
            <w:tcW w:w="4531" w:type="dxa"/>
          </w:tcPr>
          <w:p w14:paraId="6008E6B7"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531" w:type="dxa"/>
          </w:tcPr>
          <w:p w14:paraId="5087D285"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49D172C9" w14:textId="77777777" w:rsidTr="001C13FB">
        <w:tc>
          <w:tcPr>
            <w:tcW w:w="4531" w:type="dxa"/>
          </w:tcPr>
          <w:p w14:paraId="04CEDDE2"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https://www.profesia.sk/praca/siemens-slovensko/O4340157</w:t>
            </w:r>
          </w:p>
        </w:tc>
        <w:tc>
          <w:tcPr>
            <w:tcW w:w="4531" w:type="dxa"/>
          </w:tcPr>
          <w:p w14:paraId="0F22EC57" w14:textId="77777777" w:rsidR="00D619B4" w:rsidRPr="00417B57" w:rsidRDefault="00D619B4" w:rsidP="001C13FB">
            <w:pPr>
              <w:tabs>
                <w:tab w:val="left" w:pos="1087"/>
              </w:tabs>
              <w:jc w:val="both"/>
              <w:rPr>
                <w:bCs/>
                <w:szCs w:val="20"/>
                <w:lang w:eastAsia="sk-SK"/>
              </w:rPr>
            </w:pPr>
            <w:r w:rsidRPr="00417B57">
              <w:rPr>
                <w:bCs/>
                <w:szCs w:val="20"/>
                <w:lang w:eastAsia="sk-SK"/>
              </w:rPr>
              <w:t>2000</w:t>
            </w:r>
          </w:p>
        </w:tc>
      </w:tr>
      <w:tr w:rsidR="00D619B4" w:rsidRPr="00417B57" w14:paraId="2121AFFC" w14:textId="77777777" w:rsidTr="001C13FB">
        <w:tc>
          <w:tcPr>
            <w:tcW w:w="4531" w:type="dxa"/>
          </w:tcPr>
          <w:p w14:paraId="032D772B"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https://www.profesia.sk/praca/csob-leasing/O4463464</w:t>
            </w:r>
          </w:p>
        </w:tc>
        <w:tc>
          <w:tcPr>
            <w:tcW w:w="4531" w:type="dxa"/>
          </w:tcPr>
          <w:p w14:paraId="0241608D" w14:textId="77777777" w:rsidR="00D619B4" w:rsidRPr="00417B57" w:rsidRDefault="00D619B4" w:rsidP="001C13FB">
            <w:pPr>
              <w:tabs>
                <w:tab w:val="left" w:pos="1087"/>
              </w:tabs>
              <w:jc w:val="both"/>
              <w:rPr>
                <w:bCs/>
                <w:szCs w:val="20"/>
                <w:lang w:eastAsia="sk-SK"/>
              </w:rPr>
            </w:pPr>
            <w:r w:rsidRPr="00417B57">
              <w:rPr>
                <w:bCs/>
                <w:szCs w:val="20"/>
                <w:lang w:eastAsia="sk-SK"/>
              </w:rPr>
              <w:t>2200</w:t>
            </w:r>
          </w:p>
        </w:tc>
      </w:tr>
      <w:tr w:rsidR="00D619B4" w:rsidRPr="00417B57" w14:paraId="0C4EEA2A" w14:textId="77777777" w:rsidTr="001C13FB">
        <w:tc>
          <w:tcPr>
            <w:tcW w:w="4531" w:type="dxa"/>
          </w:tcPr>
          <w:p w14:paraId="246907D9"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https://www.profesia.sk/praca/quest-software-slovakia/O4462423</w:t>
            </w:r>
          </w:p>
        </w:tc>
        <w:tc>
          <w:tcPr>
            <w:tcW w:w="4531" w:type="dxa"/>
          </w:tcPr>
          <w:p w14:paraId="6C5ECF98" w14:textId="77777777" w:rsidR="00D619B4" w:rsidRPr="00417B57" w:rsidRDefault="00D619B4" w:rsidP="001C13FB">
            <w:pPr>
              <w:tabs>
                <w:tab w:val="left" w:pos="1087"/>
              </w:tabs>
              <w:jc w:val="both"/>
              <w:rPr>
                <w:bCs/>
                <w:szCs w:val="20"/>
                <w:lang w:eastAsia="sk-SK"/>
              </w:rPr>
            </w:pPr>
            <w:r w:rsidRPr="00417B57">
              <w:rPr>
                <w:bCs/>
                <w:szCs w:val="20"/>
                <w:lang w:eastAsia="sk-SK"/>
              </w:rPr>
              <w:t>2000</w:t>
            </w:r>
          </w:p>
        </w:tc>
      </w:tr>
      <w:tr w:rsidR="00D619B4" w:rsidRPr="00417B57" w14:paraId="4F3D577D" w14:textId="77777777" w:rsidTr="001C13FB">
        <w:tc>
          <w:tcPr>
            <w:tcW w:w="4531" w:type="dxa"/>
          </w:tcPr>
          <w:p w14:paraId="4A7A0F1F" w14:textId="77777777" w:rsidR="00D619B4" w:rsidRPr="00417B57" w:rsidRDefault="00D619B4" w:rsidP="001C13FB">
            <w:pPr>
              <w:tabs>
                <w:tab w:val="left" w:pos="1087"/>
              </w:tabs>
              <w:jc w:val="both"/>
              <w:rPr>
                <w:bCs/>
                <w:szCs w:val="20"/>
                <w:lang w:eastAsia="sk-SK"/>
              </w:rPr>
            </w:pPr>
            <w:r w:rsidRPr="00417B57">
              <w:rPr>
                <w:b/>
                <w:bCs/>
                <w:szCs w:val="20"/>
                <w:lang w:eastAsia="sk-SK"/>
              </w:rPr>
              <w:t>priemer</w:t>
            </w:r>
          </w:p>
        </w:tc>
        <w:tc>
          <w:tcPr>
            <w:tcW w:w="4531" w:type="dxa"/>
          </w:tcPr>
          <w:p w14:paraId="47A2E523" w14:textId="77777777" w:rsidR="00D619B4" w:rsidRPr="00417B57" w:rsidRDefault="00D619B4" w:rsidP="001C13FB">
            <w:pPr>
              <w:tabs>
                <w:tab w:val="left" w:pos="1087"/>
              </w:tabs>
              <w:jc w:val="both"/>
              <w:rPr>
                <w:b/>
                <w:bCs/>
                <w:szCs w:val="20"/>
                <w:lang w:eastAsia="sk-SK"/>
              </w:rPr>
            </w:pPr>
            <w:r w:rsidRPr="00417B57">
              <w:rPr>
                <w:b/>
                <w:bCs/>
                <w:szCs w:val="20"/>
                <w:lang w:eastAsia="sk-SK"/>
              </w:rPr>
              <w:t>2067</w:t>
            </w:r>
          </w:p>
        </w:tc>
      </w:tr>
    </w:tbl>
    <w:p w14:paraId="7F524633" w14:textId="77777777" w:rsidR="00D619B4" w:rsidRPr="00417B57" w:rsidRDefault="00D619B4" w:rsidP="00D619B4">
      <w:pPr>
        <w:tabs>
          <w:tab w:val="num" w:pos="1080"/>
        </w:tabs>
        <w:jc w:val="both"/>
        <w:rPr>
          <w:bCs/>
          <w:szCs w:val="20"/>
          <w:lang w:eastAsia="sk-SK"/>
        </w:rPr>
      </w:pPr>
    </w:p>
    <w:p w14:paraId="125C1308" w14:textId="77777777" w:rsidR="00D619B4" w:rsidRPr="00417B57" w:rsidRDefault="00D619B4" w:rsidP="00D619B4">
      <w:pPr>
        <w:tabs>
          <w:tab w:val="num" w:pos="1080"/>
        </w:tabs>
        <w:jc w:val="both"/>
        <w:rPr>
          <w:bCs/>
          <w:szCs w:val="20"/>
          <w:lang w:eastAsia="sk-SK"/>
        </w:rPr>
      </w:pPr>
    </w:p>
    <w:p w14:paraId="7152E129" w14:textId="77777777" w:rsidR="00D619B4" w:rsidRPr="00417B57" w:rsidRDefault="00D619B4" w:rsidP="00D619B4">
      <w:pPr>
        <w:tabs>
          <w:tab w:val="num" w:pos="1080"/>
        </w:tabs>
        <w:jc w:val="both"/>
        <w:rPr>
          <w:bCs/>
          <w:szCs w:val="20"/>
          <w:lang w:eastAsia="sk-SK"/>
        </w:rPr>
      </w:pPr>
    </w:p>
    <w:p w14:paraId="1394D822" w14:textId="77777777" w:rsidR="00D619B4" w:rsidRPr="00417B57" w:rsidRDefault="00D619B4" w:rsidP="00D619B4">
      <w:pPr>
        <w:tabs>
          <w:tab w:val="left" w:pos="1080"/>
        </w:tabs>
        <w:rPr>
          <w:lang w:eastAsia="sk-SK"/>
        </w:rPr>
      </w:pPr>
      <w:r w:rsidRPr="00417B57">
        <w:rPr>
          <w:lang w:eastAsia="sk-SK"/>
        </w:rPr>
        <w:t xml:space="preserve">Pozícia č. </w:t>
      </w:r>
      <w:r>
        <w:rPr>
          <w:lang w:eastAsia="sk-SK"/>
        </w:rPr>
        <w:t>5</w:t>
      </w:r>
    </w:p>
    <w:tbl>
      <w:tblPr>
        <w:tblStyle w:val="Mriekatabuky"/>
        <w:tblW w:w="0" w:type="auto"/>
        <w:tblLook w:val="04A0" w:firstRow="1" w:lastRow="0" w:firstColumn="1" w:lastColumn="0" w:noHBand="0" w:noVBand="1"/>
      </w:tblPr>
      <w:tblGrid>
        <w:gridCol w:w="4869"/>
        <w:gridCol w:w="4193"/>
      </w:tblGrid>
      <w:tr w:rsidR="00D619B4" w:rsidRPr="00417B57" w14:paraId="353B56E7" w14:textId="77777777" w:rsidTr="001C13FB">
        <w:tc>
          <w:tcPr>
            <w:tcW w:w="4531" w:type="dxa"/>
          </w:tcPr>
          <w:p w14:paraId="50345C1A"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531" w:type="dxa"/>
          </w:tcPr>
          <w:p w14:paraId="03BE43CA"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0F131DF6" w14:textId="77777777" w:rsidTr="001C13FB">
        <w:tc>
          <w:tcPr>
            <w:tcW w:w="4531" w:type="dxa"/>
          </w:tcPr>
          <w:p w14:paraId="4081B070"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https://www.profesia.sk/praca/takeda/O4330918</w:t>
            </w:r>
          </w:p>
        </w:tc>
        <w:tc>
          <w:tcPr>
            <w:tcW w:w="4531" w:type="dxa"/>
          </w:tcPr>
          <w:p w14:paraId="4A5A8E55" w14:textId="77777777" w:rsidR="00D619B4" w:rsidRPr="00417B57" w:rsidRDefault="00D619B4" w:rsidP="001C13FB">
            <w:pPr>
              <w:tabs>
                <w:tab w:val="left" w:pos="1087"/>
              </w:tabs>
              <w:jc w:val="both"/>
              <w:rPr>
                <w:bCs/>
                <w:szCs w:val="20"/>
                <w:lang w:eastAsia="sk-SK"/>
              </w:rPr>
            </w:pPr>
            <w:r w:rsidRPr="00417B57">
              <w:rPr>
                <w:bCs/>
                <w:szCs w:val="20"/>
                <w:lang w:eastAsia="sk-SK"/>
              </w:rPr>
              <w:t>2640</w:t>
            </w:r>
          </w:p>
        </w:tc>
      </w:tr>
      <w:tr w:rsidR="00D619B4" w:rsidRPr="00417B57" w14:paraId="0E6B2341" w14:textId="77777777" w:rsidTr="001C13FB">
        <w:tc>
          <w:tcPr>
            <w:tcW w:w="4531" w:type="dxa"/>
          </w:tcPr>
          <w:p w14:paraId="6B7119FE"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https://www.profesia.sk/praca/pro-hr/O4186837</w:t>
            </w:r>
          </w:p>
        </w:tc>
        <w:tc>
          <w:tcPr>
            <w:tcW w:w="4531" w:type="dxa"/>
          </w:tcPr>
          <w:p w14:paraId="6CFF04E1" w14:textId="77777777" w:rsidR="00D619B4" w:rsidRPr="00417B57" w:rsidRDefault="00D619B4" w:rsidP="001C13FB">
            <w:pPr>
              <w:tabs>
                <w:tab w:val="left" w:pos="1087"/>
              </w:tabs>
              <w:jc w:val="both"/>
              <w:rPr>
                <w:bCs/>
                <w:szCs w:val="20"/>
                <w:lang w:eastAsia="sk-SK"/>
              </w:rPr>
            </w:pPr>
            <w:r w:rsidRPr="00417B57">
              <w:rPr>
                <w:bCs/>
                <w:szCs w:val="20"/>
                <w:lang w:eastAsia="sk-SK"/>
              </w:rPr>
              <w:t>2300</w:t>
            </w:r>
          </w:p>
        </w:tc>
      </w:tr>
      <w:tr w:rsidR="00D619B4" w:rsidRPr="00417B57" w14:paraId="4BEE71AD" w14:textId="77777777" w:rsidTr="001C13FB">
        <w:tc>
          <w:tcPr>
            <w:tcW w:w="4531" w:type="dxa"/>
          </w:tcPr>
          <w:p w14:paraId="3F341D4D"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https://www.profesia.sk/praca/adient-slovakia/O4289009</w:t>
            </w:r>
          </w:p>
        </w:tc>
        <w:tc>
          <w:tcPr>
            <w:tcW w:w="4531" w:type="dxa"/>
          </w:tcPr>
          <w:p w14:paraId="4D54DEA6" w14:textId="77777777" w:rsidR="00D619B4" w:rsidRPr="00417B57" w:rsidRDefault="00D619B4" w:rsidP="001C13FB">
            <w:pPr>
              <w:tabs>
                <w:tab w:val="left" w:pos="1087"/>
              </w:tabs>
              <w:jc w:val="both"/>
              <w:rPr>
                <w:bCs/>
                <w:szCs w:val="20"/>
                <w:lang w:eastAsia="sk-SK"/>
              </w:rPr>
            </w:pPr>
            <w:r w:rsidRPr="00417B57">
              <w:rPr>
                <w:bCs/>
                <w:szCs w:val="20"/>
                <w:lang w:eastAsia="sk-SK"/>
              </w:rPr>
              <w:t>2500</w:t>
            </w:r>
          </w:p>
        </w:tc>
      </w:tr>
      <w:tr w:rsidR="00D619B4" w:rsidRPr="00417B57" w14:paraId="0B3253C6" w14:textId="77777777" w:rsidTr="001C13FB">
        <w:tc>
          <w:tcPr>
            <w:tcW w:w="4531" w:type="dxa"/>
          </w:tcPr>
          <w:p w14:paraId="158BDEDB" w14:textId="77777777" w:rsidR="00D619B4" w:rsidRPr="00417B57" w:rsidRDefault="00D619B4" w:rsidP="001C13FB">
            <w:pPr>
              <w:tabs>
                <w:tab w:val="left" w:pos="1087"/>
              </w:tabs>
              <w:jc w:val="both"/>
              <w:rPr>
                <w:bCs/>
                <w:szCs w:val="20"/>
                <w:lang w:eastAsia="sk-SK"/>
              </w:rPr>
            </w:pPr>
            <w:r w:rsidRPr="00417B57">
              <w:rPr>
                <w:b/>
                <w:bCs/>
                <w:szCs w:val="20"/>
                <w:lang w:eastAsia="sk-SK"/>
              </w:rPr>
              <w:t>priemer</w:t>
            </w:r>
          </w:p>
        </w:tc>
        <w:tc>
          <w:tcPr>
            <w:tcW w:w="4531" w:type="dxa"/>
          </w:tcPr>
          <w:p w14:paraId="31F12557" w14:textId="77777777" w:rsidR="00D619B4" w:rsidRPr="00417B57" w:rsidRDefault="00D619B4" w:rsidP="001C13FB">
            <w:pPr>
              <w:tabs>
                <w:tab w:val="left" w:pos="1087"/>
              </w:tabs>
              <w:jc w:val="both"/>
              <w:rPr>
                <w:b/>
                <w:bCs/>
                <w:szCs w:val="20"/>
                <w:lang w:eastAsia="sk-SK"/>
              </w:rPr>
            </w:pPr>
            <w:r w:rsidRPr="00417B57">
              <w:rPr>
                <w:b/>
                <w:bCs/>
                <w:szCs w:val="20"/>
                <w:lang w:eastAsia="sk-SK"/>
              </w:rPr>
              <w:t>2480</w:t>
            </w:r>
          </w:p>
        </w:tc>
      </w:tr>
    </w:tbl>
    <w:p w14:paraId="24C48C40" w14:textId="77777777" w:rsidR="00D619B4" w:rsidRPr="00417B57" w:rsidRDefault="00D619B4" w:rsidP="00D619B4">
      <w:pPr>
        <w:tabs>
          <w:tab w:val="num" w:pos="1080"/>
        </w:tabs>
        <w:jc w:val="both"/>
        <w:rPr>
          <w:bCs/>
          <w:szCs w:val="20"/>
          <w:lang w:eastAsia="sk-SK"/>
        </w:rPr>
      </w:pPr>
    </w:p>
    <w:p w14:paraId="23454B5E" w14:textId="77777777" w:rsidR="00D619B4" w:rsidRPr="00417B57" w:rsidRDefault="00D619B4" w:rsidP="00D619B4">
      <w:pPr>
        <w:tabs>
          <w:tab w:val="num" w:pos="1080"/>
        </w:tabs>
        <w:jc w:val="both"/>
        <w:rPr>
          <w:bCs/>
          <w:szCs w:val="20"/>
          <w:lang w:eastAsia="sk-SK"/>
        </w:rPr>
      </w:pPr>
    </w:p>
    <w:p w14:paraId="34692001" w14:textId="77777777" w:rsidR="00D619B4" w:rsidRPr="00417B57" w:rsidRDefault="00D619B4" w:rsidP="00D619B4">
      <w:pPr>
        <w:tabs>
          <w:tab w:val="left" w:pos="1087"/>
        </w:tabs>
        <w:jc w:val="both"/>
        <w:rPr>
          <w:bCs/>
          <w:szCs w:val="20"/>
          <w:lang w:eastAsia="sk-SK"/>
        </w:rPr>
      </w:pPr>
    </w:p>
    <w:p w14:paraId="3FFD8B73" w14:textId="77777777" w:rsidR="00D619B4" w:rsidRPr="00417B57" w:rsidRDefault="00D619B4" w:rsidP="00D619B4">
      <w:pPr>
        <w:tabs>
          <w:tab w:val="left" w:pos="1080"/>
        </w:tabs>
        <w:rPr>
          <w:lang w:eastAsia="sk-SK"/>
        </w:rPr>
      </w:pPr>
      <w:r w:rsidRPr="00417B57">
        <w:rPr>
          <w:lang w:eastAsia="sk-SK"/>
        </w:rPr>
        <w:t xml:space="preserve">Pozícia č. </w:t>
      </w:r>
      <w:r>
        <w:rPr>
          <w:lang w:eastAsia="sk-SK"/>
        </w:rPr>
        <w:t>6</w:t>
      </w:r>
    </w:p>
    <w:tbl>
      <w:tblPr>
        <w:tblStyle w:val="Mriekatabuky"/>
        <w:tblW w:w="0" w:type="auto"/>
        <w:tblLook w:val="04A0" w:firstRow="1" w:lastRow="0" w:firstColumn="1" w:lastColumn="0" w:noHBand="0" w:noVBand="1"/>
      </w:tblPr>
      <w:tblGrid>
        <w:gridCol w:w="4976"/>
        <w:gridCol w:w="4086"/>
      </w:tblGrid>
      <w:tr w:rsidR="00D619B4" w:rsidRPr="00417B57" w14:paraId="24933474" w14:textId="77777777" w:rsidTr="001C13FB">
        <w:tc>
          <w:tcPr>
            <w:tcW w:w="4579" w:type="dxa"/>
          </w:tcPr>
          <w:p w14:paraId="7CDB8062"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483" w:type="dxa"/>
          </w:tcPr>
          <w:p w14:paraId="0BD925FE"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7B520289" w14:textId="77777777" w:rsidTr="001C13FB">
        <w:tc>
          <w:tcPr>
            <w:tcW w:w="4579" w:type="dxa"/>
          </w:tcPr>
          <w:p w14:paraId="3E4FFBF1"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https://www.profesia.sk/praca/seiteq/O4458392</w:t>
            </w:r>
          </w:p>
        </w:tc>
        <w:tc>
          <w:tcPr>
            <w:tcW w:w="4483" w:type="dxa"/>
          </w:tcPr>
          <w:p w14:paraId="1D811010" w14:textId="77777777" w:rsidR="00D619B4" w:rsidRPr="00417B57" w:rsidRDefault="00D619B4" w:rsidP="001C13FB">
            <w:pPr>
              <w:tabs>
                <w:tab w:val="left" w:pos="1087"/>
              </w:tabs>
              <w:jc w:val="both"/>
              <w:rPr>
                <w:bCs/>
                <w:szCs w:val="20"/>
                <w:lang w:eastAsia="sk-SK"/>
              </w:rPr>
            </w:pPr>
            <w:r w:rsidRPr="00417B57">
              <w:rPr>
                <w:bCs/>
                <w:szCs w:val="20"/>
                <w:lang w:eastAsia="sk-SK"/>
              </w:rPr>
              <w:t>3150</w:t>
            </w:r>
          </w:p>
        </w:tc>
      </w:tr>
      <w:tr w:rsidR="00D619B4" w:rsidRPr="00417B57" w14:paraId="547F0E3F" w14:textId="77777777" w:rsidTr="001C13FB">
        <w:tc>
          <w:tcPr>
            <w:tcW w:w="4579" w:type="dxa"/>
          </w:tcPr>
          <w:p w14:paraId="143841FA"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https://www.profesia.sk/praca/unicorn/O4245867</w:t>
            </w:r>
          </w:p>
        </w:tc>
        <w:tc>
          <w:tcPr>
            <w:tcW w:w="4483" w:type="dxa"/>
          </w:tcPr>
          <w:p w14:paraId="4D47BF34" w14:textId="77777777" w:rsidR="00D619B4" w:rsidRPr="00417B57" w:rsidRDefault="00D619B4" w:rsidP="001C13FB">
            <w:pPr>
              <w:tabs>
                <w:tab w:val="left" w:pos="1087"/>
              </w:tabs>
              <w:jc w:val="both"/>
              <w:rPr>
                <w:bCs/>
                <w:szCs w:val="20"/>
                <w:lang w:eastAsia="sk-SK"/>
              </w:rPr>
            </w:pPr>
            <w:r w:rsidRPr="00417B57">
              <w:rPr>
                <w:bCs/>
                <w:szCs w:val="20"/>
                <w:lang w:eastAsia="sk-SK"/>
              </w:rPr>
              <w:t>2500</w:t>
            </w:r>
          </w:p>
        </w:tc>
      </w:tr>
      <w:tr w:rsidR="00D619B4" w:rsidRPr="00417B57" w14:paraId="7CC2BBE4" w14:textId="77777777" w:rsidTr="001C13FB">
        <w:tc>
          <w:tcPr>
            <w:tcW w:w="4579" w:type="dxa"/>
          </w:tcPr>
          <w:p w14:paraId="2952775B"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https://www.profesia.sk/praca/erste-digital/O4454347</w:t>
            </w:r>
          </w:p>
        </w:tc>
        <w:tc>
          <w:tcPr>
            <w:tcW w:w="4483" w:type="dxa"/>
          </w:tcPr>
          <w:p w14:paraId="5BB9AA2F" w14:textId="77777777" w:rsidR="00D619B4" w:rsidRPr="00417B57" w:rsidRDefault="00D619B4" w:rsidP="001C13FB">
            <w:pPr>
              <w:tabs>
                <w:tab w:val="left" w:pos="1087"/>
              </w:tabs>
              <w:jc w:val="both"/>
              <w:rPr>
                <w:bCs/>
                <w:szCs w:val="20"/>
                <w:lang w:eastAsia="sk-SK"/>
              </w:rPr>
            </w:pPr>
            <w:r w:rsidRPr="00417B57">
              <w:rPr>
                <w:bCs/>
                <w:szCs w:val="20"/>
                <w:lang w:eastAsia="sk-SK"/>
              </w:rPr>
              <w:t>2800</w:t>
            </w:r>
          </w:p>
        </w:tc>
      </w:tr>
      <w:tr w:rsidR="00D619B4" w:rsidRPr="00417B57" w14:paraId="7EBCC6AF" w14:textId="77777777" w:rsidTr="001C13FB">
        <w:tc>
          <w:tcPr>
            <w:tcW w:w="4579" w:type="dxa"/>
          </w:tcPr>
          <w:p w14:paraId="55AF0C78" w14:textId="77777777" w:rsidR="00D619B4" w:rsidRPr="00417B57" w:rsidRDefault="00D619B4" w:rsidP="001C13FB">
            <w:pPr>
              <w:tabs>
                <w:tab w:val="left" w:pos="1087"/>
              </w:tabs>
              <w:jc w:val="both"/>
              <w:rPr>
                <w:bCs/>
                <w:szCs w:val="20"/>
                <w:lang w:eastAsia="sk-SK"/>
              </w:rPr>
            </w:pPr>
            <w:r w:rsidRPr="00417B57">
              <w:rPr>
                <w:b/>
                <w:bCs/>
                <w:szCs w:val="20"/>
                <w:lang w:eastAsia="sk-SK"/>
              </w:rPr>
              <w:t>priemer</w:t>
            </w:r>
          </w:p>
        </w:tc>
        <w:tc>
          <w:tcPr>
            <w:tcW w:w="4483" w:type="dxa"/>
          </w:tcPr>
          <w:p w14:paraId="377E2E23" w14:textId="77777777" w:rsidR="00D619B4" w:rsidRPr="00417B57" w:rsidRDefault="00D619B4" w:rsidP="001C13FB">
            <w:pPr>
              <w:tabs>
                <w:tab w:val="left" w:pos="1087"/>
              </w:tabs>
              <w:jc w:val="both"/>
              <w:rPr>
                <w:b/>
                <w:bCs/>
                <w:szCs w:val="20"/>
                <w:lang w:eastAsia="sk-SK"/>
              </w:rPr>
            </w:pPr>
            <w:r w:rsidRPr="00417B57">
              <w:rPr>
                <w:b/>
                <w:bCs/>
                <w:szCs w:val="20"/>
                <w:lang w:eastAsia="sk-SK"/>
              </w:rPr>
              <w:t>2820</w:t>
            </w:r>
          </w:p>
        </w:tc>
      </w:tr>
    </w:tbl>
    <w:p w14:paraId="2B1F1CD7" w14:textId="77777777" w:rsidR="00D619B4" w:rsidRPr="00417B57" w:rsidRDefault="00D619B4" w:rsidP="00D619B4">
      <w:pPr>
        <w:tabs>
          <w:tab w:val="left" w:pos="1080"/>
        </w:tabs>
        <w:rPr>
          <w:szCs w:val="20"/>
          <w:lang w:eastAsia="sk-SK"/>
        </w:rPr>
      </w:pPr>
    </w:p>
    <w:p w14:paraId="63A221EB" w14:textId="77777777" w:rsidR="00D619B4" w:rsidRPr="00417B57" w:rsidRDefault="00D619B4" w:rsidP="00D619B4">
      <w:pPr>
        <w:jc w:val="both"/>
        <w:rPr>
          <w:lang w:eastAsia="sk-SK"/>
        </w:rPr>
      </w:pPr>
      <w:r w:rsidRPr="00417B57">
        <w:rPr>
          <w:lang w:eastAsia="sk-SK"/>
        </w:rPr>
        <w:t xml:space="preserve">Pozícia č. </w:t>
      </w:r>
      <w:r>
        <w:rPr>
          <w:lang w:eastAsia="sk-SK"/>
        </w:rPr>
        <w:t>7</w:t>
      </w:r>
    </w:p>
    <w:tbl>
      <w:tblPr>
        <w:tblStyle w:val="Mriekatabuky"/>
        <w:tblW w:w="0" w:type="auto"/>
        <w:tblLook w:val="04A0" w:firstRow="1" w:lastRow="0" w:firstColumn="1" w:lastColumn="0" w:noHBand="0" w:noVBand="1"/>
      </w:tblPr>
      <w:tblGrid>
        <w:gridCol w:w="4869"/>
        <w:gridCol w:w="4193"/>
      </w:tblGrid>
      <w:tr w:rsidR="00D619B4" w:rsidRPr="00417B57" w14:paraId="1DB6557F" w14:textId="77777777" w:rsidTr="001C13FB">
        <w:tc>
          <w:tcPr>
            <w:tcW w:w="4531" w:type="dxa"/>
          </w:tcPr>
          <w:p w14:paraId="5DFC2EF4"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531" w:type="dxa"/>
          </w:tcPr>
          <w:p w14:paraId="2EA226C6"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6F68FB1C" w14:textId="77777777" w:rsidTr="001C13FB">
        <w:tc>
          <w:tcPr>
            <w:tcW w:w="4531" w:type="dxa"/>
          </w:tcPr>
          <w:p w14:paraId="76FA9B43"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https://www.profesia.sk/praca/ministerstvo-financii-sr/O4463569</w:t>
            </w:r>
          </w:p>
        </w:tc>
        <w:tc>
          <w:tcPr>
            <w:tcW w:w="4531" w:type="dxa"/>
          </w:tcPr>
          <w:p w14:paraId="0723470A" w14:textId="77777777" w:rsidR="00D619B4" w:rsidRPr="00417B57" w:rsidRDefault="00D619B4" w:rsidP="001C13FB">
            <w:pPr>
              <w:tabs>
                <w:tab w:val="left" w:pos="1087"/>
              </w:tabs>
              <w:jc w:val="both"/>
              <w:rPr>
                <w:bCs/>
                <w:szCs w:val="20"/>
                <w:lang w:eastAsia="sk-SK"/>
              </w:rPr>
            </w:pPr>
            <w:r w:rsidRPr="00417B57">
              <w:rPr>
                <w:bCs/>
                <w:szCs w:val="20"/>
                <w:lang w:eastAsia="sk-SK"/>
              </w:rPr>
              <w:t>2300</w:t>
            </w:r>
          </w:p>
        </w:tc>
      </w:tr>
      <w:tr w:rsidR="00D619B4" w:rsidRPr="00417B57" w14:paraId="46ED49C7" w14:textId="77777777" w:rsidTr="001C13FB">
        <w:tc>
          <w:tcPr>
            <w:tcW w:w="4531" w:type="dxa"/>
          </w:tcPr>
          <w:p w14:paraId="29764F05"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https://www.profesia.sk/praca/aliter-technologies/O4247223</w:t>
            </w:r>
          </w:p>
        </w:tc>
        <w:tc>
          <w:tcPr>
            <w:tcW w:w="4531" w:type="dxa"/>
          </w:tcPr>
          <w:p w14:paraId="3AC23162" w14:textId="77777777" w:rsidR="00D619B4" w:rsidRPr="00417B57" w:rsidRDefault="00D619B4" w:rsidP="001C13FB">
            <w:pPr>
              <w:tabs>
                <w:tab w:val="left" w:pos="1087"/>
              </w:tabs>
              <w:jc w:val="both"/>
              <w:rPr>
                <w:bCs/>
                <w:szCs w:val="20"/>
                <w:lang w:eastAsia="sk-SK"/>
              </w:rPr>
            </w:pPr>
            <w:r w:rsidRPr="00417B57">
              <w:rPr>
                <w:bCs/>
                <w:szCs w:val="20"/>
                <w:lang w:eastAsia="sk-SK"/>
              </w:rPr>
              <w:t>2300</w:t>
            </w:r>
          </w:p>
        </w:tc>
      </w:tr>
      <w:tr w:rsidR="00D619B4" w:rsidRPr="00417B57" w14:paraId="021A418B" w14:textId="77777777" w:rsidTr="001C13FB">
        <w:tc>
          <w:tcPr>
            <w:tcW w:w="4531" w:type="dxa"/>
          </w:tcPr>
          <w:p w14:paraId="18343495"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https://www.profesia.sk/praca/eset/O3948195</w:t>
            </w:r>
          </w:p>
        </w:tc>
        <w:tc>
          <w:tcPr>
            <w:tcW w:w="4531" w:type="dxa"/>
          </w:tcPr>
          <w:p w14:paraId="25D1F114" w14:textId="77777777" w:rsidR="00D619B4" w:rsidRPr="00417B57" w:rsidRDefault="00D619B4" w:rsidP="001C13FB">
            <w:pPr>
              <w:tabs>
                <w:tab w:val="left" w:pos="1087"/>
              </w:tabs>
              <w:jc w:val="both"/>
              <w:rPr>
                <w:bCs/>
                <w:szCs w:val="20"/>
                <w:lang w:eastAsia="sk-SK"/>
              </w:rPr>
            </w:pPr>
            <w:r w:rsidRPr="00417B57">
              <w:rPr>
                <w:bCs/>
                <w:szCs w:val="20"/>
                <w:lang w:eastAsia="sk-SK"/>
              </w:rPr>
              <w:t>2320</w:t>
            </w:r>
          </w:p>
        </w:tc>
      </w:tr>
      <w:tr w:rsidR="00D619B4" w:rsidRPr="00417B57" w14:paraId="233E862F" w14:textId="77777777" w:rsidTr="001C13FB">
        <w:tc>
          <w:tcPr>
            <w:tcW w:w="4531" w:type="dxa"/>
          </w:tcPr>
          <w:p w14:paraId="44512A97"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https://www.profesia.sk/praca/takeda/O4330918</w:t>
            </w:r>
          </w:p>
        </w:tc>
        <w:tc>
          <w:tcPr>
            <w:tcW w:w="4531" w:type="dxa"/>
          </w:tcPr>
          <w:p w14:paraId="78DBCC6E" w14:textId="77777777" w:rsidR="00D619B4" w:rsidRPr="00417B57" w:rsidRDefault="00D619B4" w:rsidP="001C13FB">
            <w:pPr>
              <w:tabs>
                <w:tab w:val="left" w:pos="1087"/>
              </w:tabs>
              <w:jc w:val="both"/>
              <w:rPr>
                <w:bCs/>
                <w:szCs w:val="20"/>
                <w:lang w:eastAsia="sk-SK"/>
              </w:rPr>
            </w:pPr>
            <w:r w:rsidRPr="00417B57">
              <w:rPr>
                <w:bCs/>
                <w:szCs w:val="20"/>
                <w:lang w:eastAsia="sk-SK"/>
              </w:rPr>
              <w:t>2640</w:t>
            </w:r>
          </w:p>
        </w:tc>
      </w:tr>
      <w:tr w:rsidR="00D619B4" w:rsidRPr="00417B57" w14:paraId="26A03DA6" w14:textId="77777777" w:rsidTr="001C13FB">
        <w:trPr>
          <w:trHeight w:val="164"/>
        </w:trPr>
        <w:tc>
          <w:tcPr>
            <w:tcW w:w="4531" w:type="dxa"/>
          </w:tcPr>
          <w:p w14:paraId="30AE740B" w14:textId="77777777" w:rsidR="00D619B4" w:rsidRPr="00417B57" w:rsidRDefault="00D619B4" w:rsidP="001C13FB">
            <w:pPr>
              <w:tabs>
                <w:tab w:val="left" w:pos="1087"/>
              </w:tabs>
              <w:jc w:val="both"/>
              <w:rPr>
                <w:b/>
                <w:bCs/>
                <w:szCs w:val="20"/>
                <w:lang w:eastAsia="sk-SK"/>
              </w:rPr>
            </w:pPr>
            <w:r w:rsidRPr="00417B57">
              <w:rPr>
                <w:b/>
                <w:bCs/>
                <w:szCs w:val="20"/>
                <w:lang w:eastAsia="sk-SK"/>
              </w:rPr>
              <w:t>priemer</w:t>
            </w:r>
          </w:p>
        </w:tc>
        <w:tc>
          <w:tcPr>
            <w:tcW w:w="4531" w:type="dxa"/>
          </w:tcPr>
          <w:p w14:paraId="2FA6A1F7" w14:textId="77777777" w:rsidR="00D619B4" w:rsidRPr="00417B57" w:rsidRDefault="00D619B4" w:rsidP="001C13FB">
            <w:pPr>
              <w:tabs>
                <w:tab w:val="left" w:pos="1087"/>
              </w:tabs>
              <w:jc w:val="both"/>
              <w:rPr>
                <w:b/>
                <w:bCs/>
                <w:szCs w:val="20"/>
                <w:lang w:eastAsia="sk-SK"/>
              </w:rPr>
            </w:pPr>
            <w:r w:rsidRPr="00417B57">
              <w:rPr>
                <w:b/>
                <w:bCs/>
                <w:szCs w:val="20"/>
                <w:lang w:eastAsia="sk-SK"/>
              </w:rPr>
              <w:t>2400</w:t>
            </w:r>
          </w:p>
        </w:tc>
      </w:tr>
    </w:tbl>
    <w:p w14:paraId="6C69D6A1" w14:textId="77777777" w:rsidR="00D619B4" w:rsidRPr="00417B57" w:rsidRDefault="00D619B4" w:rsidP="00D619B4">
      <w:pPr>
        <w:tabs>
          <w:tab w:val="left" w:pos="7920"/>
        </w:tabs>
        <w:rPr>
          <w:szCs w:val="20"/>
          <w:lang w:eastAsia="sk-SK"/>
        </w:rPr>
      </w:pPr>
      <w:r w:rsidRPr="00417B57">
        <w:rPr>
          <w:szCs w:val="20"/>
          <w:lang w:eastAsia="sk-SK"/>
        </w:rPr>
        <w:tab/>
      </w:r>
    </w:p>
    <w:p w14:paraId="335BC9B6" w14:textId="77777777" w:rsidR="00D619B4" w:rsidRPr="00417B57" w:rsidRDefault="00D619B4" w:rsidP="00D619B4">
      <w:pPr>
        <w:tabs>
          <w:tab w:val="left" w:pos="7920"/>
        </w:tabs>
        <w:rPr>
          <w:szCs w:val="20"/>
          <w:lang w:eastAsia="sk-SK"/>
        </w:rPr>
      </w:pPr>
      <w:r w:rsidRPr="00417B57">
        <w:rPr>
          <w:lang w:eastAsia="sk-SK"/>
        </w:rPr>
        <w:t xml:space="preserve">Pozícia č. </w:t>
      </w:r>
      <w:r>
        <w:rPr>
          <w:lang w:eastAsia="sk-SK"/>
        </w:rPr>
        <w:t>8</w:t>
      </w:r>
      <w:r w:rsidRPr="00417B57">
        <w:rPr>
          <w:lang w:eastAsia="sk-SK"/>
        </w:rPr>
        <w:t xml:space="preserve"> a č. </w:t>
      </w:r>
      <w:r>
        <w:rPr>
          <w:lang w:eastAsia="sk-SK"/>
        </w:rPr>
        <w:t>9</w:t>
      </w:r>
    </w:p>
    <w:tbl>
      <w:tblPr>
        <w:tblStyle w:val="Mriekatabuky"/>
        <w:tblW w:w="0" w:type="auto"/>
        <w:tblLook w:val="04A0" w:firstRow="1" w:lastRow="0" w:firstColumn="1" w:lastColumn="0" w:noHBand="0" w:noVBand="1"/>
      </w:tblPr>
      <w:tblGrid>
        <w:gridCol w:w="4869"/>
        <w:gridCol w:w="4193"/>
      </w:tblGrid>
      <w:tr w:rsidR="00D619B4" w:rsidRPr="00417B57" w14:paraId="47A48E2C" w14:textId="77777777" w:rsidTr="001C13FB">
        <w:tc>
          <w:tcPr>
            <w:tcW w:w="4531" w:type="dxa"/>
          </w:tcPr>
          <w:p w14:paraId="63562242" w14:textId="77777777" w:rsidR="00D619B4" w:rsidRPr="00417B57" w:rsidRDefault="00D619B4" w:rsidP="001C13FB">
            <w:pPr>
              <w:tabs>
                <w:tab w:val="left" w:pos="1087"/>
              </w:tabs>
              <w:jc w:val="both"/>
              <w:rPr>
                <w:b/>
                <w:bCs/>
                <w:szCs w:val="20"/>
                <w:lang w:eastAsia="sk-SK"/>
              </w:rPr>
            </w:pPr>
            <w:r w:rsidRPr="00417B57">
              <w:rPr>
                <w:b/>
                <w:bCs/>
                <w:szCs w:val="20"/>
                <w:lang w:eastAsia="sk-SK"/>
              </w:rPr>
              <w:t>Ponuka</w:t>
            </w:r>
          </w:p>
        </w:tc>
        <w:tc>
          <w:tcPr>
            <w:tcW w:w="4531" w:type="dxa"/>
          </w:tcPr>
          <w:p w14:paraId="7A6D2154" w14:textId="77777777" w:rsidR="00D619B4" w:rsidRPr="00417B57" w:rsidRDefault="00D619B4" w:rsidP="001C13FB">
            <w:pPr>
              <w:tabs>
                <w:tab w:val="left" w:pos="1087"/>
              </w:tabs>
              <w:jc w:val="both"/>
              <w:rPr>
                <w:b/>
                <w:bCs/>
                <w:szCs w:val="20"/>
                <w:lang w:eastAsia="sk-SK"/>
              </w:rPr>
            </w:pPr>
            <w:r w:rsidRPr="00417B57">
              <w:rPr>
                <w:b/>
                <w:bCs/>
                <w:szCs w:val="20"/>
                <w:lang w:eastAsia="sk-SK"/>
              </w:rPr>
              <w:t>Ponúkaná mzda v EUR od</w:t>
            </w:r>
          </w:p>
        </w:tc>
      </w:tr>
      <w:tr w:rsidR="00D619B4" w:rsidRPr="00417B57" w14:paraId="2AAB1915" w14:textId="77777777" w:rsidTr="001C13FB">
        <w:tc>
          <w:tcPr>
            <w:tcW w:w="4531" w:type="dxa"/>
          </w:tcPr>
          <w:p w14:paraId="0EEF152A"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https://www.profesia.sk/praca/takeda/O4157157</w:t>
            </w:r>
          </w:p>
        </w:tc>
        <w:tc>
          <w:tcPr>
            <w:tcW w:w="4531" w:type="dxa"/>
          </w:tcPr>
          <w:p w14:paraId="050BA44F" w14:textId="77777777" w:rsidR="00D619B4" w:rsidRPr="00417B57" w:rsidRDefault="00D619B4" w:rsidP="001C13FB">
            <w:pPr>
              <w:tabs>
                <w:tab w:val="left" w:pos="1087"/>
              </w:tabs>
              <w:jc w:val="both"/>
              <w:rPr>
                <w:bCs/>
                <w:szCs w:val="20"/>
                <w:lang w:eastAsia="sk-SK"/>
              </w:rPr>
            </w:pPr>
            <w:r w:rsidRPr="00417B57">
              <w:rPr>
                <w:bCs/>
                <w:szCs w:val="20"/>
                <w:lang w:eastAsia="sk-SK"/>
              </w:rPr>
              <w:t>3500</w:t>
            </w:r>
          </w:p>
        </w:tc>
      </w:tr>
      <w:tr w:rsidR="00D619B4" w:rsidRPr="00417B57" w14:paraId="75E9ACB0" w14:textId="77777777" w:rsidTr="001C13FB">
        <w:tc>
          <w:tcPr>
            <w:tcW w:w="4531" w:type="dxa"/>
          </w:tcPr>
          <w:p w14:paraId="00EDFED1"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https://www.profesia.sk/praca/takeda/O4337823</w:t>
            </w:r>
          </w:p>
        </w:tc>
        <w:tc>
          <w:tcPr>
            <w:tcW w:w="4531" w:type="dxa"/>
          </w:tcPr>
          <w:p w14:paraId="455556A4" w14:textId="77777777" w:rsidR="00D619B4" w:rsidRPr="00417B57" w:rsidRDefault="00D619B4" w:rsidP="001C13FB">
            <w:pPr>
              <w:tabs>
                <w:tab w:val="left" w:pos="1087"/>
              </w:tabs>
              <w:jc w:val="both"/>
              <w:rPr>
                <w:bCs/>
                <w:szCs w:val="20"/>
                <w:lang w:eastAsia="sk-SK"/>
              </w:rPr>
            </w:pPr>
            <w:r w:rsidRPr="00417B57">
              <w:rPr>
                <w:bCs/>
                <w:szCs w:val="20"/>
                <w:lang w:eastAsia="sk-SK"/>
              </w:rPr>
              <w:t>4190</w:t>
            </w:r>
          </w:p>
        </w:tc>
      </w:tr>
      <w:tr w:rsidR="00D619B4" w:rsidRPr="00417B57" w14:paraId="1F00C969" w14:textId="77777777" w:rsidTr="001C13FB">
        <w:tc>
          <w:tcPr>
            <w:tcW w:w="4531" w:type="dxa"/>
          </w:tcPr>
          <w:p w14:paraId="2092E2D0" w14:textId="77777777" w:rsidR="00D619B4" w:rsidRPr="00417B57" w:rsidRDefault="00D619B4" w:rsidP="001C13FB">
            <w:pPr>
              <w:tabs>
                <w:tab w:val="left" w:pos="1087"/>
              </w:tabs>
              <w:jc w:val="both"/>
              <w:rPr>
                <w:bCs/>
                <w:szCs w:val="20"/>
                <w:lang w:eastAsia="sk-SK"/>
              </w:rPr>
            </w:pPr>
            <w:r w:rsidRPr="00417B57">
              <w:rPr>
                <w:bCs/>
                <w:szCs w:val="20"/>
                <w:lang w:eastAsia="sk-SK"/>
              </w:rPr>
              <w:t>https://www.profesia.sk/praca/manpowergroup-slovensko/O4463373</w:t>
            </w:r>
          </w:p>
        </w:tc>
        <w:tc>
          <w:tcPr>
            <w:tcW w:w="4531" w:type="dxa"/>
          </w:tcPr>
          <w:p w14:paraId="3E13F73E" w14:textId="77777777" w:rsidR="00D619B4" w:rsidRPr="00417B57" w:rsidRDefault="00D619B4" w:rsidP="001C13FB">
            <w:pPr>
              <w:tabs>
                <w:tab w:val="left" w:pos="1087"/>
              </w:tabs>
              <w:jc w:val="both"/>
              <w:rPr>
                <w:bCs/>
                <w:szCs w:val="20"/>
                <w:lang w:eastAsia="sk-SK"/>
              </w:rPr>
            </w:pPr>
            <w:r w:rsidRPr="00417B57">
              <w:rPr>
                <w:bCs/>
                <w:szCs w:val="20"/>
                <w:lang w:eastAsia="sk-SK"/>
              </w:rPr>
              <w:t>2900</w:t>
            </w:r>
          </w:p>
        </w:tc>
      </w:tr>
      <w:tr w:rsidR="00D619B4" w14:paraId="4F017501" w14:textId="77777777" w:rsidTr="001C13FB">
        <w:tc>
          <w:tcPr>
            <w:tcW w:w="4531" w:type="dxa"/>
          </w:tcPr>
          <w:p w14:paraId="7C3B8A59" w14:textId="77777777" w:rsidR="00D619B4" w:rsidRPr="00417B57" w:rsidRDefault="00D619B4" w:rsidP="001C13FB">
            <w:pPr>
              <w:tabs>
                <w:tab w:val="left" w:pos="1087"/>
              </w:tabs>
              <w:jc w:val="both"/>
              <w:rPr>
                <w:bCs/>
                <w:szCs w:val="20"/>
                <w:lang w:eastAsia="sk-SK"/>
              </w:rPr>
            </w:pPr>
            <w:r w:rsidRPr="00417B57">
              <w:rPr>
                <w:b/>
                <w:bCs/>
                <w:szCs w:val="20"/>
                <w:lang w:eastAsia="sk-SK"/>
              </w:rPr>
              <w:t>priemer</w:t>
            </w:r>
          </w:p>
        </w:tc>
        <w:tc>
          <w:tcPr>
            <w:tcW w:w="4531" w:type="dxa"/>
          </w:tcPr>
          <w:p w14:paraId="133763EF" w14:textId="77777777" w:rsidR="00D619B4" w:rsidRDefault="00D619B4" w:rsidP="001C13FB">
            <w:pPr>
              <w:tabs>
                <w:tab w:val="left" w:pos="1087"/>
              </w:tabs>
              <w:jc w:val="both"/>
              <w:rPr>
                <w:bCs/>
                <w:szCs w:val="20"/>
                <w:lang w:eastAsia="sk-SK"/>
              </w:rPr>
            </w:pPr>
            <w:r w:rsidRPr="00417B57">
              <w:rPr>
                <w:b/>
                <w:bCs/>
                <w:szCs w:val="20"/>
                <w:lang w:eastAsia="sk-SK"/>
              </w:rPr>
              <w:t>3530</w:t>
            </w:r>
          </w:p>
        </w:tc>
      </w:tr>
    </w:tbl>
    <w:p w14:paraId="05F29583" w14:textId="77777777" w:rsidR="00D619B4" w:rsidRDefault="00D619B4" w:rsidP="00D619B4">
      <w:pPr>
        <w:tabs>
          <w:tab w:val="left" w:pos="7920"/>
        </w:tabs>
        <w:rPr>
          <w:szCs w:val="20"/>
          <w:lang w:eastAsia="sk-SK"/>
        </w:rPr>
      </w:pPr>
    </w:p>
    <w:p w14:paraId="465E7684" w14:textId="77777777" w:rsidR="00D619B4" w:rsidRDefault="00D619B4" w:rsidP="00D619B4">
      <w:pPr>
        <w:tabs>
          <w:tab w:val="left" w:pos="7920"/>
        </w:tabs>
        <w:jc w:val="both"/>
        <w:rPr>
          <w:szCs w:val="20"/>
          <w:lang w:eastAsia="sk-SK"/>
        </w:rPr>
      </w:pPr>
      <w:r>
        <w:rPr>
          <w:szCs w:val="20"/>
          <w:lang w:eastAsia="sk-SK"/>
        </w:rPr>
        <w:t xml:space="preserve">Vzhľadom pre nenaplnenie finančného krytia uvedeného v Analýze vplyvov na rozpočet štátnej správy predkladanej v rámci legislatívneho procesu k Vyhláške č. 547/2021 Z.z. o elektronizácii agendy verejnej správy sa pre Ministerstvo dopravy a výstavby SR určuje výpočet vplyvov  pre právnu úpravu ustanovenú v </w:t>
      </w:r>
      <w:r w:rsidRPr="000C5B7B">
        <w:rPr>
          <w:szCs w:val="20"/>
          <w:lang w:eastAsia="sk-SK"/>
        </w:rPr>
        <w:t>§ 13a</w:t>
      </w:r>
      <w:r>
        <w:rPr>
          <w:szCs w:val="20"/>
          <w:lang w:eastAsia="sk-SK"/>
        </w:rPr>
        <w:t xml:space="preserve"> „</w:t>
      </w:r>
      <w:r w:rsidRPr="000C5B7B">
        <w:rPr>
          <w:szCs w:val="20"/>
          <w:lang w:eastAsia="sk-SK"/>
        </w:rPr>
        <w:t>Elektronizácia agendy verejnej správy a zlepšovanie kvality používateľskej skúsenosti</w:t>
      </w:r>
      <w:r>
        <w:rPr>
          <w:szCs w:val="20"/>
          <w:lang w:eastAsia="sk-SK"/>
        </w:rPr>
        <w:t>“. Vplyvy sú určené na základe vplyvov, ktoré boli vyčíslené, ale neboli uplatnené v rámci legislatívneho procesu v Analýze vplyvov na rozpočet štátnej správy predkladanej k Vyhláške č. 547/2021 Z. z. o elektronizácii agendy verejnej správy.</w:t>
      </w:r>
    </w:p>
    <w:p w14:paraId="30F57B13" w14:textId="77777777" w:rsidR="00D619B4" w:rsidRDefault="00D619B4" w:rsidP="00D619B4">
      <w:pPr>
        <w:rPr>
          <w:szCs w:val="20"/>
          <w:lang w:eastAsia="sk-SK"/>
        </w:rPr>
      </w:pPr>
      <w:r>
        <w:rPr>
          <w:szCs w:val="20"/>
          <w:lang w:eastAsia="sk-SK"/>
        </w:rPr>
        <w:br w:type="page"/>
      </w:r>
    </w:p>
    <w:p w14:paraId="547F4891" w14:textId="77777777" w:rsidR="00D619B4" w:rsidRDefault="00D619B4" w:rsidP="00D619B4">
      <w:pPr>
        <w:tabs>
          <w:tab w:val="left" w:pos="7920"/>
        </w:tabs>
        <w:jc w:val="both"/>
        <w:rPr>
          <w:szCs w:val="20"/>
          <w:lang w:eastAsia="sk-SK"/>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1270"/>
        <w:gridCol w:w="1701"/>
        <w:gridCol w:w="1276"/>
      </w:tblGrid>
      <w:tr w:rsidR="00D619B4" w:rsidRPr="00C62AE1" w14:paraId="49FD2957" w14:textId="77777777" w:rsidTr="001C13FB">
        <w:trPr>
          <w:trHeight w:val="600"/>
        </w:trPr>
        <w:tc>
          <w:tcPr>
            <w:tcW w:w="3828" w:type="dxa"/>
            <w:shd w:val="clear" w:color="000000" w:fill="F2F2F2"/>
            <w:noWrap/>
            <w:vAlign w:val="bottom"/>
            <w:hideMark/>
          </w:tcPr>
          <w:p w14:paraId="320FB326" w14:textId="77777777" w:rsidR="00D619B4" w:rsidRPr="003A6B3E" w:rsidRDefault="00D619B4" w:rsidP="001C13FB">
            <w:pPr>
              <w:rPr>
                <w:color w:val="000000"/>
                <w:lang w:eastAsia="sk-SK"/>
              </w:rPr>
            </w:pPr>
            <w:r w:rsidRPr="003A6B3E">
              <w:rPr>
                <w:color w:val="000000"/>
                <w:lang w:eastAsia="sk-SK"/>
              </w:rPr>
              <w:t>Tabuľka z podkladov od SORO (EY) hrubá mzda mesačná</w:t>
            </w:r>
          </w:p>
        </w:tc>
        <w:tc>
          <w:tcPr>
            <w:tcW w:w="1270" w:type="dxa"/>
            <w:shd w:val="clear" w:color="000000" w:fill="F2F2F2"/>
            <w:vAlign w:val="bottom"/>
            <w:hideMark/>
          </w:tcPr>
          <w:p w14:paraId="1F5895CB" w14:textId="77777777" w:rsidR="00D619B4" w:rsidRPr="003A6B3E" w:rsidRDefault="00D619B4" w:rsidP="001C13FB">
            <w:pPr>
              <w:jc w:val="center"/>
              <w:rPr>
                <w:b/>
                <w:bCs/>
                <w:color w:val="000000"/>
                <w:lang w:eastAsia="sk-SK"/>
              </w:rPr>
            </w:pPr>
            <w:r w:rsidRPr="003A6B3E">
              <w:rPr>
                <w:b/>
                <w:bCs/>
                <w:color w:val="000000"/>
                <w:lang w:eastAsia="sk-SK"/>
              </w:rPr>
              <w:t>BA</w:t>
            </w:r>
          </w:p>
        </w:tc>
        <w:tc>
          <w:tcPr>
            <w:tcW w:w="1701" w:type="dxa"/>
            <w:shd w:val="clear" w:color="000000" w:fill="F2F2F2"/>
            <w:vAlign w:val="bottom"/>
            <w:hideMark/>
          </w:tcPr>
          <w:p w14:paraId="2477502F" w14:textId="77777777" w:rsidR="00D619B4" w:rsidRPr="003A6B3E" w:rsidRDefault="00D619B4" w:rsidP="001C13FB">
            <w:pPr>
              <w:jc w:val="center"/>
              <w:rPr>
                <w:b/>
                <w:bCs/>
                <w:color w:val="000000"/>
                <w:lang w:eastAsia="sk-SK"/>
              </w:rPr>
            </w:pPr>
            <w:r w:rsidRPr="003A6B3E">
              <w:rPr>
                <w:b/>
                <w:bCs/>
                <w:color w:val="000000"/>
                <w:lang w:eastAsia="sk-SK"/>
              </w:rPr>
              <w:t>SR</w:t>
            </w:r>
          </w:p>
        </w:tc>
        <w:tc>
          <w:tcPr>
            <w:tcW w:w="1276" w:type="dxa"/>
            <w:shd w:val="clear" w:color="000000" w:fill="F2F2F2"/>
            <w:vAlign w:val="bottom"/>
            <w:hideMark/>
          </w:tcPr>
          <w:p w14:paraId="104BE0D6" w14:textId="77777777" w:rsidR="00D619B4" w:rsidRPr="003A6B3E" w:rsidRDefault="00D619B4" w:rsidP="001C13FB">
            <w:pPr>
              <w:jc w:val="center"/>
              <w:rPr>
                <w:b/>
                <w:bCs/>
                <w:color w:val="000000"/>
                <w:lang w:eastAsia="sk-SK"/>
              </w:rPr>
            </w:pPr>
            <w:r w:rsidRPr="003A6B3E">
              <w:rPr>
                <w:b/>
                <w:bCs/>
                <w:color w:val="000000"/>
                <w:lang w:eastAsia="sk-SK"/>
              </w:rPr>
              <w:t>SR bez BA (priemer mediánov)</w:t>
            </w:r>
          </w:p>
        </w:tc>
      </w:tr>
      <w:tr w:rsidR="00D619B4" w:rsidRPr="00C62AE1" w14:paraId="5614E9B4" w14:textId="77777777" w:rsidTr="001C13FB">
        <w:trPr>
          <w:trHeight w:val="600"/>
        </w:trPr>
        <w:tc>
          <w:tcPr>
            <w:tcW w:w="3828" w:type="dxa"/>
            <w:shd w:val="clear" w:color="000000" w:fill="F2F2F2"/>
            <w:vAlign w:val="bottom"/>
            <w:hideMark/>
          </w:tcPr>
          <w:p w14:paraId="1027BFE8" w14:textId="77777777" w:rsidR="00D619B4" w:rsidRPr="003A6B3E" w:rsidRDefault="00D619B4" w:rsidP="001C13FB">
            <w:pPr>
              <w:rPr>
                <w:color w:val="000000"/>
                <w:lang w:eastAsia="sk-SK"/>
              </w:rPr>
            </w:pPr>
            <w:r w:rsidRPr="003A6B3E">
              <w:rPr>
                <w:color w:val="000000"/>
                <w:lang w:eastAsia="sk-SK"/>
              </w:rPr>
              <w:br/>
              <w:t>Riadiaci pracovník (manažér) prevádzky informačných technológií</w:t>
            </w:r>
          </w:p>
        </w:tc>
        <w:tc>
          <w:tcPr>
            <w:tcW w:w="1270" w:type="dxa"/>
            <w:shd w:val="clear" w:color="000000" w:fill="F2F2F2"/>
            <w:noWrap/>
            <w:vAlign w:val="bottom"/>
            <w:hideMark/>
          </w:tcPr>
          <w:p w14:paraId="5FF9DDD4" w14:textId="77777777" w:rsidR="00D619B4" w:rsidRPr="003A6B3E" w:rsidRDefault="00D619B4" w:rsidP="001C13FB">
            <w:pPr>
              <w:jc w:val="center"/>
              <w:rPr>
                <w:b/>
                <w:bCs/>
                <w:color w:val="000000"/>
                <w:lang w:eastAsia="sk-SK"/>
              </w:rPr>
            </w:pPr>
            <w:r w:rsidRPr="003A6B3E">
              <w:rPr>
                <w:b/>
                <w:bCs/>
                <w:color w:val="000000"/>
                <w:lang w:eastAsia="sk-SK"/>
              </w:rPr>
              <w:t xml:space="preserve">                                3 849 </w:t>
            </w:r>
          </w:p>
        </w:tc>
        <w:tc>
          <w:tcPr>
            <w:tcW w:w="1701" w:type="dxa"/>
            <w:shd w:val="clear" w:color="000000" w:fill="F2F2F2"/>
            <w:noWrap/>
            <w:vAlign w:val="bottom"/>
            <w:hideMark/>
          </w:tcPr>
          <w:p w14:paraId="0FBFF0D9" w14:textId="77777777" w:rsidR="00D619B4" w:rsidRPr="003A6B3E" w:rsidRDefault="00D619B4" w:rsidP="001C13FB">
            <w:pPr>
              <w:rPr>
                <w:b/>
                <w:bCs/>
                <w:color w:val="000000"/>
                <w:lang w:eastAsia="sk-SK"/>
              </w:rPr>
            </w:pPr>
            <w:r w:rsidRPr="003A6B3E">
              <w:rPr>
                <w:b/>
                <w:bCs/>
                <w:color w:val="000000"/>
                <w:lang w:eastAsia="sk-SK"/>
              </w:rPr>
              <w:t xml:space="preserve">                                2 472 </w:t>
            </w:r>
          </w:p>
        </w:tc>
        <w:tc>
          <w:tcPr>
            <w:tcW w:w="1276" w:type="dxa"/>
            <w:shd w:val="clear" w:color="000000" w:fill="F2F2F2"/>
            <w:noWrap/>
            <w:vAlign w:val="bottom"/>
            <w:hideMark/>
          </w:tcPr>
          <w:p w14:paraId="51877EB6" w14:textId="77777777" w:rsidR="00D619B4" w:rsidRPr="003A6B3E" w:rsidRDefault="00D619B4" w:rsidP="001C13FB">
            <w:pPr>
              <w:rPr>
                <w:b/>
                <w:bCs/>
                <w:color w:val="000000"/>
                <w:lang w:eastAsia="sk-SK"/>
              </w:rPr>
            </w:pPr>
            <w:r w:rsidRPr="003A6B3E">
              <w:rPr>
                <w:b/>
                <w:bCs/>
                <w:color w:val="000000"/>
                <w:lang w:eastAsia="sk-SK"/>
              </w:rPr>
              <w:t xml:space="preserve">                                2 388 </w:t>
            </w:r>
          </w:p>
        </w:tc>
      </w:tr>
      <w:tr w:rsidR="00D619B4" w:rsidRPr="00C62AE1" w14:paraId="7B5A4008" w14:textId="77777777" w:rsidTr="001C13FB">
        <w:trPr>
          <w:trHeight w:val="300"/>
        </w:trPr>
        <w:tc>
          <w:tcPr>
            <w:tcW w:w="3828" w:type="dxa"/>
            <w:shd w:val="clear" w:color="000000" w:fill="F2F2F2"/>
            <w:vAlign w:val="bottom"/>
            <w:hideMark/>
          </w:tcPr>
          <w:p w14:paraId="7B567335" w14:textId="77777777" w:rsidR="00D619B4" w:rsidRPr="003A6B3E" w:rsidRDefault="00D619B4" w:rsidP="001C13FB">
            <w:pPr>
              <w:rPr>
                <w:color w:val="000000"/>
                <w:lang w:eastAsia="sk-SK"/>
              </w:rPr>
            </w:pPr>
            <w:r w:rsidRPr="003A6B3E">
              <w:rPr>
                <w:color w:val="000000"/>
                <w:lang w:eastAsia="sk-SK"/>
              </w:rPr>
              <w:t>Aplikačný programátor</w:t>
            </w:r>
          </w:p>
        </w:tc>
        <w:tc>
          <w:tcPr>
            <w:tcW w:w="1270" w:type="dxa"/>
            <w:shd w:val="clear" w:color="000000" w:fill="F2F2F2"/>
            <w:noWrap/>
            <w:vAlign w:val="bottom"/>
            <w:hideMark/>
          </w:tcPr>
          <w:p w14:paraId="3E8EA9C5" w14:textId="77777777" w:rsidR="00D619B4" w:rsidRPr="003A6B3E" w:rsidRDefault="00D619B4" w:rsidP="001C13FB">
            <w:pPr>
              <w:jc w:val="center"/>
              <w:rPr>
                <w:b/>
                <w:bCs/>
                <w:color w:val="000000"/>
                <w:lang w:eastAsia="sk-SK"/>
              </w:rPr>
            </w:pPr>
            <w:r w:rsidRPr="003A6B3E">
              <w:rPr>
                <w:b/>
                <w:bCs/>
                <w:color w:val="000000"/>
                <w:lang w:eastAsia="sk-SK"/>
              </w:rPr>
              <w:t xml:space="preserve">                                2 161 </w:t>
            </w:r>
          </w:p>
        </w:tc>
        <w:tc>
          <w:tcPr>
            <w:tcW w:w="1701" w:type="dxa"/>
            <w:shd w:val="clear" w:color="000000" w:fill="F2F2F2"/>
            <w:noWrap/>
            <w:vAlign w:val="bottom"/>
            <w:hideMark/>
          </w:tcPr>
          <w:p w14:paraId="0213CB9A" w14:textId="77777777" w:rsidR="00D619B4" w:rsidRPr="003A6B3E" w:rsidRDefault="00D619B4" w:rsidP="001C13FB">
            <w:pPr>
              <w:rPr>
                <w:b/>
                <w:bCs/>
                <w:color w:val="000000"/>
                <w:lang w:eastAsia="sk-SK"/>
              </w:rPr>
            </w:pPr>
            <w:r w:rsidRPr="003A6B3E">
              <w:rPr>
                <w:b/>
                <w:bCs/>
                <w:color w:val="000000"/>
                <w:lang w:eastAsia="sk-SK"/>
              </w:rPr>
              <w:t xml:space="preserve">                                1 951 </w:t>
            </w:r>
          </w:p>
        </w:tc>
        <w:tc>
          <w:tcPr>
            <w:tcW w:w="1276" w:type="dxa"/>
            <w:shd w:val="clear" w:color="000000" w:fill="F2F2F2"/>
            <w:noWrap/>
            <w:vAlign w:val="bottom"/>
            <w:hideMark/>
          </w:tcPr>
          <w:p w14:paraId="4C768F0A" w14:textId="77777777" w:rsidR="00D619B4" w:rsidRPr="003A6B3E" w:rsidRDefault="00D619B4" w:rsidP="001C13FB">
            <w:pPr>
              <w:rPr>
                <w:b/>
                <w:bCs/>
                <w:color w:val="000000"/>
                <w:lang w:eastAsia="sk-SK"/>
              </w:rPr>
            </w:pPr>
            <w:r w:rsidRPr="003A6B3E">
              <w:rPr>
                <w:b/>
                <w:bCs/>
                <w:color w:val="000000"/>
                <w:lang w:eastAsia="sk-SK"/>
              </w:rPr>
              <w:t xml:space="preserve">                                1 682 </w:t>
            </w:r>
          </w:p>
        </w:tc>
      </w:tr>
      <w:tr w:rsidR="00D619B4" w:rsidRPr="00C62AE1" w14:paraId="173AD10B" w14:textId="77777777" w:rsidTr="001C13FB">
        <w:trPr>
          <w:trHeight w:val="300"/>
        </w:trPr>
        <w:tc>
          <w:tcPr>
            <w:tcW w:w="3828" w:type="dxa"/>
            <w:shd w:val="clear" w:color="000000" w:fill="F2F2F2"/>
            <w:vAlign w:val="bottom"/>
            <w:hideMark/>
          </w:tcPr>
          <w:p w14:paraId="50577C19" w14:textId="77777777" w:rsidR="00D619B4" w:rsidRPr="003A6B3E" w:rsidRDefault="00D619B4" w:rsidP="001C13FB">
            <w:pPr>
              <w:rPr>
                <w:color w:val="000000"/>
                <w:lang w:eastAsia="sk-SK"/>
              </w:rPr>
            </w:pPr>
            <w:r w:rsidRPr="003A6B3E">
              <w:rPr>
                <w:color w:val="000000"/>
                <w:lang w:eastAsia="sk-SK"/>
              </w:rPr>
              <w:t>IT architekt, projektant</w:t>
            </w:r>
          </w:p>
        </w:tc>
        <w:tc>
          <w:tcPr>
            <w:tcW w:w="1270" w:type="dxa"/>
            <w:shd w:val="clear" w:color="000000" w:fill="F2F2F2"/>
            <w:noWrap/>
            <w:vAlign w:val="bottom"/>
            <w:hideMark/>
          </w:tcPr>
          <w:p w14:paraId="4740BB66" w14:textId="77777777" w:rsidR="00D619B4" w:rsidRPr="003A6B3E" w:rsidRDefault="00D619B4" w:rsidP="001C13FB">
            <w:pPr>
              <w:jc w:val="center"/>
              <w:rPr>
                <w:b/>
                <w:bCs/>
                <w:color w:val="000000"/>
                <w:lang w:eastAsia="sk-SK"/>
              </w:rPr>
            </w:pPr>
            <w:r w:rsidRPr="003A6B3E">
              <w:rPr>
                <w:b/>
                <w:bCs/>
                <w:color w:val="000000"/>
                <w:lang w:eastAsia="sk-SK"/>
              </w:rPr>
              <w:t xml:space="preserve">                                3 128 </w:t>
            </w:r>
          </w:p>
        </w:tc>
        <w:tc>
          <w:tcPr>
            <w:tcW w:w="1701" w:type="dxa"/>
            <w:shd w:val="clear" w:color="000000" w:fill="F2F2F2"/>
            <w:noWrap/>
            <w:vAlign w:val="bottom"/>
            <w:hideMark/>
          </w:tcPr>
          <w:p w14:paraId="19621C9C" w14:textId="77777777" w:rsidR="00D619B4" w:rsidRPr="003A6B3E" w:rsidRDefault="00D619B4" w:rsidP="001C13FB">
            <w:pPr>
              <w:rPr>
                <w:b/>
                <w:bCs/>
                <w:color w:val="000000"/>
                <w:lang w:eastAsia="sk-SK"/>
              </w:rPr>
            </w:pPr>
            <w:r w:rsidRPr="003A6B3E">
              <w:rPr>
                <w:b/>
                <w:bCs/>
                <w:color w:val="000000"/>
                <w:lang w:eastAsia="sk-SK"/>
              </w:rPr>
              <w:t xml:space="preserve">                                2 857 </w:t>
            </w:r>
          </w:p>
        </w:tc>
        <w:tc>
          <w:tcPr>
            <w:tcW w:w="1276" w:type="dxa"/>
            <w:shd w:val="clear" w:color="000000" w:fill="F2F2F2"/>
            <w:noWrap/>
            <w:vAlign w:val="bottom"/>
            <w:hideMark/>
          </w:tcPr>
          <w:p w14:paraId="63F05D5E" w14:textId="77777777" w:rsidR="00D619B4" w:rsidRPr="003A6B3E" w:rsidRDefault="00D619B4" w:rsidP="001C13FB">
            <w:pPr>
              <w:rPr>
                <w:b/>
                <w:bCs/>
                <w:color w:val="000000"/>
                <w:lang w:eastAsia="sk-SK"/>
              </w:rPr>
            </w:pPr>
            <w:r w:rsidRPr="003A6B3E">
              <w:rPr>
                <w:b/>
                <w:bCs/>
                <w:color w:val="000000"/>
                <w:lang w:eastAsia="sk-SK"/>
              </w:rPr>
              <w:t xml:space="preserve">                                2 917 </w:t>
            </w:r>
          </w:p>
        </w:tc>
      </w:tr>
      <w:tr w:rsidR="00D619B4" w:rsidRPr="00C62AE1" w14:paraId="3FC2E832" w14:textId="77777777" w:rsidTr="001C13FB">
        <w:trPr>
          <w:trHeight w:val="300"/>
        </w:trPr>
        <w:tc>
          <w:tcPr>
            <w:tcW w:w="3828" w:type="dxa"/>
            <w:shd w:val="clear" w:color="000000" w:fill="F2F2F2"/>
            <w:vAlign w:val="bottom"/>
            <w:hideMark/>
          </w:tcPr>
          <w:p w14:paraId="46724A11" w14:textId="77777777" w:rsidR="00D619B4" w:rsidRPr="003A6B3E" w:rsidRDefault="00D619B4" w:rsidP="001C13FB">
            <w:pPr>
              <w:rPr>
                <w:color w:val="000000"/>
                <w:lang w:eastAsia="sk-SK"/>
              </w:rPr>
            </w:pPr>
            <w:r w:rsidRPr="003A6B3E">
              <w:rPr>
                <w:color w:val="000000"/>
                <w:lang w:eastAsia="sk-SK"/>
              </w:rPr>
              <w:t>IT konzultant</w:t>
            </w:r>
          </w:p>
        </w:tc>
        <w:tc>
          <w:tcPr>
            <w:tcW w:w="1270" w:type="dxa"/>
            <w:shd w:val="clear" w:color="000000" w:fill="F2F2F2"/>
            <w:noWrap/>
            <w:vAlign w:val="bottom"/>
            <w:hideMark/>
          </w:tcPr>
          <w:p w14:paraId="29905B6C" w14:textId="77777777" w:rsidR="00D619B4" w:rsidRPr="003A6B3E" w:rsidRDefault="00D619B4" w:rsidP="001C13FB">
            <w:pPr>
              <w:jc w:val="center"/>
              <w:rPr>
                <w:b/>
                <w:bCs/>
                <w:color w:val="000000"/>
                <w:lang w:eastAsia="sk-SK"/>
              </w:rPr>
            </w:pPr>
            <w:r w:rsidRPr="003A6B3E">
              <w:rPr>
                <w:b/>
                <w:bCs/>
                <w:color w:val="000000"/>
                <w:lang w:eastAsia="sk-SK"/>
              </w:rPr>
              <w:t xml:space="preserve">                                2 202 </w:t>
            </w:r>
          </w:p>
        </w:tc>
        <w:tc>
          <w:tcPr>
            <w:tcW w:w="1701" w:type="dxa"/>
            <w:shd w:val="clear" w:color="000000" w:fill="F2F2F2"/>
            <w:noWrap/>
            <w:vAlign w:val="bottom"/>
            <w:hideMark/>
          </w:tcPr>
          <w:p w14:paraId="221011A2" w14:textId="77777777" w:rsidR="00D619B4" w:rsidRPr="003A6B3E" w:rsidRDefault="00D619B4" w:rsidP="001C13FB">
            <w:pPr>
              <w:rPr>
                <w:b/>
                <w:bCs/>
                <w:color w:val="000000"/>
                <w:lang w:eastAsia="sk-SK"/>
              </w:rPr>
            </w:pPr>
            <w:r w:rsidRPr="003A6B3E">
              <w:rPr>
                <w:b/>
                <w:bCs/>
                <w:color w:val="000000"/>
                <w:lang w:eastAsia="sk-SK"/>
              </w:rPr>
              <w:t xml:space="preserve">                                1 988 </w:t>
            </w:r>
          </w:p>
        </w:tc>
        <w:tc>
          <w:tcPr>
            <w:tcW w:w="1276" w:type="dxa"/>
            <w:shd w:val="clear" w:color="000000" w:fill="F2F2F2"/>
            <w:noWrap/>
            <w:vAlign w:val="bottom"/>
            <w:hideMark/>
          </w:tcPr>
          <w:p w14:paraId="5D812DB2" w14:textId="77777777" w:rsidR="00D619B4" w:rsidRPr="003A6B3E" w:rsidRDefault="00D619B4" w:rsidP="001C13FB">
            <w:pPr>
              <w:rPr>
                <w:b/>
                <w:bCs/>
                <w:color w:val="000000"/>
                <w:lang w:eastAsia="sk-SK"/>
              </w:rPr>
            </w:pPr>
            <w:r w:rsidRPr="003A6B3E">
              <w:rPr>
                <w:b/>
                <w:bCs/>
                <w:color w:val="000000"/>
                <w:lang w:eastAsia="sk-SK"/>
              </w:rPr>
              <w:t xml:space="preserve">                                1 569 </w:t>
            </w:r>
          </w:p>
        </w:tc>
      </w:tr>
      <w:tr w:rsidR="00D619B4" w:rsidRPr="00C62AE1" w14:paraId="79EC0394" w14:textId="77777777" w:rsidTr="001C13FB">
        <w:trPr>
          <w:trHeight w:val="300"/>
        </w:trPr>
        <w:tc>
          <w:tcPr>
            <w:tcW w:w="3828" w:type="dxa"/>
            <w:shd w:val="clear" w:color="000000" w:fill="F2F2F2"/>
            <w:vAlign w:val="bottom"/>
            <w:hideMark/>
          </w:tcPr>
          <w:p w14:paraId="33529A89" w14:textId="77777777" w:rsidR="00D619B4" w:rsidRPr="003A6B3E" w:rsidRDefault="00D619B4" w:rsidP="001C13FB">
            <w:pPr>
              <w:rPr>
                <w:color w:val="000000"/>
                <w:lang w:eastAsia="sk-SK"/>
              </w:rPr>
            </w:pPr>
            <w:r w:rsidRPr="003A6B3E">
              <w:rPr>
                <w:color w:val="000000"/>
                <w:lang w:eastAsia="sk-SK"/>
              </w:rPr>
              <w:t>IT tester</w:t>
            </w:r>
          </w:p>
        </w:tc>
        <w:tc>
          <w:tcPr>
            <w:tcW w:w="1270" w:type="dxa"/>
            <w:shd w:val="clear" w:color="000000" w:fill="F2F2F2"/>
            <w:noWrap/>
            <w:vAlign w:val="bottom"/>
            <w:hideMark/>
          </w:tcPr>
          <w:p w14:paraId="02FF417B" w14:textId="77777777" w:rsidR="00D619B4" w:rsidRPr="003A6B3E" w:rsidRDefault="00D619B4" w:rsidP="001C13FB">
            <w:pPr>
              <w:jc w:val="center"/>
              <w:rPr>
                <w:b/>
                <w:bCs/>
                <w:color w:val="000000"/>
                <w:lang w:eastAsia="sk-SK"/>
              </w:rPr>
            </w:pPr>
            <w:r w:rsidRPr="003A6B3E">
              <w:rPr>
                <w:b/>
                <w:bCs/>
                <w:color w:val="000000"/>
                <w:lang w:eastAsia="sk-SK"/>
              </w:rPr>
              <w:t xml:space="preserve">                                1 868 </w:t>
            </w:r>
          </w:p>
        </w:tc>
        <w:tc>
          <w:tcPr>
            <w:tcW w:w="1701" w:type="dxa"/>
            <w:shd w:val="clear" w:color="000000" w:fill="F2F2F2"/>
            <w:noWrap/>
            <w:vAlign w:val="bottom"/>
            <w:hideMark/>
          </w:tcPr>
          <w:p w14:paraId="157FB8A5" w14:textId="77777777" w:rsidR="00D619B4" w:rsidRPr="003A6B3E" w:rsidRDefault="00D619B4" w:rsidP="001C13FB">
            <w:pPr>
              <w:rPr>
                <w:b/>
                <w:bCs/>
                <w:color w:val="000000"/>
                <w:lang w:eastAsia="sk-SK"/>
              </w:rPr>
            </w:pPr>
            <w:r w:rsidRPr="003A6B3E">
              <w:rPr>
                <w:b/>
                <w:bCs/>
                <w:color w:val="000000"/>
                <w:lang w:eastAsia="sk-SK"/>
              </w:rPr>
              <w:t xml:space="preserve">                                1 577 </w:t>
            </w:r>
          </w:p>
        </w:tc>
        <w:tc>
          <w:tcPr>
            <w:tcW w:w="1276" w:type="dxa"/>
            <w:shd w:val="clear" w:color="000000" w:fill="F2F2F2"/>
            <w:noWrap/>
            <w:vAlign w:val="bottom"/>
            <w:hideMark/>
          </w:tcPr>
          <w:p w14:paraId="5FDB44D2" w14:textId="77777777" w:rsidR="00D619B4" w:rsidRPr="003A6B3E" w:rsidRDefault="00D619B4" w:rsidP="001C13FB">
            <w:pPr>
              <w:rPr>
                <w:b/>
                <w:bCs/>
                <w:color w:val="000000"/>
                <w:lang w:eastAsia="sk-SK"/>
              </w:rPr>
            </w:pPr>
            <w:r w:rsidRPr="003A6B3E">
              <w:rPr>
                <w:b/>
                <w:bCs/>
                <w:color w:val="000000"/>
                <w:lang w:eastAsia="sk-SK"/>
              </w:rPr>
              <w:t xml:space="preserve">                                1 339 </w:t>
            </w:r>
          </w:p>
        </w:tc>
      </w:tr>
      <w:tr w:rsidR="00D619B4" w:rsidRPr="00C62AE1" w14:paraId="6D7D64A0" w14:textId="77777777" w:rsidTr="001C13FB">
        <w:trPr>
          <w:trHeight w:val="300"/>
        </w:trPr>
        <w:tc>
          <w:tcPr>
            <w:tcW w:w="3828" w:type="dxa"/>
            <w:shd w:val="clear" w:color="000000" w:fill="F2F2F2"/>
            <w:vAlign w:val="bottom"/>
          </w:tcPr>
          <w:p w14:paraId="6E52360E" w14:textId="77777777" w:rsidR="00D619B4" w:rsidRPr="003A6B3E" w:rsidRDefault="00D619B4" w:rsidP="001C13FB">
            <w:pPr>
              <w:rPr>
                <w:color w:val="000000"/>
                <w:lang w:eastAsia="sk-SK"/>
              </w:rPr>
            </w:pPr>
            <w:r w:rsidRPr="00E33702">
              <w:rPr>
                <w:color w:val="000000"/>
                <w:lang w:eastAsia="sk-SK"/>
              </w:rPr>
              <w:t>IT analytik</w:t>
            </w:r>
            <w:r>
              <w:rPr>
                <w:rStyle w:val="Odkaznapoznmkupodiarou"/>
                <w:color w:val="000000"/>
                <w:lang w:eastAsia="sk-SK"/>
              </w:rPr>
              <w:footnoteReference w:id="1"/>
            </w:r>
          </w:p>
        </w:tc>
        <w:tc>
          <w:tcPr>
            <w:tcW w:w="1270" w:type="dxa"/>
            <w:shd w:val="clear" w:color="000000" w:fill="F2F2F2"/>
            <w:noWrap/>
            <w:vAlign w:val="bottom"/>
          </w:tcPr>
          <w:p w14:paraId="62F0A980" w14:textId="77777777" w:rsidR="00D619B4" w:rsidRPr="003A6B3E" w:rsidRDefault="00D619B4" w:rsidP="001C13FB">
            <w:pPr>
              <w:jc w:val="center"/>
              <w:rPr>
                <w:b/>
                <w:bCs/>
                <w:color w:val="000000"/>
                <w:lang w:eastAsia="sk-SK"/>
              </w:rPr>
            </w:pPr>
            <w:r>
              <w:rPr>
                <w:b/>
                <w:bCs/>
                <w:color w:val="000000"/>
                <w:lang w:eastAsia="sk-SK"/>
              </w:rPr>
              <w:t>3 200</w:t>
            </w:r>
          </w:p>
        </w:tc>
        <w:tc>
          <w:tcPr>
            <w:tcW w:w="1701" w:type="dxa"/>
            <w:shd w:val="clear" w:color="000000" w:fill="F2F2F2"/>
            <w:noWrap/>
            <w:vAlign w:val="bottom"/>
          </w:tcPr>
          <w:p w14:paraId="45A37B6D" w14:textId="77777777" w:rsidR="00D619B4" w:rsidRPr="003A6B3E" w:rsidRDefault="00D619B4" w:rsidP="001C13FB">
            <w:pPr>
              <w:rPr>
                <w:b/>
                <w:bCs/>
                <w:color w:val="000000"/>
                <w:lang w:eastAsia="sk-SK"/>
              </w:rPr>
            </w:pPr>
            <w:r>
              <w:rPr>
                <w:b/>
                <w:bCs/>
                <w:color w:val="000000"/>
                <w:lang w:eastAsia="sk-SK"/>
              </w:rPr>
              <w:t>/</w:t>
            </w:r>
          </w:p>
        </w:tc>
        <w:tc>
          <w:tcPr>
            <w:tcW w:w="1276" w:type="dxa"/>
            <w:shd w:val="clear" w:color="000000" w:fill="F2F2F2"/>
            <w:noWrap/>
            <w:vAlign w:val="bottom"/>
          </w:tcPr>
          <w:p w14:paraId="2BC2DBF7" w14:textId="77777777" w:rsidR="00D619B4" w:rsidRPr="003A6B3E" w:rsidRDefault="00D619B4" w:rsidP="001C13FB">
            <w:pPr>
              <w:rPr>
                <w:b/>
                <w:bCs/>
                <w:color w:val="000000"/>
                <w:lang w:eastAsia="sk-SK"/>
              </w:rPr>
            </w:pPr>
            <w:r>
              <w:rPr>
                <w:b/>
                <w:bCs/>
                <w:color w:val="000000"/>
                <w:lang w:eastAsia="sk-SK"/>
              </w:rPr>
              <w:t>3 200</w:t>
            </w:r>
          </w:p>
        </w:tc>
      </w:tr>
    </w:tbl>
    <w:p w14:paraId="7E8A3C6A" w14:textId="77777777" w:rsidR="00D619B4" w:rsidRDefault="00D619B4" w:rsidP="00D619B4">
      <w:pPr>
        <w:tabs>
          <w:tab w:val="num" w:pos="1080"/>
        </w:tabs>
        <w:jc w:val="both"/>
        <w:rPr>
          <w:bCs/>
          <w:lang w:eastAsia="sk-SK"/>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2126"/>
        <w:gridCol w:w="1276"/>
        <w:gridCol w:w="1134"/>
        <w:gridCol w:w="1327"/>
      </w:tblGrid>
      <w:tr w:rsidR="00D619B4" w:rsidRPr="00C62AE1" w14:paraId="036B34B0" w14:textId="77777777" w:rsidTr="001C13FB">
        <w:trPr>
          <w:trHeight w:val="300"/>
        </w:trPr>
        <w:tc>
          <w:tcPr>
            <w:tcW w:w="3681" w:type="dxa"/>
            <w:shd w:val="clear" w:color="auto" w:fill="auto"/>
            <w:noWrap/>
            <w:vAlign w:val="bottom"/>
            <w:hideMark/>
          </w:tcPr>
          <w:p w14:paraId="183CBD19" w14:textId="77777777" w:rsidR="00D619B4" w:rsidRPr="003A6B3E" w:rsidRDefault="00D619B4" w:rsidP="001C13FB">
            <w:pPr>
              <w:rPr>
                <w:color w:val="000000"/>
                <w:lang w:eastAsia="sk-SK"/>
              </w:rPr>
            </w:pPr>
            <w:r w:rsidRPr="003A6B3E">
              <w:rPr>
                <w:color w:val="000000"/>
                <w:lang w:eastAsia="sk-SK"/>
              </w:rPr>
              <w:t>Základne role* z tabuľky vyššie prepočítane</w:t>
            </w:r>
          </w:p>
        </w:tc>
        <w:tc>
          <w:tcPr>
            <w:tcW w:w="2126" w:type="dxa"/>
            <w:shd w:val="clear" w:color="auto" w:fill="auto"/>
            <w:noWrap/>
            <w:vAlign w:val="bottom"/>
            <w:hideMark/>
          </w:tcPr>
          <w:p w14:paraId="6D2F3508" w14:textId="77777777" w:rsidR="00D619B4" w:rsidRPr="003A6B3E" w:rsidRDefault="00D619B4" w:rsidP="001C13FB">
            <w:pPr>
              <w:jc w:val="center"/>
              <w:rPr>
                <w:color w:val="000000"/>
                <w:lang w:eastAsia="sk-SK"/>
              </w:rPr>
            </w:pPr>
            <w:r w:rsidRPr="003A6B3E">
              <w:rPr>
                <w:color w:val="000000"/>
                <w:lang w:eastAsia="sk-SK"/>
              </w:rPr>
              <w:t>manažér el. služieb</w:t>
            </w:r>
          </w:p>
        </w:tc>
        <w:tc>
          <w:tcPr>
            <w:tcW w:w="1276" w:type="dxa"/>
            <w:shd w:val="clear" w:color="auto" w:fill="auto"/>
            <w:noWrap/>
            <w:vAlign w:val="bottom"/>
            <w:hideMark/>
          </w:tcPr>
          <w:p w14:paraId="471262A6" w14:textId="77777777" w:rsidR="00D619B4" w:rsidRPr="003A6B3E" w:rsidRDefault="00D619B4" w:rsidP="001C13FB">
            <w:pPr>
              <w:rPr>
                <w:color w:val="000000"/>
                <w:lang w:eastAsia="sk-SK"/>
              </w:rPr>
            </w:pPr>
            <w:r w:rsidRPr="003A6B3E">
              <w:rPr>
                <w:color w:val="000000"/>
                <w:lang w:eastAsia="sk-SK"/>
              </w:rPr>
              <w:t>IT architekt</w:t>
            </w:r>
          </w:p>
        </w:tc>
        <w:tc>
          <w:tcPr>
            <w:tcW w:w="1134" w:type="dxa"/>
            <w:shd w:val="clear" w:color="auto" w:fill="auto"/>
            <w:noWrap/>
            <w:vAlign w:val="bottom"/>
            <w:hideMark/>
          </w:tcPr>
          <w:p w14:paraId="275F6621" w14:textId="77777777" w:rsidR="00D619B4" w:rsidRPr="003A6B3E" w:rsidRDefault="00D619B4" w:rsidP="001C13FB">
            <w:pPr>
              <w:rPr>
                <w:color w:val="000000"/>
                <w:lang w:eastAsia="sk-SK"/>
              </w:rPr>
            </w:pPr>
            <w:r w:rsidRPr="003A6B3E">
              <w:rPr>
                <w:color w:val="000000"/>
                <w:lang w:eastAsia="sk-SK"/>
              </w:rPr>
              <w:t>IT analytik</w:t>
            </w:r>
          </w:p>
        </w:tc>
        <w:tc>
          <w:tcPr>
            <w:tcW w:w="1327" w:type="dxa"/>
            <w:shd w:val="clear" w:color="auto" w:fill="auto"/>
            <w:noWrap/>
            <w:vAlign w:val="bottom"/>
            <w:hideMark/>
          </w:tcPr>
          <w:p w14:paraId="11DDC214" w14:textId="77777777" w:rsidR="00D619B4" w:rsidRPr="003A6B3E" w:rsidRDefault="00D619B4" w:rsidP="001C13FB">
            <w:pPr>
              <w:rPr>
                <w:color w:val="000000"/>
                <w:lang w:eastAsia="sk-SK"/>
              </w:rPr>
            </w:pPr>
            <w:r w:rsidRPr="003A6B3E">
              <w:rPr>
                <w:color w:val="000000"/>
                <w:lang w:eastAsia="sk-SK"/>
              </w:rPr>
              <w:t>IT programátor</w:t>
            </w:r>
          </w:p>
        </w:tc>
      </w:tr>
      <w:tr w:rsidR="00D619B4" w:rsidRPr="00C62AE1" w14:paraId="32F2572C" w14:textId="77777777" w:rsidTr="001C13FB">
        <w:trPr>
          <w:trHeight w:val="300"/>
        </w:trPr>
        <w:tc>
          <w:tcPr>
            <w:tcW w:w="3681" w:type="dxa"/>
            <w:shd w:val="clear" w:color="auto" w:fill="auto"/>
            <w:noWrap/>
            <w:vAlign w:val="bottom"/>
            <w:hideMark/>
          </w:tcPr>
          <w:p w14:paraId="42D0F8FD" w14:textId="77777777" w:rsidR="00D619B4" w:rsidRPr="003A6B3E" w:rsidRDefault="00D619B4" w:rsidP="001C13FB">
            <w:pPr>
              <w:rPr>
                <w:color w:val="000000"/>
                <w:lang w:eastAsia="sk-SK"/>
              </w:rPr>
            </w:pPr>
            <w:r w:rsidRPr="003A6B3E">
              <w:rPr>
                <w:color w:val="000000"/>
                <w:lang w:eastAsia="sk-SK"/>
              </w:rPr>
              <w:t>Cena prace (super hruba mzda)</w:t>
            </w:r>
          </w:p>
        </w:tc>
        <w:tc>
          <w:tcPr>
            <w:tcW w:w="2126" w:type="dxa"/>
            <w:shd w:val="clear" w:color="auto" w:fill="auto"/>
            <w:noWrap/>
            <w:vAlign w:val="bottom"/>
            <w:hideMark/>
          </w:tcPr>
          <w:p w14:paraId="65ECCC76" w14:textId="77777777" w:rsidR="00D619B4" w:rsidRPr="003A6B3E" w:rsidRDefault="00D619B4" w:rsidP="001C13FB">
            <w:pPr>
              <w:jc w:val="center"/>
              <w:rPr>
                <w:color w:val="000000"/>
                <w:lang w:eastAsia="sk-SK"/>
              </w:rPr>
            </w:pPr>
            <w:r w:rsidRPr="003A6B3E">
              <w:rPr>
                <w:color w:val="000000"/>
                <w:lang w:eastAsia="sk-SK"/>
              </w:rPr>
              <w:t>5 204 €</w:t>
            </w:r>
          </w:p>
        </w:tc>
        <w:tc>
          <w:tcPr>
            <w:tcW w:w="1276" w:type="dxa"/>
            <w:shd w:val="clear" w:color="auto" w:fill="auto"/>
            <w:noWrap/>
            <w:vAlign w:val="bottom"/>
            <w:hideMark/>
          </w:tcPr>
          <w:p w14:paraId="486CC0CE" w14:textId="77777777" w:rsidR="00D619B4" w:rsidRPr="003A6B3E" w:rsidRDefault="00D619B4" w:rsidP="001C13FB">
            <w:pPr>
              <w:jc w:val="right"/>
              <w:rPr>
                <w:color w:val="000000"/>
                <w:lang w:eastAsia="sk-SK"/>
              </w:rPr>
            </w:pPr>
            <w:r w:rsidRPr="003A6B3E">
              <w:rPr>
                <w:color w:val="000000"/>
                <w:lang w:eastAsia="sk-SK"/>
              </w:rPr>
              <w:t>4 229 €</w:t>
            </w:r>
          </w:p>
        </w:tc>
        <w:tc>
          <w:tcPr>
            <w:tcW w:w="1134" w:type="dxa"/>
            <w:shd w:val="clear" w:color="auto" w:fill="auto"/>
            <w:noWrap/>
            <w:vAlign w:val="bottom"/>
            <w:hideMark/>
          </w:tcPr>
          <w:p w14:paraId="0F2D74EF" w14:textId="77777777" w:rsidR="00D619B4" w:rsidRPr="003A6B3E" w:rsidRDefault="00D619B4" w:rsidP="001C13FB">
            <w:pPr>
              <w:jc w:val="right"/>
              <w:rPr>
                <w:color w:val="000000"/>
                <w:lang w:eastAsia="sk-SK"/>
              </w:rPr>
            </w:pPr>
            <w:r w:rsidRPr="003A6B3E">
              <w:rPr>
                <w:color w:val="000000"/>
                <w:lang w:eastAsia="sk-SK"/>
              </w:rPr>
              <w:t>4 326 €</w:t>
            </w:r>
          </w:p>
        </w:tc>
        <w:tc>
          <w:tcPr>
            <w:tcW w:w="1327" w:type="dxa"/>
            <w:shd w:val="clear" w:color="auto" w:fill="auto"/>
            <w:noWrap/>
            <w:vAlign w:val="bottom"/>
            <w:hideMark/>
          </w:tcPr>
          <w:p w14:paraId="5DEB9CFC" w14:textId="77777777" w:rsidR="00D619B4" w:rsidRPr="003A6B3E" w:rsidRDefault="00D619B4" w:rsidP="001C13FB">
            <w:pPr>
              <w:jc w:val="right"/>
              <w:rPr>
                <w:color w:val="000000"/>
                <w:lang w:eastAsia="sk-SK"/>
              </w:rPr>
            </w:pPr>
            <w:r w:rsidRPr="003A6B3E">
              <w:rPr>
                <w:color w:val="000000"/>
                <w:lang w:eastAsia="sk-SK"/>
              </w:rPr>
              <w:t>2 922 €</w:t>
            </w:r>
          </w:p>
        </w:tc>
      </w:tr>
      <w:tr w:rsidR="00D619B4" w:rsidRPr="00C62AE1" w14:paraId="7C75BF55" w14:textId="77777777" w:rsidTr="001C13FB">
        <w:trPr>
          <w:trHeight w:val="300"/>
        </w:trPr>
        <w:tc>
          <w:tcPr>
            <w:tcW w:w="3681" w:type="dxa"/>
            <w:shd w:val="clear" w:color="auto" w:fill="auto"/>
            <w:noWrap/>
            <w:vAlign w:val="bottom"/>
            <w:hideMark/>
          </w:tcPr>
          <w:p w14:paraId="160714D8" w14:textId="77777777" w:rsidR="00D619B4" w:rsidRPr="008E2CE2" w:rsidRDefault="00D619B4" w:rsidP="001C13FB">
            <w:pPr>
              <w:rPr>
                <w:color w:val="000000"/>
                <w:lang w:eastAsia="sk-SK"/>
              </w:rPr>
            </w:pPr>
            <w:r w:rsidRPr="008E2CE2">
              <w:rPr>
                <w:color w:val="000000"/>
                <w:lang w:eastAsia="sk-SK"/>
              </w:rPr>
              <w:t>Tím na 1 OVM 6 FTE</w:t>
            </w:r>
          </w:p>
        </w:tc>
        <w:tc>
          <w:tcPr>
            <w:tcW w:w="2126" w:type="dxa"/>
            <w:shd w:val="clear" w:color="auto" w:fill="auto"/>
            <w:noWrap/>
            <w:vAlign w:val="bottom"/>
            <w:hideMark/>
          </w:tcPr>
          <w:p w14:paraId="28B75E7D" w14:textId="77777777" w:rsidR="00D619B4" w:rsidRPr="008E2CE2" w:rsidRDefault="00D619B4" w:rsidP="001C13FB">
            <w:pPr>
              <w:jc w:val="center"/>
              <w:rPr>
                <w:color w:val="000000"/>
                <w:lang w:eastAsia="sk-SK"/>
              </w:rPr>
            </w:pPr>
            <w:r w:rsidRPr="008E2CE2">
              <w:rPr>
                <w:color w:val="000000"/>
                <w:lang w:eastAsia="sk-SK"/>
              </w:rPr>
              <w:t>25 236 €</w:t>
            </w:r>
          </w:p>
        </w:tc>
        <w:tc>
          <w:tcPr>
            <w:tcW w:w="1276" w:type="dxa"/>
            <w:shd w:val="clear" w:color="auto" w:fill="auto"/>
            <w:noWrap/>
            <w:vAlign w:val="bottom"/>
            <w:hideMark/>
          </w:tcPr>
          <w:p w14:paraId="1DB0A7D8" w14:textId="77777777" w:rsidR="00D619B4" w:rsidRPr="003A6B3E" w:rsidRDefault="00D619B4" w:rsidP="001C13FB">
            <w:pPr>
              <w:jc w:val="center"/>
              <w:rPr>
                <w:color w:val="000000"/>
                <w:lang w:eastAsia="sk-SK"/>
              </w:rPr>
            </w:pPr>
          </w:p>
        </w:tc>
        <w:tc>
          <w:tcPr>
            <w:tcW w:w="1134" w:type="dxa"/>
            <w:shd w:val="clear" w:color="auto" w:fill="auto"/>
            <w:noWrap/>
            <w:vAlign w:val="bottom"/>
            <w:hideMark/>
          </w:tcPr>
          <w:p w14:paraId="1D23D96B" w14:textId="77777777" w:rsidR="00D619B4" w:rsidRPr="003A6B3E" w:rsidRDefault="00D619B4" w:rsidP="001C13FB">
            <w:pPr>
              <w:rPr>
                <w:lang w:eastAsia="sk-SK"/>
              </w:rPr>
            </w:pPr>
          </w:p>
        </w:tc>
        <w:tc>
          <w:tcPr>
            <w:tcW w:w="1327" w:type="dxa"/>
            <w:shd w:val="clear" w:color="auto" w:fill="auto"/>
            <w:noWrap/>
            <w:vAlign w:val="bottom"/>
            <w:hideMark/>
          </w:tcPr>
          <w:p w14:paraId="0358B072" w14:textId="77777777" w:rsidR="00D619B4" w:rsidRPr="003A6B3E" w:rsidRDefault="00D619B4" w:rsidP="001C13FB">
            <w:pPr>
              <w:rPr>
                <w:lang w:eastAsia="sk-SK"/>
              </w:rPr>
            </w:pPr>
          </w:p>
        </w:tc>
      </w:tr>
    </w:tbl>
    <w:p w14:paraId="4C3A0961" w14:textId="77777777" w:rsidR="00D619B4" w:rsidRPr="007D5748" w:rsidRDefault="00D619B4" w:rsidP="00D619B4">
      <w:pPr>
        <w:tabs>
          <w:tab w:val="num" w:pos="1080"/>
        </w:tabs>
        <w:jc w:val="both"/>
        <w:rPr>
          <w:bCs/>
          <w:lang w:eastAsia="sk-SK"/>
        </w:rPr>
      </w:pPr>
    </w:p>
    <w:p w14:paraId="69869E7C" w14:textId="77777777" w:rsidR="00D619B4" w:rsidRPr="007D5748" w:rsidRDefault="00D619B4" w:rsidP="00D619B4">
      <w:pPr>
        <w:tabs>
          <w:tab w:val="num" w:pos="1080"/>
        </w:tabs>
        <w:jc w:val="both"/>
        <w:rPr>
          <w:bCs/>
          <w:lang w:eastAsia="sk-SK"/>
        </w:rPr>
      </w:pPr>
    </w:p>
    <w:p w14:paraId="6C7AE97D" w14:textId="77777777" w:rsidR="00D619B4" w:rsidRPr="007D5748" w:rsidRDefault="00D619B4" w:rsidP="00D619B4">
      <w:pPr>
        <w:tabs>
          <w:tab w:val="num" w:pos="1080"/>
        </w:tabs>
        <w:jc w:val="both"/>
        <w:rPr>
          <w:bCs/>
          <w:lang w:eastAsia="sk-SK"/>
        </w:rPr>
      </w:pPr>
    </w:p>
    <w:p w14:paraId="425C5692" w14:textId="77777777" w:rsidR="00D619B4" w:rsidRPr="007D5748" w:rsidRDefault="00D619B4" w:rsidP="00D619B4">
      <w:pPr>
        <w:tabs>
          <w:tab w:val="num" w:pos="1080"/>
        </w:tabs>
        <w:jc w:val="both"/>
        <w:rPr>
          <w:bCs/>
          <w:szCs w:val="20"/>
          <w:lang w:eastAsia="sk-SK"/>
        </w:rPr>
      </w:pPr>
    </w:p>
    <w:p w14:paraId="6B720A1C" w14:textId="77777777" w:rsidR="00D619B4" w:rsidRPr="007D5748" w:rsidRDefault="00D619B4" w:rsidP="00D619B4">
      <w:pPr>
        <w:tabs>
          <w:tab w:val="num" w:pos="1080"/>
        </w:tabs>
        <w:jc w:val="both"/>
        <w:rPr>
          <w:bCs/>
          <w:szCs w:val="20"/>
          <w:lang w:eastAsia="sk-SK"/>
        </w:rPr>
        <w:sectPr w:rsidR="00D619B4" w:rsidRPr="007D5748" w:rsidSect="001C13F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pgNumType w:start="1"/>
          <w:cols w:space="708"/>
          <w:docGrid w:linePitch="360"/>
        </w:sectPr>
      </w:pPr>
    </w:p>
    <w:p w14:paraId="10FAC3AB" w14:textId="77777777" w:rsidR="00D619B4" w:rsidRDefault="00D619B4" w:rsidP="00D619B4">
      <w:pPr>
        <w:tabs>
          <w:tab w:val="num" w:pos="1080"/>
        </w:tabs>
        <w:jc w:val="right"/>
        <w:rPr>
          <w:bCs/>
          <w:lang w:eastAsia="sk-SK"/>
        </w:rPr>
      </w:pPr>
      <w:r w:rsidRPr="007D5748">
        <w:rPr>
          <w:bCs/>
          <w:lang w:eastAsia="sk-SK"/>
        </w:rPr>
        <w:t xml:space="preserve">Tabuľka č. 3 </w:t>
      </w:r>
    </w:p>
    <w:p w14:paraId="7F313562" w14:textId="77777777" w:rsidR="00D619B4" w:rsidRDefault="00D619B4" w:rsidP="00D619B4">
      <w:pPr>
        <w:tabs>
          <w:tab w:val="num" w:pos="1080"/>
        </w:tabs>
        <w:jc w:val="right"/>
        <w:rPr>
          <w:bCs/>
          <w:lang w:eastAsia="sk-SK"/>
        </w:rPr>
      </w:pPr>
      <w:r w:rsidRPr="00FA364E">
        <w:rPr>
          <w:bCs/>
          <w:lang w:eastAsia="sk-SK"/>
        </w:rPr>
        <w:t>Ministerstvo investícií, regionálneho rozvoja a informatizácie SR</w:t>
      </w:r>
    </w:p>
    <w:p w14:paraId="1DD9EEA2" w14:textId="77777777" w:rsidR="00D619B4" w:rsidRPr="007D5748" w:rsidRDefault="00D619B4" w:rsidP="00D619B4">
      <w:pPr>
        <w:tabs>
          <w:tab w:val="num" w:pos="1080"/>
        </w:tabs>
        <w:jc w:val="right"/>
        <w:rPr>
          <w:bCs/>
          <w:lang w:eastAsia="sk-SK"/>
        </w:rPr>
      </w:pPr>
    </w:p>
    <w:p w14:paraId="4CA48468" w14:textId="77777777" w:rsidR="00D619B4" w:rsidRPr="007D5748" w:rsidRDefault="00D619B4" w:rsidP="00D619B4">
      <w:pPr>
        <w:tabs>
          <w:tab w:val="num" w:pos="1080"/>
        </w:tabs>
        <w:jc w:val="both"/>
        <w:rPr>
          <w:bCs/>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619B4" w:rsidRPr="007D5748" w14:paraId="60A7462A" w14:textId="77777777" w:rsidTr="001C13F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87587" w14:textId="77777777" w:rsidR="00D619B4" w:rsidRPr="007D5748" w:rsidRDefault="00D619B4" w:rsidP="001C13FB">
            <w:pPr>
              <w:jc w:val="center"/>
              <w:rPr>
                <w:b/>
                <w:bCs/>
                <w:lang w:eastAsia="sk-SK"/>
              </w:rPr>
            </w:pPr>
            <w:r w:rsidRPr="007D5748">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E419D86" w14:textId="77777777" w:rsidR="00D619B4" w:rsidRPr="007D5748" w:rsidRDefault="00D619B4" w:rsidP="001C13FB">
            <w:pPr>
              <w:jc w:val="center"/>
              <w:rPr>
                <w:b/>
                <w:bCs/>
                <w:lang w:eastAsia="sk-SK"/>
              </w:rPr>
            </w:pPr>
            <w:r w:rsidRPr="007D5748">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6450395" w14:textId="77777777" w:rsidR="00D619B4" w:rsidRPr="007D5748" w:rsidRDefault="00D619B4" w:rsidP="001C13FB">
            <w:pPr>
              <w:jc w:val="center"/>
              <w:rPr>
                <w:b/>
                <w:bCs/>
                <w:lang w:eastAsia="sk-SK"/>
              </w:rPr>
            </w:pPr>
            <w:r w:rsidRPr="007D5748">
              <w:rPr>
                <w:b/>
                <w:bCs/>
                <w:lang w:eastAsia="sk-SK"/>
              </w:rPr>
              <w:t>poznámka</w:t>
            </w:r>
          </w:p>
        </w:tc>
      </w:tr>
      <w:tr w:rsidR="00D619B4" w:rsidRPr="007D5748" w14:paraId="4AEC2C85" w14:textId="77777777" w:rsidTr="001C13F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C3BADB3" w14:textId="77777777" w:rsidR="00D619B4" w:rsidRPr="007D5748" w:rsidRDefault="00D619B4" w:rsidP="001C13FB">
            <w:pPr>
              <w:rPr>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688369D7" w14:textId="77777777" w:rsidR="00D619B4" w:rsidRPr="007D5748" w:rsidRDefault="00D619B4" w:rsidP="001C13FB">
            <w:pPr>
              <w:jc w:val="center"/>
              <w:rPr>
                <w:b/>
                <w:bCs/>
                <w:lang w:eastAsia="sk-SK"/>
              </w:rPr>
            </w:pPr>
            <w:r w:rsidRPr="007D5748">
              <w:rPr>
                <w:b/>
                <w:bCs/>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148057B1" w14:textId="77777777" w:rsidR="00D619B4" w:rsidRPr="007D5748" w:rsidRDefault="00D619B4" w:rsidP="001C13FB">
            <w:pPr>
              <w:jc w:val="center"/>
              <w:rPr>
                <w:b/>
                <w:bCs/>
                <w:lang w:eastAsia="sk-SK"/>
              </w:rPr>
            </w:pPr>
            <w:r w:rsidRPr="007D5748">
              <w:rPr>
                <w:b/>
                <w:bCs/>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1AB0DB13" w14:textId="77777777" w:rsidR="00D619B4" w:rsidRPr="007D5748" w:rsidRDefault="00D619B4" w:rsidP="001C13FB">
            <w:pPr>
              <w:jc w:val="center"/>
              <w:rPr>
                <w:b/>
                <w:bCs/>
                <w:lang w:eastAsia="sk-SK"/>
              </w:rPr>
            </w:pPr>
            <w:r w:rsidRPr="007D5748">
              <w:rPr>
                <w:b/>
                <w:bCs/>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0DD11D1B" w14:textId="77777777" w:rsidR="00D619B4" w:rsidRPr="007D5748" w:rsidRDefault="00D619B4" w:rsidP="001C13FB">
            <w:pPr>
              <w:jc w:val="center"/>
              <w:rPr>
                <w:b/>
                <w:bCs/>
                <w:lang w:eastAsia="sk-SK"/>
              </w:rPr>
            </w:pPr>
            <w:r w:rsidRPr="007D5748">
              <w:rPr>
                <w:b/>
                <w:bCs/>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2A5646F0" w14:textId="77777777" w:rsidR="00D619B4" w:rsidRPr="007D5748" w:rsidRDefault="00D619B4" w:rsidP="001C13FB">
            <w:pPr>
              <w:rPr>
                <w:b/>
                <w:bCs/>
                <w:color w:val="FFFFFF"/>
                <w:lang w:eastAsia="sk-SK"/>
              </w:rPr>
            </w:pPr>
          </w:p>
        </w:tc>
      </w:tr>
      <w:tr w:rsidR="00D619B4" w:rsidRPr="007D5748" w14:paraId="1D2789EC" w14:textId="77777777" w:rsidTr="001C13FB">
        <w:trPr>
          <w:trHeight w:val="255"/>
        </w:trPr>
        <w:tc>
          <w:tcPr>
            <w:tcW w:w="4950" w:type="dxa"/>
            <w:tcBorders>
              <w:top w:val="nil"/>
              <w:left w:val="single" w:sz="4" w:space="0" w:color="auto"/>
              <w:bottom w:val="single" w:sz="4" w:space="0" w:color="auto"/>
              <w:right w:val="single" w:sz="4" w:space="0" w:color="auto"/>
            </w:tcBorders>
          </w:tcPr>
          <w:p w14:paraId="6174C128" w14:textId="77777777" w:rsidR="00D619B4" w:rsidRPr="007D5748" w:rsidRDefault="00D619B4" w:rsidP="001C13FB">
            <w:pPr>
              <w:rPr>
                <w:b/>
                <w:bCs/>
                <w:vertAlign w:val="superscript"/>
                <w:lang w:eastAsia="sk-SK"/>
              </w:rPr>
            </w:pPr>
            <w:r w:rsidRPr="007D5748">
              <w:rPr>
                <w:b/>
                <w:bCs/>
                <w:lang w:eastAsia="sk-SK"/>
              </w:rPr>
              <w:t>Daňové príjmy (100)</w:t>
            </w:r>
            <w:r w:rsidRPr="007D5748">
              <w:rPr>
                <w:b/>
                <w:bCs/>
                <w:vertAlign w:val="superscript"/>
                <w:lang w:eastAsia="sk-SK"/>
              </w:rPr>
              <w:t>1</w:t>
            </w:r>
          </w:p>
        </w:tc>
        <w:tc>
          <w:tcPr>
            <w:tcW w:w="1500" w:type="dxa"/>
            <w:tcBorders>
              <w:top w:val="nil"/>
              <w:left w:val="nil"/>
              <w:bottom w:val="single" w:sz="4" w:space="0" w:color="auto"/>
              <w:right w:val="single" w:sz="4" w:space="0" w:color="auto"/>
            </w:tcBorders>
          </w:tcPr>
          <w:p w14:paraId="57230960"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762B8CA7"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7FBFC844"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7B72E497" w14:textId="77777777" w:rsidR="00D619B4" w:rsidRPr="007D5748" w:rsidRDefault="00D619B4" w:rsidP="001C13FB">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01B879DB" w14:textId="77777777" w:rsidR="00D619B4" w:rsidRPr="007D5748" w:rsidRDefault="00D619B4" w:rsidP="001C13FB">
            <w:pPr>
              <w:rPr>
                <w:lang w:eastAsia="sk-SK"/>
              </w:rPr>
            </w:pPr>
            <w:r w:rsidRPr="007D5748">
              <w:rPr>
                <w:lang w:eastAsia="sk-SK"/>
              </w:rPr>
              <w:t> </w:t>
            </w:r>
          </w:p>
        </w:tc>
      </w:tr>
      <w:tr w:rsidR="00D619B4" w:rsidRPr="007D5748" w14:paraId="4F86215D" w14:textId="77777777" w:rsidTr="001C13FB">
        <w:trPr>
          <w:trHeight w:val="255"/>
        </w:trPr>
        <w:tc>
          <w:tcPr>
            <w:tcW w:w="4950" w:type="dxa"/>
            <w:tcBorders>
              <w:top w:val="nil"/>
              <w:left w:val="single" w:sz="4" w:space="0" w:color="auto"/>
              <w:bottom w:val="single" w:sz="4" w:space="0" w:color="auto"/>
              <w:right w:val="single" w:sz="4" w:space="0" w:color="auto"/>
            </w:tcBorders>
          </w:tcPr>
          <w:p w14:paraId="10E2E188" w14:textId="77777777" w:rsidR="00D619B4" w:rsidRPr="007D5748" w:rsidRDefault="00D619B4" w:rsidP="001C13FB">
            <w:pPr>
              <w:rPr>
                <w:b/>
                <w:bCs/>
                <w:lang w:eastAsia="sk-SK"/>
              </w:rPr>
            </w:pPr>
            <w:r w:rsidRPr="007D5748">
              <w:rPr>
                <w:b/>
                <w:bCs/>
                <w:lang w:eastAsia="sk-SK"/>
              </w:rPr>
              <w:t>Nedaňové príjmy (200)</w:t>
            </w:r>
            <w:r w:rsidRPr="007D5748">
              <w:rPr>
                <w:b/>
                <w:bCs/>
                <w:vertAlign w:val="superscript"/>
                <w:lang w:eastAsia="sk-SK"/>
              </w:rPr>
              <w:t>1</w:t>
            </w:r>
          </w:p>
        </w:tc>
        <w:tc>
          <w:tcPr>
            <w:tcW w:w="1500" w:type="dxa"/>
            <w:tcBorders>
              <w:top w:val="nil"/>
              <w:left w:val="nil"/>
              <w:bottom w:val="single" w:sz="4" w:space="0" w:color="auto"/>
              <w:right w:val="single" w:sz="4" w:space="0" w:color="auto"/>
            </w:tcBorders>
          </w:tcPr>
          <w:p w14:paraId="6AF2CAC3"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7F59890E"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28EBE5C8"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7CDB01B2" w14:textId="77777777" w:rsidR="00D619B4" w:rsidRPr="007D5748" w:rsidRDefault="00D619B4" w:rsidP="001C13FB">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78DCF3E9" w14:textId="77777777" w:rsidR="00D619B4" w:rsidRPr="007D5748" w:rsidRDefault="00D619B4" w:rsidP="001C13FB">
            <w:pPr>
              <w:rPr>
                <w:lang w:eastAsia="sk-SK"/>
              </w:rPr>
            </w:pPr>
            <w:r w:rsidRPr="007D5748">
              <w:rPr>
                <w:lang w:eastAsia="sk-SK"/>
              </w:rPr>
              <w:t> </w:t>
            </w:r>
          </w:p>
        </w:tc>
      </w:tr>
      <w:tr w:rsidR="00D619B4" w:rsidRPr="007D5748" w14:paraId="2EE15CB7" w14:textId="77777777" w:rsidTr="001C13FB">
        <w:trPr>
          <w:trHeight w:val="255"/>
        </w:trPr>
        <w:tc>
          <w:tcPr>
            <w:tcW w:w="4950" w:type="dxa"/>
            <w:tcBorders>
              <w:top w:val="nil"/>
              <w:left w:val="single" w:sz="4" w:space="0" w:color="auto"/>
              <w:bottom w:val="single" w:sz="4" w:space="0" w:color="auto"/>
              <w:right w:val="single" w:sz="4" w:space="0" w:color="auto"/>
            </w:tcBorders>
          </w:tcPr>
          <w:p w14:paraId="67BAC007" w14:textId="77777777" w:rsidR="00D619B4" w:rsidRPr="007D5748" w:rsidRDefault="00D619B4" w:rsidP="001C13FB">
            <w:pPr>
              <w:rPr>
                <w:b/>
                <w:bCs/>
                <w:lang w:eastAsia="sk-SK"/>
              </w:rPr>
            </w:pPr>
            <w:r w:rsidRPr="007D5748">
              <w:rPr>
                <w:b/>
                <w:bCs/>
                <w:lang w:eastAsia="sk-SK"/>
              </w:rPr>
              <w:t>Granty a transfery (300)</w:t>
            </w:r>
            <w:r w:rsidRPr="007D5748">
              <w:rPr>
                <w:b/>
                <w:bCs/>
                <w:vertAlign w:val="superscript"/>
                <w:lang w:eastAsia="sk-SK"/>
              </w:rPr>
              <w:t>1</w:t>
            </w:r>
          </w:p>
        </w:tc>
        <w:tc>
          <w:tcPr>
            <w:tcW w:w="1500" w:type="dxa"/>
            <w:tcBorders>
              <w:top w:val="nil"/>
              <w:left w:val="nil"/>
              <w:bottom w:val="single" w:sz="4" w:space="0" w:color="auto"/>
              <w:right w:val="single" w:sz="4" w:space="0" w:color="auto"/>
            </w:tcBorders>
          </w:tcPr>
          <w:p w14:paraId="0265C52E"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154A3A20"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5BA48AE2" w14:textId="77777777" w:rsidR="00D619B4" w:rsidRPr="007D5748" w:rsidRDefault="00D619B4" w:rsidP="001C13FB">
            <w:pPr>
              <w:jc w:val="center"/>
              <w:rPr>
                <w:b/>
                <w:bCs/>
                <w:lang w:eastAsia="sk-SK"/>
              </w:rPr>
            </w:pPr>
          </w:p>
        </w:tc>
        <w:tc>
          <w:tcPr>
            <w:tcW w:w="1500" w:type="dxa"/>
            <w:tcBorders>
              <w:top w:val="nil"/>
              <w:left w:val="nil"/>
              <w:bottom w:val="single" w:sz="4" w:space="0" w:color="auto"/>
              <w:right w:val="single" w:sz="4" w:space="0" w:color="auto"/>
            </w:tcBorders>
          </w:tcPr>
          <w:p w14:paraId="5270E5DA" w14:textId="77777777" w:rsidR="00D619B4" w:rsidRPr="007D5748" w:rsidRDefault="00D619B4" w:rsidP="001C13FB">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502ECFA9" w14:textId="77777777" w:rsidR="00D619B4" w:rsidRPr="007D5748" w:rsidRDefault="00D619B4" w:rsidP="001C13FB">
            <w:pPr>
              <w:rPr>
                <w:lang w:eastAsia="sk-SK"/>
              </w:rPr>
            </w:pPr>
            <w:r w:rsidRPr="007D5748">
              <w:rPr>
                <w:lang w:eastAsia="sk-SK"/>
              </w:rPr>
              <w:t> </w:t>
            </w:r>
          </w:p>
        </w:tc>
      </w:tr>
      <w:tr w:rsidR="00D619B4" w:rsidRPr="007D5748" w14:paraId="313ED6F1" w14:textId="77777777" w:rsidTr="001C13FB">
        <w:trPr>
          <w:trHeight w:val="255"/>
        </w:trPr>
        <w:tc>
          <w:tcPr>
            <w:tcW w:w="4950" w:type="dxa"/>
            <w:tcBorders>
              <w:top w:val="nil"/>
              <w:left w:val="single" w:sz="4" w:space="0" w:color="auto"/>
              <w:bottom w:val="single" w:sz="4" w:space="0" w:color="auto"/>
              <w:right w:val="single" w:sz="4" w:space="0" w:color="auto"/>
            </w:tcBorders>
          </w:tcPr>
          <w:p w14:paraId="16AE958D" w14:textId="77777777" w:rsidR="00D619B4" w:rsidRPr="007D5748" w:rsidRDefault="00D619B4" w:rsidP="001C13FB">
            <w:pPr>
              <w:rPr>
                <w:b/>
                <w:bCs/>
                <w:lang w:eastAsia="sk-SK"/>
              </w:rPr>
            </w:pPr>
            <w:r w:rsidRPr="007D5748">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42ABF71F" w14:textId="77777777" w:rsidR="00D619B4" w:rsidRPr="007D5748" w:rsidRDefault="00D619B4" w:rsidP="001C13FB">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5A34433E" w14:textId="77777777" w:rsidR="00D619B4" w:rsidRPr="007D5748" w:rsidRDefault="00D619B4" w:rsidP="001C13FB">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22047957" w14:textId="77777777" w:rsidR="00D619B4" w:rsidRPr="007D5748" w:rsidRDefault="00D619B4" w:rsidP="001C13FB">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20AFD3F3" w14:textId="77777777" w:rsidR="00D619B4" w:rsidRPr="007D5748" w:rsidRDefault="00D619B4" w:rsidP="001C13FB">
            <w:pPr>
              <w:jc w:val="center"/>
              <w:rPr>
                <w:b/>
                <w:bCs/>
                <w:lang w:eastAsia="sk-SK"/>
              </w:rPr>
            </w:pPr>
            <w:r w:rsidRPr="007D5748">
              <w:rPr>
                <w:b/>
                <w:bCs/>
                <w:lang w:eastAsia="sk-SK"/>
              </w:rPr>
              <w:t> </w:t>
            </w:r>
          </w:p>
        </w:tc>
        <w:tc>
          <w:tcPr>
            <w:tcW w:w="3000" w:type="dxa"/>
            <w:tcBorders>
              <w:top w:val="nil"/>
              <w:left w:val="nil"/>
              <w:bottom w:val="single" w:sz="4" w:space="0" w:color="auto"/>
              <w:right w:val="single" w:sz="4" w:space="0" w:color="auto"/>
            </w:tcBorders>
            <w:noWrap/>
            <w:vAlign w:val="bottom"/>
          </w:tcPr>
          <w:p w14:paraId="1462E6D9" w14:textId="77777777" w:rsidR="00D619B4" w:rsidRPr="007D5748" w:rsidRDefault="00D619B4" w:rsidP="001C13FB">
            <w:pPr>
              <w:rPr>
                <w:lang w:eastAsia="sk-SK"/>
              </w:rPr>
            </w:pPr>
            <w:r w:rsidRPr="007D5748">
              <w:rPr>
                <w:lang w:eastAsia="sk-SK"/>
              </w:rPr>
              <w:t> </w:t>
            </w:r>
          </w:p>
        </w:tc>
      </w:tr>
      <w:tr w:rsidR="00D619B4" w:rsidRPr="007D5748" w14:paraId="2FF96839" w14:textId="77777777" w:rsidTr="001C13FB">
        <w:trPr>
          <w:trHeight w:val="255"/>
        </w:trPr>
        <w:tc>
          <w:tcPr>
            <w:tcW w:w="4950" w:type="dxa"/>
            <w:tcBorders>
              <w:top w:val="nil"/>
              <w:left w:val="single" w:sz="4" w:space="0" w:color="auto"/>
              <w:bottom w:val="single" w:sz="4" w:space="0" w:color="auto"/>
              <w:right w:val="single" w:sz="4" w:space="0" w:color="auto"/>
            </w:tcBorders>
          </w:tcPr>
          <w:p w14:paraId="52C8B9A9" w14:textId="77777777" w:rsidR="00D619B4" w:rsidRPr="007D5748" w:rsidRDefault="00D619B4" w:rsidP="001C13FB">
            <w:pPr>
              <w:rPr>
                <w:b/>
                <w:bCs/>
                <w:lang w:eastAsia="sk-SK"/>
              </w:rPr>
            </w:pPr>
            <w:r w:rsidRPr="007D5748">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798767A0" w14:textId="77777777" w:rsidR="00D619B4" w:rsidRPr="007D5748" w:rsidRDefault="00D619B4" w:rsidP="001C13FB">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5A9F6028" w14:textId="77777777" w:rsidR="00D619B4" w:rsidRPr="007D5748" w:rsidRDefault="00D619B4" w:rsidP="001C13FB">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2F38C243" w14:textId="77777777" w:rsidR="00D619B4" w:rsidRPr="007D5748" w:rsidRDefault="00D619B4" w:rsidP="001C13FB">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2F81551D" w14:textId="77777777" w:rsidR="00D619B4" w:rsidRPr="007D5748" w:rsidRDefault="00D619B4" w:rsidP="001C13FB">
            <w:pPr>
              <w:jc w:val="center"/>
              <w:rPr>
                <w:b/>
                <w:bCs/>
                <w:lang w:eastAsia="sk-SK"/>
              </w:rPr>
            </w:pPr>
            <w:r w:rsidRPr="007D5748">
              <w:rPr>
                <w:b/>
                <w:bCs/>
                <w:lang w:eastAsia="sk-SK"/>
              </w:rPr>
              <w:t> </w:t>
            </w:r>
          </w:p>
        </w:tc>
        <w:tc>
          <w:tcPr>
            <w:tcW w:w="3000" w:type="dxa"/>
            <w:tcBorders>
              <w:top w:val="nil"/>
              <w:left w:val="nil"/>
              <w:bottom w:val="single" w:sz="4" w:space="0" w:color="auto"/>
              <w:right w:val="single" w:sz="4" w:space="0" w:color="auto"/>
            </w:tcBorders>
            <w:noWrap/>
            <w:vAlign w:val="bottom"/>
          </w:tcPr>
          <w:p w14:paraId="0FAB0C09" w14:textId="77777777" w:rsidR="00D619B4" w:rsidRPr="007D5748" w:rsidRDefault="00D619B4" w:rsidP="001C13FB">
            <w:pPr>
              <w:rPr>
                <w:lang w:eastAsia="sk-SK"/>
              </w:rPr>
            </w:pPr>
            <w:r w:rsidRPr="007D5748">
              <w:rPr>
                <w:lang w:eastAsia="sk-SK"/>
              </w:rPr>
              <w:t> </w:t>
            </w:r>
          </w:p>
        </w:tc>
      </w:tr>
      <w:tr w:rsidR="00D619B4" w:rsidRPr="007D5748" w14:paraId="11E044E3" w14:textId="77777777" w:rsidTr="001C13F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E2019F8" w14:textId="77777777" w:rsidR="00D619B4" w:rsidRPr="007D5748" w:rsidRDefault="00D619B4" w:rsidP="001C13FB">
            <w:pPr>
              <w:rPr>
                <w:b/>
                <w:bCs/>
                <w:lang w:eastAsia="sk-SK"/>
              </w:rPr>
            </w:pPr>
            <w:r w:rsidRPr="007D5748">
              <w:rPr>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090E89C" w14:textId="77777777" w:rsidR="00D619B4" w:rsidRPr="007D5748" w:rsidRDefault="00D619B4" w:rsidP="001C13FB">
            <w:pPr>
              <w:jc w:val="center"/>
              <w:rPr>
                <w:b/>
                <w:bCs/>
                <w:lang w:eastAsia="sk-SK"/>
              </w:rPr>
            </w:pPr>
            <w:r w:rsidRPr="007D5748">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2384DE9" w14:textId="77777777" w:rsidR="00D619B4" w:rsidRPr="007D5748" w:rsidRDefault="00D619B4" w:rsidP="001C13FB">
            <w:pPr>
              <w:jc w:val="center"/>
              <w:rPr>
                <w:b/>
                <w:bCs/>
                <w:lang w:eastAsia="sk-SK"/>
              </w:rPr>
            </w:pPr>
            <w:r w:rsidRPr="007D5748">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511C80C" w14:textId="77777777" w:rsidR="00D619B4" w:rsidRPr="007D5748" w:rsidRDefault="00D619B4" w:rsidP="001C13FB">
            <w:pPr>
              <w:jc w:val="center"/>
              <w:rPr>
                <w:b/>
                <w:bCs/>
                <w:lang w:eastAsia="sk-SK"/>
              </w:rPr>
            </w:pPr>
            <w:r w:rsidRPr="007D5748">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63468F3" w14:textId="77777777" w:rsidR="00D619B4" w:rsidRPr="007D5748" w:rsidRDefault="00D619B4" w:rsidP="001C13FB">
            <w:pPr>
              <w:jc w:val="center"/>
              <w:rPr>
                <w:b/>
                <w:bCs/>
                <w:lang w:eastAsia="sk-SK"/>
              </w:rPr>
            </w:pPr>
            <w:r w:rsidRPr="007D5748">
              <w:rPr>
                <w:b/>
                <w:bCs/>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43AAFE08" w14:textId="77777777" w:rsidR="00D619B4" w:rsidRPr="007D5748" w:rsidRDefault="00D619B4" w:rsidP="001C13FB">
            <w:pPr>
              <w:rPr>
                <w:lang w:eastAsia="sk-SK"/>
              </w:rPr>
            </w:pPr>
            <w:r w:rsidRPr="007D5748">
              <w:rPr>
                <w:lang w:eastAsia="sk-SK"/>
              </w:rPr>
              <w:t> </w:t>
            </w:r>
          </w:p>
        </w:tc>
      </w:tr>
    </w:tbl>
    <w:p w14:paraId="63BF72FB" w14:textId="77777777" w:rsidR="00D619B4" w:rsidRPr="007D5748" w:rsidRDefault="00D619B4" w:rsidP="00D619B4">
      <w:pPr>
        <w:tabs>
          <w:tab w:val="num" w:pos="1080"/>
        </w:tabs>
        <w:jc w:val="both"/>
        <w:rPr>
          <w:bCs/>
          <w:sz w:val="20"/>
          <w:szCs w:val="20"/>
          <w:lang w:eastAsia="sk-SK"/>
        </w:rPr>
      </w:pPr>
      <w:r w:rsidRPr="007D5748">
        <w:rPr>
          <w:bCs/>
          <w:sz w:val="20"/>
          <w:szCs w:val="20"/>
          <w:lang w:eastAsia="sk-SK"/>
        </w:rPr>
        <w:t>1 –  príjmy rozpísať až do položiek platnej ekonomickej klasifikácie</w:t>
      </w:r>
    </w:p>
    <w:p w14:paraId="42AB0211" w14:textId="77777777" w:rsidR="00D619B4" w:rsidRPr="007D5748" w:rsidRDefault="00D619B4" w:rsidP="00D619B4">
      <w:pPr>
        <w:tabs>
          <w:tab w:val="num" w:pos="1080"/>
        </w:tabs>
        <w:jc w:val="both"/>
        <w:rPr>
          <w:bCs/>
          <w:szCs w:val="20"/>
          <w:lang w:eastAsia="sk-SK"/>
        </w:rPr>
      </w:pPr>
    </w:p>
    <w:p w14:paraId="357B1BD2" w14:textId="77777777" w:rsidR="00D619B4" w:rsidRPr="007D5748" w:rsidRDefault="00D619B4" w:rsidP="00D619B4">
      <w:pPr>
        <w:tabs>
          <w:tab w:val="num" w:pos="1080"/>
        </w:tabs>
        <w:jc w:val="both"/>
        <w:rPr>
          <w:b/>
          <w:bCs/>
          <w:szCs w:val="20"/>
          <w:lang w:eastAsia="sk-SK"/>
        </w:rPr>
      </w:pPr>
      <w:r w:rsidRPr="007D5748">
        <w:rPr>
          <w:b/>
          <w:bCs/>
          <w:szCs w:val="20"/>
          <w:lang w:eastAsia="sk-SK"/>
        </w:rPr>
        <w:t>Poznámka:</w:t>
      </w:r>
    </w:p>
    <w:p w14:paraId="4EE7125E" w14:textId="77777777" w:rsidR="00D619B4" w:rsidRPr="007D5748" w:rsidRDefault="00D619B4" w:rsidP="00D619B4">
      <w:pPr>
        <w:tabs>
          <w:tab w:val="num" w:pos="1080"/>
        </w:tabs>
        <w:jc w:val="both"/>
        <w:rPr>
          <w:bCs/>
          <w:szCs w:val="20"/>
          <w:lang w:eastAsia="sk-SK"/>
        </w:rPr>
      </w:pPr>
      <w:r w:rsidRPr="007D5748">
        <w:rPr>
          <w:bCs/>
          <w:szCs w:val="20"/>
          <w:lang w:eastAsia="sk-SK"/>
        </w:rPr>
        <w:t>Ak sa vplyv týka viacerých subjektov verejnej správy, vypĺňa sa samostatná tabuľka za každý subjekt.</w:t>
      </w:r>
    </w:p>
    <w:p w14:paraId="11B87A24" w14:textId="77777777" w:rsidR="00D619B4" w:rsidRPr="007D5748" w:rsidRDefault="00D619B4" w:rsidP="00D619B4">
      <w:pPr>
        <w:tabs>
          <w:tab w:val="num" w:pos="1080"/>
        </w:tabs>
        <w:ind w:right="-578"/>
        <w:jc w:val="right"/>
        <w:rPr>
          <w:bCs/>
          <w:lang w:eastAsia="sk-SK"/>
        </w:rPr>
      </w:pPr>
      <w:r w:rsidRPr="007D5748">
        <w:rPr>
          <w:bCs/>
          <w:lang w:eastAsia="sk-SK"/>
        </w:rPr>
        <w:t xml:space="preserve"> </w:t>
      </w:r>
    </w:p>
    <w:p w14:paraId="6D327052" w14:textId="77777777" w:rsidR="00D619B4" w:rsidRPr="007D5748" w:rsidRDefault="00D619B4" w:rsidP="00D619B4">
      <w:pPr>
        <w:tabs>
          <w:tab w:val="num" w:pos="1080"/>
        </w:tabs>
        <w:ind w:right="-578"/>
        <w:jc w:val="right"/>
        <w:rPr>
          <w:bCs/>
          <w:lang w:eastAsia="sk-SK"/>
        </w:rPr>
      </w:pPr>
    </w:p>
    <w:p w14:paraId="430BF14D" w14:textId="77777777" w:rsidR="00D619B4" w:rsidRPr="007D5748" w:rsidRDefault="00D619B4" w:rsidP="00D619B4">
      <w:pPr>
        <w:tabs>
          <w:tab w:val="num" w:pos="1080"/>
        </w:tabs>
        <w:ind w:right="-578"/>
        <w:jc w:val="right"/>
        <w:rPr>
          <w:bCs/>
          <w:lang w:eastAsia="sk-SK"/>
        </w:rPr>
      </w:pPr>
    </w:p>
    <w:p w14:paraId="3C34E606" w14:textId="77777777" w:rsidR="00D619B4" w:rsidRPr="007D5748" w:rsidRDefault="00D619B4" w:rsidP="00D619B4">
      <w:pPr>
        <w:tabs>
          <w:tab w:val="num" w:pos="1080"/>
        </w:tabs>
        <w:ind w:right="-578"/>
        <w:jc w:val="right"/>
        <w:rPr>
          <w:bCs/>
          <w:lang w:eastAsia="sk-SK"/>
        </w:rPr>
      </w:pPr>
    </w:p>
    <w:p w14:paraId="54693FDB" w14:textId="77777777" w:rsidR="00D619B4" w:rsidRPr="007D5748" w:rsidRDefault="00D619B4" w:rsidP="00D619B4">
      <w:pPr>
        <w:tabs>
          <w:tab w:val="num" w:pos="1080"/>
        </w:tabs>
        <w:ind w:right="-578"/>
        <w:jc w:val="right"/>
        <w:rPr>
          <w:bCs/>
          <w:lang w:eastAsia="sk-SK"/>
        </w:rPr>
      </w:pPr>
    </w:p>
    <w:p w14:paraId="64C39FEE" w14:textId="77777777" w:rsidR="00D619B4" w:rsidRPr="007D5748" w:rsidRDefault="00D619B4" w:rsidP="00D619B4">
      <w:pPr>
        <w:tabs>
          <w:tab w:val="num" w:pos="1080"/>
        </w:tabs>
        <w:ind w:right="-578"/>
        <w:jc w:val="right"/>
        <w:rPr>
          <w:bCs/>
          <w:lang w:eastAsia="sk-SK"/>
        </w:rPr>
      </w:pPr>
    </w:p>
    <w:p w14:paraId="3FDB5277" w14:textId="77777777" w:rsidR="00D619B4" w:rsidRPr="007D5748" w:rsidRDefault="00D619B4" w:rsidP="00D619B4">
      <w:pPr>
        <w:tabs>
          <w:tab w:val="num" w:pos="1080"/>
        </w:tabs>
        <w:ind w:right="-578"/>
        <w:jc w:val="right"/>
        <w:rPr>
          <w:bCs/>
          <w:lang w:eastAsia="sk-SK"/>
        </w:rPr>
      </w:pPr>
    </w:p>
    <w:p w14:paraId="5BF77360" w14:textId="77777777" w:rsidR="00D619B4" w:rsidRPr="007D5748" w:rsidRDefault="00D619B4" w:rsidP="00D619B4">
      <w:pPr>
        <w:tabs>
          <w:tab w:val="num" w:pos="1080"/>
        </w:tabs>
        <w:ind w:right="-578"/>
        <w:jc w:val="right"/>
        <w:rPr>
          <w:bCs/>
          <w:lang w:eastAsia="sk-SK"/>
        </w:rPr>
      </w:pPr>
    </w:p>
    <w:p w14:paraId="3F12030A" w14:textId="77777777" w:rsidR="00D619B4" w:rsidRPr="007D5748" w:rsidRDefault="00D619B4" w:rsidP="00D619B4">
      <w:pPr>
        <w:tabs>
          <w:tab w:val="num" w:pos="1080"/>
        </w:tabs>
        <w:ind w:right="-578"/>
        <w:jc w:val="right"/>
        <w:rPr>
          <w:bCs/>
          <w:lang w:eastAsia="sk-SK"/>
        </w:rPr>
      </w:pPr>
    </w:p>
    <w:p w14:paraId="310B7651" w14:textId="77777777" w:rsidR="00D619B4" w:rsidRPr="007D5748" w:rsidRDefault="00D619B4" w:rsidP="00D619B4">
      <w:pPr>
        <w:tabs>
          <w:tab w:val="num" w:pos="1080"/>
        </w:tabs>
        <w:ind w:right="-578"/>
        <w:jc w:val="right"/>
        <w:rPr>
          <w:bCs/>
          <w:lang w:eastAsia="sk-SK"/>
        </w:rPr>
      </w:pPr>
    </w:p>
    <w:p w14:paraId="1FC6D98B" w14:textId="77777777" w:rsidR="00D619B4" w:rsidRPr="007D5748" w:rsidRDefault="00D619B4" w:rsidP="00D619B4">
      <w:pPr>
        <w:tabs>
          <w:tab w:val="num" w:pos="1080"/>
        </w:tabs>
        <w:ind w:right="-578"/>
        <w:jc w:val="right"/>
        <w:rPr>
          <w:bCs/>
          <w:lang w:eastAsia="sk-SK"/>
        </w:rPr>
      </w:pPr>
    </w:p>
    <w:p w14:paraId="2A94745A" w14:textId="77777777" w:rsidR="00D619B4" w:rsidRPr="007D5748" w:rsidRDefault="00D619B4" w:rsidP="00D619B4">
      <w:pPr>
        <w:tabs>
          <w:tab w:val="num" w:pos="1080"/>
        </w:tabs>
        <w:ind w:right="-578"/>
        <w:jc w:val="right"/>
        <w:rPr>
          <w:bCs/>
          <w:lang w:eastAsia="sk-SK"/>
        </w:rPr>
      </w:pPr>
    </w:p>
    <w:p w14:paraId="1C4065C8" w14:textId="77777777" w:rsidR="00D619B4" w:rsidRPr="007D5748" w:rsidRDefault="00D619B4" w:rsidP="00D619B4">
      <w:pPr>
        <w:tabs>
          <w:tab w:val="num" w:pos="1080"/>
        </w:tabs>
        <w:ind w:right="-578"/>
        <w:jc w:val="right"/>
        <w:rPr>
          <w:bCs/>
          <w:lang w:eastAsia="sk-SK"/>
        </w:rPr>
      </w:pPr>
    </w:p>
    <w:p w14:paraId="6D8D6F43" w14:textId="77777777" w:rsidR="00D619B4" w:rsidRPr="007D5748" w:rsidRDefault="00D619B4" w:rsidP="00D619B4">
      <w:pPr>
        <w:tabs>
          <w:tab w:val="num" w:pos="1080"/>
        </w:tabs>
        <w:ind w:right="-578"/>
        <w:jc w:val="right"/>
        <w:rPr>
          <w:bCs/>
          <w:lang w:eastAsia="sk-SK"/>
        </w:rPr>
      </w:pPr>
    </w:p>
    <w:p w14:paraId="65F253B9" w14:textId="77777777" w:rsidR="00D619B4" w:rsidRPr="007D5748" w:rsidRDefault="00D619B4" w:rsidP="00D619B4">
      <w:pPr>
        <w:tabs>
          <w:tab w:val="num" w:pos="1080"/>
        </w:tabs>
        <w:ind w:right="-578"/>
        <w:jc w:val="right"/>
        <w:rPr>
          <w:bCs/>
          <w:lang w:eastAsia="sk-SK"/>
        </w:rPr>
      </w:pPr>
    </w:p>
    <w:p w14:paraId="1C82E01D" w14:textId="77777777" w:rsidR="00D619B4" w:rsidRDefault="00D619B4" w:rsidP="00D619B4">
      <w:pPr>
        <w:tabs>
          <w:tab w:val="num" w:pos="1080"/>
        </w:tabs>
        <w:ind w:right="-32"/>
        <w:jc w:val="right"/>
        <w:rPr>
          <w:bCs/>
          <w:lang w:eastAsia="sk-SK"/>
        </w:rPr>
      </w:pPr>
      <w:r w:rsidRPr="007D5748">
        <w:rPr>
          <w:bCs/>
          <w:lang w:eastAsia="sk-SK"/>
        </w:rPr>
        <w:t xml:space="preserve">Tabuľka č. 4 </w:t>
      </w:r>
    </w:p>
    <w:p w14:paraId="63DC6E55" w14:textId="77777777" w:rsidR="00D619B4" w:rsidRPr="007D5748" w:rsidRDefault="00D619B4" w:rsidP="00D619B4">
      <w:pPr>
        <w:tabs>
          <w:tab w:val="num" w:pos="1080"/>
        </w:tabs>
        <w:ind w:right="-32"/>
        <w:jc w:val="right"/>
        <w:rPr>
          <w:bCs/>
          <w:lang w:eastAsia="sk-SK"/>
        </w:rPr>
      </w:pPr>
      <w:r w:rsidRPr="00FA364E">
        <w:rPr>
          <w:bCs/>
          <w:lang w:eastAsia="sk-SK"/>
        </w:rPr>
        <w:t>Ministerstvo investícií, regionálneho rozvoja a informatizácie SR</w:t>
      </w:r>
    </w:p>
    <w:p w14:paraId="1A819CC1" w14:textId="77777777" w:rsidR="00D619B4" w:rsidRPr="007D5748" w:rsidRDefault="00D619B4" w:rsidP="00D619B4">
      <w:pPr>
        <w:tabs>
          <w:tab w:val="num" w:pos="1080"/>
        </w:tabs>
        <w:jc w:val="both"/>
        <w:rPr>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D619B4" w:rsidRPr="007D5748" w14:paraId="212D21C1" w14:textId="77777777" w:rsidTr="001C13F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96764D6" w14:textId="77777777" w:rsidR="00D619B4" w:rsidRPr="007D5748" w:rsidRDefault="00D619B4" w:rsidP="001C13FB">
            <w:pPr>
              <w:jc w:val="center"/>
              <w:rPr>
                <w:b/>
                <w:bCs/>
                <w:sz w:val="20"/>
                <w:szCs w:val="20"/>
                <w:lang w:eastAsia="sk-SK"/>
              </w:rPr>
            </w:pPr>
            <w:r w:rsidRPr="007D5748">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E9465F3" w14:textId="77777777" w:rsidR="00D619B4" w:rsidRPr="007D5748" w:rsidRDefault="00D619B4" w:rsidP="001C13FB">
            <w:pPr>
              <w:jc w:val="center"/>
              <w:rPr>
                <w:b/>
                <w:bCs/>
                <w:sz w:val="20"/>
                <w:szCs w:val="20"/>
                <w:lang w:eastAsia="sk-SK"/>
              </w:rPr>
            </w:pPr>
            <w:r w:rsidRPr="007D5748">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17C6A9" w14:textId="77777777" w:rsidR="00D619B4" w:rsidRPr="007D5748" w:rsidRDefault="00D619B4" w:rsidP="001C13FB">
            <w:pPr>
              <w:jc w:val="center"/>
              <w:rPr>
                <w:b/>
                <w:bCs/>
                <w:lang w:eastAsia="sk-SK"/>
              </w:rPr>
            </w:pPr>
            <w:r w:rsidRPr="007D5748">
              <w:rPr>
                <w:b/>
                <w:bCs/>
                <w:lang w:eastAsia="sk-SK"/>
              </w:rPr>
              <w:t>poznámka</w:t>
            </w:r>
          </w:p>
        </w:tc>
      </w:tr>
      <w:tr w:rsidR="00D619B4" w:rsidRPr="007D5748" w14:paraId="308831F3" w14:textId="77777777" w:rsidTr="001C13F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B74B35E" w14:textId="77777777" w:rsidR="00D619B4" w:rsidRPr="007D5748" w:rsidRDefault="00D619B4" w:rsidP="001C13FB">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2711F737" w14:textId="77777777" w:rsidR="00D619B4" w:rsidRPr="007D5748" w:rsidRDefault="00D619B4" w:rsidP="001C13FB">
            <w:pPr>
              <w:jc w:val="center"/>
              <w:rPr>
                <w:b/>
                <w:bCs/>
                <w:sz w:val="20"/>
                <w:szCs w:val="20"/>
                <w:lang w:eastAsia="sk-SK"/>
              </w:rPr>
            </w:pPr>
            <w:r>
              <w:rPr>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7745B931" w14:textId="77777777" w:rsidR="00D619B4" w:rsidRPr="007D5748" w:rsidRDefault="00D619B4" w:rsidP="001C13FB">
            <w:pPr>
              <w:jc w:val="center"/>
              <w:rPr>
                <w:b/>
                <w:bCs/>
                <w:sz w:val="20"/>
                <w:szCs w:val="20"/>
                <w:lang w:eastAsia="sk-SK"/>
              </w:rPr>
            </w:pPr>
            <w:r>
              <w:rPr>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48DE8031" w14:textId="77777777" w:rsidR="00D619B4" w:rsidRPr="007D5748" w:rsidRDefault="00D619B4" w:rsidP="001C13FB">
            <w:pPr>
              <w:jc w:val="center"/>
              <w:rPr>
                <w:b/>
                <w:bCs/>
                <w:sz w:val="20"/>
                <w:szCs w:val="20"/>
                <w:lang w:eastAsia="sk-SK"/>
              </w:rPr>
            </w:pPr>
            <w:r>
              <w:rPr>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AE8A727" w14:textId="77777777" w:rsidR="00D619B4" w:rsidRPr="007D5748" w:rsidRDefault="00D619B4" w:rsidP="001C13FB">
            <w:pPr>
              <w:jc w:val="center"/>
              <w:rPr>
                <w:b/>
                <w:bCs/>
                <w:lang w:eastAsia="sk-SK"/>
              </w:rPr>
            </w:pPr>
            <w:r>
              <w:rPr>
                <w:b/>
                <w:bCs/>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6A61445A" w14:textId="77777777" w:rsidR="00D619B4" w:rsidRPr="007D5748" w:rsidRDefault="00D619B4" w:rsidP="001C13FB">
            <w:pPr>
              <w:rPr>
                <w:b/>
                <w:bCs/>
                <w:color w:val="FFFFFF"/>
                <w:lang w:eastAsia="sk-SK"/>
              </w:rPr>
            </w:pPr>
          </w:p>
        </w:tc>
      </w:tr>
      <w:tr w:rsidR="00D619B4" w:rsidRPr="007D5748" w14:paraId="384230A9" w14:textId="77777777" w:rsidTr="001C13FB">
        <w:trPr>
          <w:trHeight w:val="255"/>
        </w:trPr>
        <w:tc>
          <w:tcPr>
            <w:tcW w:w="7070" w:type="dxa"/>
            <w:tcBorders>
              <w:top w:val="nil"/>
              <w:left w:val="single" w:sz="4" w:space="0" w:color="auto"/>
              <w:bottom w:val="single" w:sz="4" w:space="0" w:color="auto"/>
              <w:right w:val="single" w:sz="4" w:space="0" w:color="auto"/>
            </w:tcBorders>
          </w:tcPr>
          <w:p w14:paraId="73F0F76A" w14:textId="77777777" w:rsidR="00D619B4" w:rsidRPr="007D5748" w:rsidRDefault="00D619B4" w:rsidP="001C13FB">
            <w:pPr>
              <w:rPr>
                <w:b/>
                <w:bCs/>
                <w:sz w:val="20"/>
                <w:szCs w:val="20"/>
                <w:lang w:eastAsia="sk-SK"/>
              </w:rPr>
            </w:pPr>
            <w:r w:rsidRPr="007D5748">
              <w:rPr>
                <w:b/>
                <w:bCs/>
                <w:sz w:val="20"/>
                <w:szCs w:val="20"/>
                <w:lang w:eastAsia="sk-SK"/>
              </w:rPr>
              <w:t>Bežné výdavky (600)</w:t>
            </w:r>
          </w:p>
        </w:tc>
        <w:tc>
          <w:tcPr>
            <w:tcW w:w="1540" w:type="dxa"/>
            <w:tcBorders>
              <w:top w:val="nil"/>
              <w:left w:val="nil"/>
              <w:bottom w:val="single" w:sz="4" w:space="0" w:color="auto"/>
              <w:right w:val="single" w:sz="4" w:space="0" w:color="auto"/>
            </w:tcBorders>
          </w:tcPr>
          <w:p w14:paraId="7E5089ED" w14:textId="77777777" w:rsidR="00D619B4" w:rsidRPr="000C290E" w:rsidRDefault="00D619B4" w:rsidP="001C13FB">
            <w:pPr>
              <w:jc w:val="center"/>
              <w:rPr>
                <w:b/>
                <w:bCs/>
                <w:sz w:val="20"/>
                <w:szCs w:val="20"/>
                <w:lang w:eastAsia="sk-SK"/>
              </w:rPr>
            </w:pPr>
            <w:r>
              <w:rPr>
                <w:b/>
              </w:rPr>
              <w:t>156 434</w:t>
            </w:r>
          </w:p>
        </w:tc>
        <w:tc>
          <w:tcPr>
            <w:tcW w:w="1540" w:type="dxa"/>
            <w:tcBorders>
              <w:top w:val="nil"/>
              <w:left w:val="nil"/>
              <w:bottom w:val="single" w:sz="4" w:space="0" w:color="auto"/>
              <w:right w:val="single" w:sz="4" w:space="0" w:color="auto"/>
            </w:tcBorders>
          </w:tcPr>
          <w:p w14:paraId="72C84301" w14:textId="77777777" w:rsidR="00D619B4" w:rsidRPr="0033082A" w:rsidRDefault="00D619B4" w:rsidP="001C13FB">
            <w:pPr>
              <w:jc w:val="center"/>
              <w:rPr>
                <w:b/>
                <w:bCs/>
                <w:sz w:val="20"/>
                <w:szCs w:val="20"/>
                <w:lang w:eastAsia="sk-SK"/>
              </w:rPr>
            </w:pPr>
            <w:r w:rsidRPr="00B05A3C">
              <w:rPr>
                <w:b/>
              </w:rPr>
              <w:t>911 722</w:t>
            </w:r>
          </w:p>
        </w:tc>
        <w:tc>
          <w:tcPr>
            <w:tcW w:w="1540" w:type="dxa"/>
            <w:tcBorders>
              <w:top w:val="nil"/>
              <w:left w:val="nil"/>
              <w:bottom w:val="single" w:sz="4" w:space="0" w:color="auto"/>
              <w:right w:val="single" w:sz="4" w:space="0" w:color="auto"/>
            </w:tcBorders>
          </w:tcPr>
          <w:p w14:paraId="07BF6B96" w14:textId="77777777" w:rsidR="00D619B4" w:rsidRPr="0033082A" w:rsidRDefault="00D619B4" w:rsidP="001C13FB">
            <w:pPr>
              <w:jc w:val="center"/>
              <w:rPr>
                <w:b/>
                <w:bCs/>
                <w:sz w:val="20"/>
                <w:szCs w:val="20"/>
                <w:lang w:eastAsia="sk-SK"/>
              </w:rPr>
            </w:pPr>
            <w:r w:rsidRPr="00B05A3C">
              <w:rPr>
                <w:b/>
              </w:rPr>
              <w:t>911 722</w:t>
            </w:r>
          </w:p>
        </w:tc>
        <w:tc>
          <w:tcPr>
            <w:tcW w:w="1540" w:type="dxa"/>
            <w:tcBorders>
              <w:top w:val="nil"/>
              <w:left w:val="nil"/>
              <w:bottom w:val="single" w:sz="4" w:space="0" w:color="auto"/>
              <w:right w:val="single" w:sz="4" w:space="0" w:color="auto"/>
            </w:tcBorders>
          </w:tcPr>
          <w:p w14:paraId="558F1476" w14:textId="77777777" w:rsidR="00D619B4" w:rsidRPr="0033082A" w:rsidRDefault="00D619B4" w:rsidP="001C13FB">
            <w:pPr>
              <w:jc w:val="center"/>
              <w:rPr>
                <w:b/>
                <w:bCs/>
                <w:lang w:eastAsia="sk-SK"/>
              </w:rPr>
            </w:pPr>
            <w:r w:rsidRPr="00B05A3C">
              <w:rPr>
                <w:b/>
              </w:rPr>
              <w:t>911 722</w:t>
            </w:r>
          </w:p>
        </w:tc>
        <w:tc>
          <w:tcPr>
            <w:tcW w:w="2220" w:type="dxa"/>
            <w:tcBorders>
              <w:top w:val="nil"/>
              <w:left w:val="nil"/>
              <w:bottom w:val="single" w:sz="4" w:space="0" w:color="auto"/>
              <w:right w:val="single" w:sz="4" w:space="0" w:color="auto"/>
            </w:tcBorders>
            <w:noWrap/>
            <w:vAlign w:val="bottom"/>
          </w:tcPr>
          <w:p w14:paraId="6D10CAD5" w14:textId="77777777" w:rsidR="00D619B4" w:rsidRPr="007D5748" w:rsidRDefault="00D619B4" w:rsidP="001C13FB">
            <w:pPr>
              <w:rPr>
                <w:lang w:eastAsia="sk-SK"/>
              </w:rPr>
            </w:pPr>
            <w:r w:rsidRPr="007D5748">
              <w:rPr>
                <w:lang w:eastAsia="sk-SK"/>
              </w:rPr>
              <w:t> </w:t>
            </w:r>
          </w:p>
        </w:tc>
      </w:tr>
      <w:tr w:rsidR="00D619B4" w:rsidRPr="007D5748" w14:paraId="658FD9AA" w14:textId="77777777" w:rsidTr="001C13FB">
        <w:trPr>
          <w:trHeight w:val="255"/>
        </w:trPr>
        <w:tc>
          <w:tcPr>
            <w:tcW w:w="7070" w:type="dxa"/>
            <w:tcBorders>
              <w:top w:val="nil"/>
              <w:left w:val="single" w:sz="4" w:space="0" w:color="auto"/>
              <w:bottom w:val="single" w:sz="4" w:space="0" w:color="auto"/>
              <w:right w:val="single" w:sz="4" w:space="0" w:color="auto"/>
            </w:tcBorders>
          </w:tcPr>
          <w:p w14:paraId="5E5190CB" w14:textId="77777777" w:rsidR="00D619B4" w:rsidRPr="007D5748" w:rsidRDefault="00D619B4" w:rsidP="001C13FB">
            <w:pPr>
              <w:rPr>
                <w:sz w:val="20"/>
                <w:szCs w:val="20"/>
                <w:lang w:eastAsia="sk-SK"/>
              </w:rPr>
            </w:pPr>
            <w:r w:rsidRPr="007D5748">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7A2CADEF" w14:textId="77777777" w:rsidR="00D619B4" w:rsidRPr="000C290E" w:rsidRDefault="00D619B4" w:rsidP="001C13FB">
            <w:pPr>
              <w:jc w:val="center"/>
              <w:rPr>
                <w:b/>
                <w:bCs/>
                <w:sz w:val="20"/>
                <w:szCs w:val="20"/>
                <w:lang w:eastAsia="sk-SK"/>
              </w:rPr>
            </w:pPr>
            <w:r>
              <w:rPr>
                <w:b/>
              </w:rPr>
              <w:t>115 920</w:t>
            </w:r>
          </w:p>
        </w:tc>
        <w:tc>
          <w:tcPr>
            <w:tcW w:w="1540" w:type="dxa"/>
            <w:tcBorders>
              <w:top w:val="nil"/>
              <w:left w:val="nil"/>
              <w:bottom w:val="single" w:sz="4" w:space="0" w:color="auto"/>
              <w:right w:val="single" w:sz="4" w:space="0" w:color="auto"/>
            </w:tcBorders>
          </w:tcPr>
          <w:p w14:paraId="1F19A323" w14:textId="77777777" w:rsidR="00D619B4" w:rsidRPr="0033082A" w:rsidRDefault="00D619B4" w:rsidP="001C13FB">
            <w:pPr>
              <w:jc w:val="center"/>
              <w:rPr>
                <w:b/>
                <w:bCs/>
                <w:sz w:val="20"/>
                <w:szCs w:val="20"/>
                <w:lang w:eastAsia="sk-SK"/>
              </w:rPr>
            </w:pPr>
            <w:r w:rsidRPr="00B05A3C">
              <w:rPr>
                <w:b/>
              </w:rPr>
              <w:t>675 600</w:t>
            </w:r>
          </w:p>
        </w:tc>
        <w:tc>
          <w:tcPr>
            <w:tcW w:w="1540" w:type="dxa"/>
            <w:tcBorders>
              <w:top w:val="nil"/>
              <w:left w:val="nil"/>
              <w:bottom w:val="single" w:sz="4" w:space="0" w:color="auto"/>
              <w:right w:val="single" w:sz="4" w:space="0" w:color="auto"/>
            </w:tcBorders>
          </w:tcPr>
          <w:p w14:paraId="35942C30" w14:textId="77777777" w:rsidR="00D619B4" w:rsidRPr="0033082A" w:rsidRDefault="00D619B4" w:rsidP="001C13FB">
            <w:pPr>
              <w:jc w:val="center"/>
              <w:rPr>
                <w:b/>
                <w:bCs/>
                <w:sz w:val="20"/>
                <w:szCs w:val="20"/>
                <w:lang w:eastAsia="sk-SK"/>
              </w:rPr>
            </w:pPr>
            <w:r w:rsidRPr="00B05A3C">
              <w:rPr>
                <w:b/>
              </w:rPr>
              <w:t>675 600</w:t>
            </w:r>
          </w:p>
        </w:tc>
        <w:tc>
          <w:tcPr>
            <w:tcW w:w="1540" w:type="dxa"/>
            <w:tcBorders>
              <w:top w:val="nil"/>
              <w:left w:val="nil"/>
              <w:bottom w:val="single" w:sz="4" w:space="0" w:color="auto"/>
              <w:right w:val="single" w:sz="4" w:space="0" w:color="auto"/>
            </w:tcBorders>
          </w:tcPr>
          <w:p w14:paraId="1070094E" w14:textId="77777777" w:rsidR="00D619B4" w:rsidRPr="0033082A" w:rsidRDefault="00D619B4" w:rsidP="001C13FB">
            <w:pPr>
              <w:jc w:val="center"/>
              <w:rPr>
                <w:b/>
                <w:bCs/>
                <w:sz w:val="20"/>
                <w:szCs w:val="20"/>
                <w:lang w:eastAsia="sk-SK"/>
              </w:rPr>
            </w:pPr>
            <w:r w:rsidRPr="00B05A3C">
              <w:rPr>
                <w:b/>
              </w:rPr>
              <w:t>675 600</w:t>
            </w:r>
          </w:p>
        </w:tc>
        <w:tc>
          <w:tcPr>
            <w:tcW w:w="2220" w:type="dxa"/>
            <w:tcBorders>
              <w:top w:val="nil"/>
              <w:left w:val="nil"/>
              <w:bottom w:val="single" w:sz="4" w:space="0" w:color="auto"/>
              <w:right w:val="single" w:sz="4" w:space="0" w:color="auto"/>
            </w:tcBorders>
            <w:noWrap/>
            <w:vAlign w:val="bottom"/>
          </w:tcPr>
          <w:p w14:paraId="35219CF9" w14:textId="77777777" w:rsidR="00D619B4" w:rsidRPr="007D5748" w:rsidRDefault="00D619B4" w:rsidP="001C13FB">
            <w:pPr>
              <w:rPr>
                <w:lang w:eastAsia="sk-SK"/>
              </w:rPr>
            </w:pPr>
            <w:r w:rsidRPr="007D5748">
              <w:rPr>
                <w:lang w:eastAsia="sk-SK"/>
              </w:rPr>
              <w:t> </w:t>
            </w:r>
          </w:p>
        </w:tc>
      </w:tr>
      <w:tr w:rsidR="00D619B4" w:rsidRPr="007D5748" w14:paraId="159F9B2F" w14:textId="77777777" w:rsidTr="001C13FB">
        <w:trPr>
          <w:trHeight w:val="255"/>
        </w:trPr>
        <w:tc>
          <w:tcPr>
            <w:tcW w:w="7070" w:type="dxa"/>
            <w:tcBorders>
              <w:top w:val="nil"/>
              <w:left w:val="single" w:sz="4" w:space="0" w:color="auto"/>
              <w:bottom w:val="single" w:sz="4" w:space="0" w:color="auto"/>
              <w:right w:val="single" w:sz="4" w:space="0" w:color="auto"/>
            </w:tcBorders>
          </w:tcPr>
          <w:p w14:paraId="5A9E4D76" w14:textId="77777777" w:rsidR="00D619B4" w:rsidRPr="007D5748" w:rsidRDefault="00D619B4" w:rsidP="001C13FB">
            <w:pPr>
              <w:rPr>
                <w:sz w:val="20"/>
                <w:szCs w:val="20"/>
                <w:vertAlign w:val="superscript"/>
                <w:lang w:eastAsia="sk-SK"/>
              </w:rPr>
            </w:pPr>
            <w:r w:rsidRPr="007D5748">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060E87A1" w14:textId="77777777" w:rsidR="00D619B4" w:rsidRPr="000C290E" w:rsidRDefault="00D619B4" w:rsidP="001C13FB">
            <w:pPr>
              <w:jc w:val="center"/>
              <w:rPr>
                <w:b/>
                <w:bCs/>
                <w:sz w:val="20"/>
                <w:szCs w:val="20"/>
                <w:lang w:eastAsia="sk-SK"/>
              </w:rPr>
            </w:pPr>
            <w:r>
              <w:rPr>
                <w:b/>
              </w:rPr>
              <w:t>40 514</w:t>
            </w:r>
          </w:p>
        </w:tc>
        <w:tc>
          <w:tcPr>
            <w:tcW w:w="1540" w:type="dxa"/>
            <w:tcBorders>
              <w:top w:val="nil"/>
              <w:left w:val="nil"/>
              <w:bottom w:val="single" w:sz="4" w:space="0" w:color="auto"/>
              <w:right w:val="single" w:sz="4" w:space="0" w:color="auto"/>
            </w:tcBorders>
          </w:tcPr>
          <w:p w14:paraId="7675E435" w14:textId="77777777" w:rsidR="00D619B4" w:rsidRPr="0033082A" w:rsidRDefault="00D619B4" w:rsidP="001C13FB">
            <w:pPr>
              <w:jc w:val="center"/>
              <w:rPr>
                <w:b/>
                <w:bCs/>
                <w:sz w:val="20"/>
                <w:szCs w:val="20"/>
                <w:lang w:eastAsia="sk-SK"/>
              </w:rPr>
            </w:pPr>
            <w:r w:rsidRPr="00B05A3C">
              <w:rPr>
                <w:b/>
              </w:rPr>
              <w:t>236 122</w:t>
            </w:r>
          </w:p>
        </w:tc>
        <w:tc>
          <w:tcPr>
            <w:tcW w:w="1540" w:type="dxa"/>
            <w:tcBorders>
              <w:top w:val="nil"/>
              <w:left w:val="nil"/>
              <w:bottom w:val="single" w:sz="4" w:space="0" w:color="auto"/>
              <w:right w:val="single" w:sz="4" w:space="0" w:color="auto"/>
            </w:tcBorders>
          </w:tcPr>
          <w:p w14:paraId="23C0B25A" w14:textId="77777777" w:rsidR="00D619B4" w:rsidRPr="0033082A" w:rsidRDefault="00D619B4" w:rsidP="001C13FB">
            <w:pPr>
              <w:jc w:val="center"/>
              <w:rPr>
                <w:b/>
                <w:bCs/>
                <w:sz w:val="20"/>
                <w:szCs w:val="20"/>
                <w:lang w:eastAsia="sk-SK"/>
              </w:rPr>
            </w:pPr>
            <w:r w:rsidRPr="00B05A3C">
              <w:rPr>
                <w:b/>
              </w:rPr>
              <w:t>236 122</w:t>
            </w:r>
          </w:p>
        </w:tc>
        <w:tc>
          <w:tcPr>
            <w:tcW w:w="1540" w:type="dxa"/>
            <w:tcBorders>
              <w:top w:val="nil"/>
              <w:left w:val="nil"/>
              <w:bottom w:val="single" w:sz="4" w:space="0" w:color="auto"/>
              <w:right w:val="single" w:sz="4" w:space="0" w:color="auto"/>
            </w:tcBorders>
          </w:tcPr>
          <w:p w14:paraId="3286EC28" w14:textId="77777777" w:rsidR="00D619B4" w:rsidRPr="0033082A" w:rsidRDefault="00D619B4" w:rsidP="001C13FB">
            <w:pPr>
              <w:jc w:val="center"/>
              <w:rPr>
                <w:b/>
                <w:bCs/>
                <w:sz w:val="20"/>
                <w:szCs w:val="20"/>
                <w:lang w:eastAsia="sk-SK"/>
              </w:rPr>
            </w:pPr>
            <w:r w:rsidRPr="00B05A3C">
              <w:rPr>
                <w:b/>
              </w:rPr>
              <w:t>236 122</w:t>
            </w:r>
          </w:p>
        </w:tc>
        <w:tc>
          <w:tcPr>
            <w:tcW w:w="2220" w:type="dxa"/>
            <w:tcBorders>
              <w:top w:val="nil"/>
              <w:left w:val="nil"/>
              <w:bottom w:val="single" w:sz="4" w:space="0" w:color="auto"/>
              <w:right w:val="single" w:sz="4" w:space="0" w:color="auto"/>
            </w:tcBorders>
            <w:noWrap/>
            <w:vAlign w:val="bottom"/>
          </w:tcPr>
          <w:p w14:paraId="7D1E7C9D" w14:textId="77777777" w:rsidR="00D619B4" w:rsidRPr="007D5748" w:rsidRDefault="00D619B4" w:rsidP="001C13FB">
            <w:pPr>
              <w:rPr>
                <w:lang w:eastAsia="sk-SK"/>
              </w:rPr>
            </w:pPr>
            <w:r w:rsidRPr="007D5748">
              <w:rPr>
                <w:lang w:eastAsia="sk-SK"/>
              </w:rPr>
              <w:t> </w:t>
            </w:r>
          </w:p>
        </w:tc>
      </w:tr>
      <w:tr w:rsidR="00D619B4" w:rsidRPr="007D5748" w14:paraId="2E192211" w14:textId="77777777" w:rsidTr="001C13FB">
        <w:trPr>
          <w:trHeight w:val="255"/>
        </w:trPr>
        <w:tc>
          <w:tcPr>
            <w:tcW w:w="7070" w:type="dxa"/>
            <w:tcBorders>
              <w:top w:val="nil"/>
              <w:left w:val="single" w:sz="4" w:space="0" w:color="auto"/>
              <w:bottom w:val="single" w:sz="4" w:space="0" w:color="auto"/>
              <w:right w:val="single" w:sz="4" w:space="0" w:color="auto"/>
            </w:tcBorders>
          </w:tcPr>
          <w:p w14:paraId="27110F33" w14:textId="77777777" w:rsidR="00D619B4" w:rsidRPr="007D5748" w:rsidRDefault="00D619B4" w:rsidP="001C13FB">
            <w:pPr>
              <w:rPr>
                <w:sz w:val="20"/>
                <w:szCs w:val="20"/>
                <w:vertAlign w:val="superscript"/>
                <w:lang w:eastAsia="sk-SK"/>
              </w:rPr>
            </w:pPr>
            <w:r w:rsidRPr="007D5748">
              <w:rPr>
                <w:sz w:val="20"/>
                <w:szCs w:val="20"/>
                <w:lang w:eastAsia="sk-SK"/>
              </w:rPr>
              <w:t xml:space="preserve">  Tovary a služby (630)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5480E90C"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079632C"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BDE8BD0"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3A69C15"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49BE8C4C" w14:textId="77777777" w:rsidR="00D619B4" w:rsidRPr="007D5748" w:rsidRDefault="00D619B4" w:rsidP="001C13FB">
            <w:pPr>
              <w:rPr>
                <w:lang w:eastAsia="sk-SK"/>
              </w:rPr>
            </w:pPr>
            <w:r w:rsidRPr="007D5748">
              <w:rPr>
                <w:lang w:eastAsia="sk-SK"/>
              </w:rPr>
              <w:t> </w:t>
            </w:r>
          </w:p>
        </w:tc>
      </w:tr>
      <w:tr w:rsidR="00D619B4" w:rsidRPr="007D5748" w14:paraId="3D646EFF" w14:textId="77777777" w:rsidTr="001C13FB">
        <w:trPr>
          <w:trHeight w:val="255"/>
        </w:trPr>
        <w:tc>
          <w:tcPr>
            <w:tcW w:w="7070" w:type="dxa"/>
            <w:tcBorders>
              <w:top w:val="nil"/>
              <w:left w:val="single" w:sz="4" w:space="0" w:color="auto"/>
              <w:bottom w:val="single" w:sz="4" w:space="0" w:color="auto"/>
              <w:right w:val="single" w:sz="4" w:space="0" w:color="auto"/>
            </w:tcBorders>
          </w:tcPr>
          <w:p w14:paraId="153CB394" w14:textId="77777777" w:rsidR="00D619B4" w:rsidRPr="007D5748" w:rsidRDefault="00D619B4" w:rsidP="001C13FB">
            <w:pPr>
              <w:rPr>
                <w:sz w:val="20"/>
                <w:szCs w:val="20"/>
                <w:lang w:eastAsia="sk-SK"/>
              </w:rPr>
            </w:pPr>
            <w:r w:rsidRPr="007D5748">
              <w:rPr>
                <w:sz w:val="20"/>
                <w:szCs w:val="20"/>
                <w:lang w:eastAsia="sk-SK"/>
              </w:rPr>
              <w:t xml:space="preserve">  Bežné transfery (640)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54C20098"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319D9A2A"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06301A06"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E6306B5"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3805463D" w14:textId="77777777" w:rsidR="00D619B4" w:rsidRPr="007D5748" w:rsidRDefault="00D619B4" w:rsidP="001C13FB">
            <w:pPr>
              <w:rPr>
                <w:lang w:eastAsia="sk-SK"/>
              </w:rPr>
            </w:pPr>
            <w:r w:rsidRPr="007D5748">
              <w:rPr>
                <w:lang w:eastAsia="sk-SK"/>
              </w:rPr>
              <w:t> </w:t>
            </w:r>
          </w:p>
        </w:tc>
      </w:tr>
      <w:tr w:rsidR="00D619B4" w:rsidRPr="007D5748" w14:paraId="1AF40E55" w14:textId="77777777" w:rsidTr="001C13FB">
        <w:trPr>
          <w:trHeight w:val="255"/>
        </w:trPr>
        <w:tc>
          <w:tcPr>
            <w:tcW w:w="7070" w:type="dxa"/>
            <w:tcBorders>
              <w:top w:val="nil"/>
              <w:left w:val="single" w:sz="4" w:space="0" w:color="auto"/>
              <w:bottom w:val="single" w:sz="4" w:space="0" w:color="auto"/>
              <w:right w:val="single" w:sz="4" w:space="0" w:color="auto"/>
            </w:tcBorders>
            <w:vAlign w:val="center"/>
          </w:tcPr>
          <w:p w14:paraId="51030880" w14:textId="77777777" w:rsidR="00D619B4" w:rsidRPr="007D5748" w:rsidRDefault="00D619B4" w:rsidP="001C13FB">
            <w:pPr>
              <w:rPr>
                <w:sz w:val="20"/>
                <w:szCs w:val="20"/>
                <w:lang w:eastAsia="sk-SK"/>
              </w:rPr>
            </w:pPr>
            <w:r w:rsidRPr="007D5748">
              <w:rPr>
                <w:sz w:val="20"/>
                <w:szCs w:val="20"/>
                <w:lang w:eastAsia="sk-SK"/>
              </w:rPr>
              <w:t xml:space="preserve">  Splácanie úrokov a ostatné platby súvisiace s </w:t>
            </w:r>
            <w:r>
              <w:t xml:space="preserve"> </w:t>
            </w:r>
            <w:r w:rsidRPr="008D339D">
              <w:rPr>
                <w:sz w:val="20"/>
                <w:szCs w:val="20"/>
                <w:lang w:eastAsia="sk-SK"/>
              </w:rPr>
              <w:t>úverom, pôžičkou, návratnou finančnou výpomocou a finančným prenájmom</w:t>
            </w:r>
            <w:r w:rsidRPr="007D5748">
              <w:rPr>
                <w:sz w:val="20"/>
                <w:szCs w:val="20"/>
                <w:lang w:eastAsia="sk-SK"/>
              </w:rPr>
              <w:t xml:space="preserve"> (650)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7C69E47F"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056FDFB7"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FE62175"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A9E6544"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199F9A6D" w14:textId="77777777" w:rsidR="00D619B4" w:rsidRPr="007D5748" w:rsidRDefault="00D619B4" w:rsidP="001C13FB">
            <w:pPr>
              <w:rPr>
                <w:lang w:eastAsia="sk-SK"/>
              </w:rPr>
            </w:pPr>
          </w:p>
        </w:tc>
      </w:tr>
      <w:tr w:rsidR="00D619B4" w:rsidRPr="007D5748" w14:paraId="49AB3C34" w14:textId="77777777" w:rsidTr="001C13FB">
        <w:trPr>
          <w:trHeight w:val="255"/>
        </w:trPr>
        <w:tc>
          <w:tcPr>
            <w:tcW w:w="7070" w:type="dxa"/>
            <w:tcBorders>
              <w:top w:val="nil"/>
              <w:left w:val="single" w:sz="4" w:space="0" w:color="auto"/>
              <w:bottom w:val="single" w:sz="4" w:space="0" w:color="auto"/>
              <w:right w:val="single" w:sz="4" w:space="0" w:color="auto"/>
            </w:tcBorders>
          </w:tcPr>
          <w:p w14:paraId="1FD69857" w14:textId="77777777" w:rsidR="00D619B4" w:rsidRPr="007D5748" w:rsidRDefault="00D619B4" w:rsidP="001C13FB">
            <w:pPr>
              <w:rPr>
                <w:b/>
                <w:bCs/>
                <w:sz w:val="20"/>
                <w:szCs w:val="20"/>
                <w:lang w:eastAsia="sk-SK"/>
              </w:rPr>
            </w:pPr>
            <w:r w:rsidRPr="007D5748">
              <w:rPr>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069F03B2" w14:textId="77777777" w:rsidR="00D619B4" w:rsidRPr="000C290E"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1D5D7F16"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26E1240B"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2630848D" w14:textId="77777777" w:rsidR="00D619B4" w:rsidRPr="0033082A" w:rsidRDefault="00D619B4" w:rsidP="001C13FB">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2E59E4CC" w14:textId="77777777" w:rsidR="00D619B4" w:rsidRPr="007D5748" w:rsidRDefault="00D619B4" w:rsidP="001C13FB">
            <w:pPr>
              <w:rPr>
                <w:lang w:eastAsia="sk-SK"/>
              </w:rPr>
            </w:pPr>
            <w:r w:rsidRPr="007D5748">
              <w:rPr>
                <w:lang w:eastAsia="sk-SK"/>
              </w:rPr>
              <w:t> </w:t>
            </w:r>
          </w:p>
        </w:tc>
      </w:tr>
      <w:tr w:rsidR="00D619B4" w:rsidRPr="007D5748" w14:paraId="7928A32E" w14:textId="77777777" w:rsidTr="001C13FB">
        <w:trPr>
          <w:trHeight w:val="255"/>
        </w:trPr>
        <w:tc>
          <w:tcPr>
            <w:tcW w:w="7070" w:type="dxa"/>
            <w:tcBorders>
              <w:top w:val="nil"/>
              <w:left w:val="single" w:sz="4" w:space="0" w:color="auto"/>
              <w:bottom w:val="single" w:sz="4" w:space="0" w:color="auto"/>
              <w:right w:val="single" w:sz="4" w:space="0" w:color="auto"/>
            </w:tcBorders>
          </w:tcPr>
          <w:p w14:paraId="4931656A" w14:textId="77777777" w:rsidR="00D619B4" w:rsidRPr="007D5748" w:rsidRDefault="00D619B4" w:rsidP="001C13FB">
            <w:pPr>
              <w:rPr>
                <w:sz w:val="20"/>
                <w:szCs w:val="20"/>
                <w:lang w:eastAsia="sk-SK"/>
              </w:rPr>
            </w:pPr>
            <w:r w:rsidRPr="007D5748">
              <w:rPr>
                <w:sz w:val="20"/>
                <w:szCs w:val="20"/>
                <w:lang w:eastAsia="sk-SK"/>
              </w:rPr>
              <w:t xml:space="preserve">  Obstarávanie kapitálových aktív (710)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070C7B23"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04DCA936"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05438A3"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5A0D8BA5"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54B32F41" w14:textId="77777777" w:rsidR="00D619B4" w:rsidRPr="007D5748" w:rsidRDefault="00D619B4" w:rsidP="001C13FB">
            <w:pPr>
              <w:rPr>
                <w:lang w:eastAsia="sk-SK"/>
              </w:rPr>
            </w:pPr>
            <w:r w:rsidRPr="007D5748">
              <w:rPr>
                <w:lang w:eastAsia="sk-SK"/>
              </w:rPr>
              <w:t> </w:t>
            </w:r>
          </w:p>
        </w:tc>
      </w:tr>
      <w:tr w:rsidR="00D619B4" w:rsidRPr="007D5748" w14:paraId="7C55B249" w14:textId="77777777" w:rsidTr="001C13FB">
        <w:trPr>
          <w:trHeight w:val="255"/>
        </w:trPr>
        <w:tc>
          <w:tcPr>
            <w:tcW w:w="7070" w:type="dxa"/>
            <w:tcBorders>
              <w:top w:val="nil"/>
              <w:left w:val="single" w:sz="4" w:space="0" w:color="auto"/>
              <w:bottom w:val="single" w:sz="4" w:space="0" w:color="auto"/>
              <w:right w:val="single" w:sz="4" w:space="0" w:color="auto"/>
            </w:tcBorders>
          </w:tcPr>
          <w:p w14:paraId="2709225C" w14:textId="77777777" w:rsidR="00D619B4" w:rsidRPr="007D5748" w:rsidRDefault="00D619B4" w:rsidP="001C13FB">
            <w:pPr>
              <w:rPr>
                <w:sz w:val="20"/>
                <w:szCs w:val="20"/>
                <w:lang w:eastAsia="sk-SK"/>
              </w:rPr>
            </w:pPr>
            <w:r w:rsidRPr="007D5748">
              <w:rPr>
                <w:sz w:val="20"/>
                <w:szCs w:val="20"/>
                <w:lang w:eastAsia="sk-SK"/>
              </w:rPr>
              <w:t xml:space="preserve">  Kapitálové transfery (720)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2477E6A2"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6D7AC12"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3AF0F280"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893E8AC"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6D51F5F5" w14:textId="77777777" w:rsidR="00D619B4" w:rsidRPr="007D5748" w:rsidRDefault="00D619B4" w:rsidP="001C13FB">
            <w:pPr>
              <w:rPr>
                <w:lang w:eastAsia="sk-SK"/>
              </w:rPr>
            </w:pPr>
            <w:r w:rsidRPr="007D5748">
              <w:rPr>
                <w:lang w:eastAsia="sk-SK"/>
              </w:rPr>
              <w:t> </w:t>
            </w:r>
          </w:p>
        </w:tc>
      </w:tr>
      <w:tr w:rsidR="00D619B4" w:rsidRPr="007D5748" w14:paraId="3D81621B" w14:textId="77777777" w:rsidTr="001C13FB">
        <w:trPr>
          <w:trHeight w:val="255"/>
        </w:trPr>
        <w:tc>
          <w:tcPr>
            <w:tcW w:w="7070" w:type="dxa"/>
            <w:tcBorders>
              <w:top w:val="nil"/>
              <w:left w:val="single" w:sz="4" w:space="0" w:color="auto"/>
              <w:bottom w:val="single" w:sz="4" w:space="0" w:color="auto"/>
              <w:right w:val="single" w:sz="4" w:space="0" w:color="auto"/>
            </w:tcBorders>
          </w:tcPr>
          <w:p w14:paraId="7EA58524" w14:textId="77777777" w:rsidR="00D619B4" w:rsidRPr="007D5748" w:rsidRDefault="00D619B4" w:rsidP="001C13FB">
            <w:pPr>
              <w:rPr>
                <w:b/>
                <w:bCs/>
                <w:sz w:val="20"/>
                <w:szCs w:val="20"/>
                <w:lang w:eastAsia="sk-SK"/>
              </w:rPr>
            </w:pPr>
            <w:r w:rsidRPr="007D5748">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2EF1A233" w14:textId="77777777" w:rsidR="00D619B4" w:rsidRPr="000C290E"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06E85C91"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1B33D895"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2F087E8F" w14:textId="77777777" w:rsidR="00D619B4" w:rsidRPr="0033082A" w:rsidRDefault="00D619B4" w:rsidP="001C13FB">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73EBF0CA" w14:textId="77777777" w:rsidR="00D619B4" w:rsidRPr="007D5748" w:rsidRDefault="00D619B4" w:rsidP="001C13FB">
            <w:pPr>
              <w:rPr>
                <w:lang w:eastAsia="sk-SK"/>
              </w:rPr>
            </w:pPr>
            <w:r w:rsidRPr="007D5748">
              <w:rPr>
                <w:lang w:eastAsia="sk-SK"/>
              </w:rPr>
              <w:t> </w:t>
            </w:r>
          </w:p>
        </w:tc>
      </w:tr>
      <w:tr w:rsidR="00D619B4" w:rsidRPr="007D5748" w14:paraId="69013CDB" w14:textId="77777777" w:rsidTr="001C13F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9D6EDE" w14:textId="77777777" w:rsidR="00D619B4" w:rsidRPr="007D5748" w:rsidRDefault="00D619B4" w:rsidP="001C13FB">
            <w:pPr>
              <w:rPr>
                <w:b/>
                <w:bCs/>
                <w:sz w:val="20"/>
                <w:szCs w:val="20"/>
                <w:lang w:eastAsia="sk-SK"/>
              </w:rPr>
            </w:pPr>
            <w:r w:rsidRPr="007D5748">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DB2F1F2" w14:textId="77777777" w:rsidR="00D619B4" w:rsidRPr="000C290E" w:rsidRDefault="00D619B4" w:rsidP="001C13FB">
            <w:pPr>
              <w:jc w:val="center"/>
              <w:rPr>
                <w:b/>
                <w:bCs/>
                <w:sz w:val="20"/>
                <w:szCs w:val="20"/>
                <w:lang w:eastAsia="sk-SK"/>
              </w:rPr>
            </w:pPr>
            <w:r>
              <w:rPr>
                <w:b/>
              </w:rPr>
              <w:t>156434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4F8ACB4" w14:textId="77777777" w:rsidR="00D619B4" w:rsidRPr="0033082A" w:rsidRDefault="00D619B4" w:rsidP="001C13FB">
            <w:pPr>
              <w:jc w:val="center"/>
              <w:rPr>
                <w:b/>
                <w:bCs/>
                <w:sz w:val="20"/>
                <w:szCs w:val="20"/>
                <w:lang w:eastAsia="sk-SK"/>
              </w:rPr>
            </w:pPr>
            <w:r w:rsidRPr="00B05A3C">
              <w:rPr>
                <w:b/>
              </w:rPr>
              <w:t>911 722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3063C6C" w14:textId="77777777" w:rsidR="00D619B4" w:rsidRPr="0033082A" w:rsidRDefault="00D619B4" w:rsidP="001C13FB">
            <w:pPr>
              <w:jc w:val="center"/>
              <w:rPr>
                <w:b/>
                <w:bCs/>
                <w:sz w:val="20"/>
                <w:szCs w:val="20"/>
                <w:lang w:eastAsia="sk-SK"/>
              </w:rPr>
            </w:pPr>
            <w:r w:rsidRPr="00B05A3C">
              <w:rPr>
                <w:b/>
              </w:rPr>
              <w:t>911 722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148DC91" w14:textId="77777777" w:rsidR="00D619B4" w:rsidRPr="0033082A" w:rsidRDefault="00D619B4" w:rsidP="001C13FB">
            <w:pPr>
              <w:jc w:val="center"/>
              <w:rPr>
                <w:b/>
                <w:bCs/>
                <w:lang w:eastAsia="sk-SK"/>
              </w:rPr>
            </w:pPr>
            <w:r w:rsidRPr="00B05A3C">
              <w:rPr>
                <w:b/>
              </w:rPr>
              <w:t>911 722</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3427EA4" w14:textId="77777777" w:rsidR="00D619B4" w:rsidRPr="007D5748" w:rsidRDefault="00D619B4" w:rsidP="001C13FB">
            <w:pPr>
              <w:rPr>
                <w:lang w:eastAsia="sk-SK"/>
              </w:rPr>
            </w:pPr>
            <w:r w:rsidRPr="007D5748">
              <w:rPr>
                <w:lang w:eastAsia="sk-SK"/>
              </w:rPr>
              <w:t> </w:t>
            </w:r>
          </w:p>
        </w:tc>
      </w:tr>
    </w:tbl>
    <w:p w14:paraId="6F88913F" w14:textId="77777777" w:rsidR="00D619B4" w:rsidRPr="007D5748" w:rsidRDefault="00D619B4" w:rsidP="00D619B4">
      <w:pPr>
        <w:tabs>
          <w:tab w:val="num" w:pos="1080"/>
        </w:tabs>
        <w:ind w:left="-900"/>
        <w:jc w:val="both"/>
        <w:rPr>
          <w:bCs/>
          <w:sz w:val="20"/>
          <w:szCs w:val="20"/>
          <w:lang w:eastAsia="sk-SK"/>
        </w:rPr>
      </w:pPr>
      <w:r w:rsidRPr="007D5748">
        <w:rPr>
          <w:bCs/>
          <w:sz w:val="20"/>
          <w:szCs w:val="20"/>
          <w:lang w:eastAsia="sk-SK"/>
        </w:rPr>
        <w:t>2 –  výdavky rozpísať až do položiek platnej ekonomickej klasifikácie</w:t>
      </w:r>
    </w:p>
    <w:p w14:paraId="6539091B" w14:textId="77777777" w:rsidR="00D619B4" w:rsidRPr="007D5748" w:rsidRDefault="00D619B4" w:rsidP="00D619B4">
      <w:pPr>
        <w:tabs>
          <w:tab w:val="num" w:pos="1080"/>
        </w:tabs>
        <w:ind w:left="-900"/>
        <w:jc w:val="both"/>
        <w:rPr>
          <w:bCs/>
          <w:szCs w:val="20"/>
          <w:lang w:eastAsia="sk-SK"/>
        </w:rPr>
      </w:pPr>
    </w:p>
    <w:p w14:paraId="581F4E50" w14:textId="77777777" w:rsidR="00D619B4" w:rsidRPr="007D5748" w:rsidRDefault="00D619B4" w:rsidP="00D619B4">
      <w:pPr>
        <w:tabs>
          <w:tab w:val="num" w:pos="1080"/>
        </w:tabs>
        <w:ind w:left="-900"/>
        <w:jc w:val="both"/>
        <w:rPr>
          <w:b/>
          <w:bCs/>
          <w:sz w:val="20"/>
          <w:szCs w:val="20"/>
          <w:lang w:eastAsia="sk-SK"/>
        </w:rPr>
      </w:pPr>
      <w:r w:rsidRPr="007D5748">
        <w:rPr>
          <w:b/>
          <w:bCs/>
          <w:szCs w:val="20"/>
          <w:lang w:eastAsia="sk-SK"/>
        </w:rPr>
        <w:t>Poznámka:</w:t>
      </w:r>
    </w:p>
    <w:p w14:paraId="440C366B" w14:textId="77777777" w:rsidR="00D619B4" w:rsidRPr="007D5748" w:rsidRDefault="00D619B4" w:rsidP="00D619B4">
      <w:pPr>
        <w:tabs>
          <w:tab w:val="num" w:pos="1080"/>
        </w:tabs>
        <w:ind w:left="-900"/>
        <w:jc w:val="both"/>
        <w:rPr>
          <w:bCs/>
          <w:sz w:val="20"/>
          <w:szCs w:val="20"/>
          <w:lang w:eastAsia="sk-SK"/>
        </w:rPr>
      </w:pPr>
      <w:r w:rsidRPr="007D5748">
        <w:rPr>
          <w:bCs/>
          <w:szCs w:val="20"/>
          <w:lang w:eastAsia="sk-SK"/>
        </w:rPr>
        <w:t>Ak sa vplyv týka viacerých subjektov verejnej správy, vypĺňa sa samostatná tabuľka za každý subjekt.</w:t>
      </w:r>
    </w:p>
    <w:p w14:paraId="23907B2B" w14:textId="77777777" w:rsidR="00D619B4" w:rsidRPr="007D5748" w:rsidRDefault="00D619B4" w:rsidP="00D619B4">
      <w:pPr>
        <w:tabs>
          <w:tab w:val="num" w:pos="1080"/>
        </w:tabs>
        <w:ind w:left="-900"/>
        <w:jc w:val="both"/>
        <w:rPr>
          <w:bCs/>
          <w:sz w:val="20"/>
          <w:szCs w:val="20"/>
          <w:lang w:eastAsia="sk-SK"/>
        </w:rPr>
      </w:pPr>
    </w:p>
    <w:p w14:paraId="78D1E15B" w14:textId="77777777" w:rsidR="00D619B4" w:rsidRPr="007D5748" w:rsidRDefault="00D619B4" w:rsidP="00D619B4">
      <w:pPr>
        <w:tabs>
          <w:tab w:val="num" w:pos="1080"/>
        </w:tabs>
        <w:ind w:left="-900"/>
        <w:jc w:val="both"/>
        <w:rPr>
          <w:bCs/>
          <w:sz w:val="20"/>
          <w:szCs w:val="20"/>
          <w:lang w:eastAsia="sk-SK"/>
        </w:rPr>
      </w:pPr>
    </w:p>
    <w:p w14:paraId="26BF5DDD" w14:textId="77777777" w:rsidR="00D619B4" w:rsidRPr="007D5748" w:rsidRDefault="00D619B4" w:rsidP="00D619B4">
      <w:pPr>
        <w:tabs>
          <w:tab w:val="num" w:pos="1080"/>
        </w:tabs>
        <w:ind w:left="-900"/>
        <w:jc w:val="both"/>
        <w:rPr>
          <w:bCs/>
          <w:sz w:val="20"/>
          <w:szCs w:val="20"/>
          <w:lang w:eastAsia="sk-SK"/>
        </w:rPr>
      </w:pPr>
    </w:p>
    <w:p w14:paraId="1680C03A" w14:textId="77777777" w:rsidR="00D619B4" w:rsidRPr="007D5748" w:rsidRDefault="00D619B4" w:rsidP="00D619B4">
      <w:pPr>
        <w:tabs>
          <w:tab w:val="num" w:pos="1080"/>
        </w:tabs>
        <w:ind w:left="-900"/>
        <w:jc w:val="both"/>
        <w:rPr>
          <w:bCs/>
          <w:sz w:val="20"/>
          <w:szCs w:val="20"/>
          <w:lang w:eastAsia="sk-SK"/>
        </w:rPr>
      </w:pPr>
    </w:p>
    <w:p w14:paraId="645B3BD9" w14:textId="77777777" w:rsidR="00D619B4" w:rsidRPr="007D5748" w:rsidRDefault="00D619B4" w:rsidP="00D619B4">
      <w:pPr>
        <w:tabs>
          <w:tab w:val="num" w:pos="1080"/>
        </w:tabs>
        <w:ind w:left="-900"/>
        <w:jc w:val="both"/>
        <w:rPr>
          <w:bCs/>
          <w:sz w:val="20"/>
          <w:szCs w:val="20"/>
          <w:lang w:eastAsia="sk-SK"/>
        </w:rPr>
      </w:pPr>
    </w:p>
    <w:p w14:paraId="1B13D850" w14:textId="77777777" w:rsidR="00D619B4" w:rsidRPr="007D5748" w:rsidRDefault="00D619B4" w:rsidP="00D619B4">
      <w:pPr>
        <w:tabs>
          <w:tab w:val="num" w:pos="1080"/>
        </w:tabs>
        <w:ind w:left="-900"/>
        <w:jc w:val="both"/>
        <w:rPr>
          <w:bCs/>
          <w:sz w:val="20"/>
          <w:szCs w:val="20"/>
          <w:lang w:eastAsia="sk-SK"/>
        </w:rPr>
      </w:pPr>
    </w:p>
    <w:p w14:paraId="635E3ECA" w14:textId="77777777" w:rsidR="00D619B4" w:rsidRPr="007D5748" w:rsidRDefault="00D619B4" w:rsidP="00D619B4">
      <w:pPr>
        <w:tabs>
          <w:tab w:val="num" w:pos="1080"/>
        </w:tabs>
        <w:ind w:left="-900"/>
        <w:jc w:val="both"/>
        <w:rPr>
          <w:bCs/>
          <w:sz w:val="20"/>
          <w:szCs w:val="20"/>
          <w:lang w:eastAsia="sk-SK"/>
        </w:rPr>
      </w:pPr>
    </w:p>
    <w:p w14:paraId="319BC165" w14:textId="77777777" w:rsidR="00D619B4" w:rsidRPr="007D5748" w:rsidRDefault="00D619B4" w:rsidP="00D619B4">
      <w:pPr>
        <w:tabs>
          <w:tab w:val="num" w:pos="1080"/>
        </w:tabs>
        <w:ind w:left="-900"/>
        <w:jc w:val="both"/>
        <w:rPr>
          <w:bCs/>
          <w:sz w:val="20"/>
          <w:szCs w:val="20"/>
          <w:lang w:eastAsia="sk-SK"/>
        </w:rPr>
      </w:pPr>
    </w:p>
    <w:p w14:paraId="3F571CC1" w14:textId="77777777" w:rsidR="00D619B4" w:rsidRDefault="00D619B4" w:rsidP="00D619B4">
      <w:pPr>
        <w:tabs>
          <w:tab w:val="num" w:pos="1080"/>
        </w:tabs>
        <w:ind w:left="-900"/>
        <w:jc w:val="both"/>
        <w:rPr>
          <w:bCs/>
          <w:sz w:val="20"/>
          <w:szCs w:val="20"/>
          <w:lang w:eastAsia="sk-SK"/>
        </w:rPr>
      </w:pPr>
    </w:p>
    <w:p w14:paraId="0BF6E285" w14:textId="77777777" w:rsidR="00D619B4" w:rsidRDefault="00D619B4" w:rsidP="00D619B4">
      <w:pPr>
        <w:tabs>
          <w:tab w:val="num" w:pos="1080"/>
        </w:tabs>
        <w:ind w:left="-900"/>
        <w:jc w:val="both"/>
        <w:rPr>
          <w:bCs/>
          <w:sz w:val="20"/>
          <w:szCs w:val="20"/>
          <w:lang w:eastAsia="sk-SK"/>
        </w:rPr>
      </w:pPr>
    </w:p>
    <w:p w14:paraId="195CC9F5" w14:textId="77777777" w:rsidR="00D619B4" w:rsidRDefault="00D619B4" w:rsidP="00D619B4">
      <w:pPr>
        <w:tabs>
          <w:tab w:val="num" w:pos="1080"/>
        </w:tabs>
        <w:ind w:left="-900"/>
        <w:jc w:val="both"/>
        <w:rPr>
          <w:bCs/>
          <w:sz w:val="20"/>
          <w:szCs w:val="20"/>
          <w:lang w:eastAsia="sk-SK"/>
        </w:rPr>
      </w:pPr>
    </w:p>
    <w:p w14:paraId="17BC73FA" w14:textId="77777777" w:rsidR="00D619B4" w:rsidRDefault="00D619B4" w:rsidP="00D619B4">
      <w:pPr>
        <w:tabs>
          <w:tab w:val="num" w:pos="1080"/>
        </w:tabs>
        <w:ind w:left="-900"/>
        <w:jc w:val="both"/>
        <w:rPr>
          <w:bCs/>
          <w:sz w:val="20"/>
          <w:szCs w:val="20"/>
          <w:lang w:eastAsia="sk-SK"/>
        </w:rPr>
      </w:pPr>
    </w:p>
    <w:p w14:paraId="33BA0B99" w14:textId="77777777" w:rsidR="00D619B4" w:rsidRDefault="00D619B4" w:rsidP="00D619B4">
      <w:pPr>
        <w:tabs>
          <w:tab w:val="num" w:pos="1080"/>
        </w:tabs>
        <w:ind w:left="-900"/>
        <w:jc w:val="both"/>
        <w:rPr>
          <w:bCs/>
          <w:sz w:val="20"/>
          <w:szCs w:val="20"/>
          <w:lang w:eastAsia="sk-SK"/>
        </w:rPr>
      </w:pPr>
    </w:p>
    <w:p w14:paraId="035BB4E4" w14:textId="77777777" w:rsidR="00D619B4" w:rsidRDefault="00D619B4" w:rsidP="00D619B4">
      <w:pPr>
        <w:tabs>
          <w:tab w:val="num" w:pos="1080"/>
        </w:tabs>
        <w:ind w:left="-900"/>
        <w:jc w:val="both"/>
        <w:rPr>
          <w:bCs/>
          <w:sz w:val="20"/>
          <w:szCs w:val="20"/>
          <w:lang w:eastAsia="sk-SK"/>
        </w:rPr>
      </w:pPr>
    </w:p>
    <w:p w14:paraId="70374D2A" w14:textId="77777777" w:rsidR="00D619B4" w:rsidRDefault="00D619B4" w:rsidP="00D619B4">
      <w:pPr>
        <w:tabs>
          <w:tab w:val="num" w:pos="1080"/>
        </w:tabs>
        <w:ind w:left="-900"/>
        <w:jc w:val="both"/>
        <w:rPr>
          <w:bCs/>
          <w:sz w:val="20"/>
          <w:szCs w:val="20"/>
          <w:lang w:eastAsia="sk-SK"/>
        </w:rPr>
      </w:pPr>
    </w:p>
    <w:p w14:paraId="14984942" w14:textId="77777777" w:rsidR="00D619B4" w:rsidRDefault="00D619B4" w:rsidP="00D619B4">
      <w:pPr>
        <w:tabs>
          <w:tab w:val="num" w:pos="1080"/>
        </w:tabs>
        <w:ind w:right="-32"/>
        <w:jc w:val="right"/>
        <w:rPr>
          <w:bCs/>
          <w:lang w:eastAsia="sk-SK"/>
        </w:rPr>
      </w:pPr>
      <w:r w:rsidRPr="007D5748">
        <w:rPr>
          <w:bCs/>
          <w:lang w:eastAsia="sk-SK"/>
        </w:rPr>
        <w:t xml:space="preserve">Tabuľka č. </w:t>
      </w:r>
      <w:r>
        <w:rPr>
          <w:bCs/>
          <w:lang w:eastAsia="sk-SK"/>
        </w:rPr>
        <w:t>5</w:t>
      </w:r>
      <w:r w:rsidRPr="007D5748">
        <w:rPr>
          <w:bCs/>
          <w:lang w:eastAsia="sk-SK"/>
        </w:rPr>
        <w:t xml:space="preserve"> </w:t>
      </w:r>
    </w:p>
    <w:p w14:paraId="313F2C57" w14:textId="77777777" w:rsidR="00D619B4" w:rsidRPr="007D5748" w:rsidRDefault="00D619B4" w:rsidP="00D619B4">
      <w:pPr>
        <w:tabs>
          <w:tab w:val="num" w:pos="1080"/>
        </w:tabs>
        <w:ind w:right="-32"/>
        <w:jc w:val="right"/>
        <w:rPr>
          <w:bCs/>
          <w:lang w:eastAsia="sk-SK"/>
        </w:rPr>
      </w:pPr>
      <w:r w:rsidRPr="00FA364E">
        <w:rPr>
          <w:bCs/>
          <w:lang w:eastAsia="sk-SK"/>
        </w:rPr>
        <w:t xml:space="preserve">Ministerstvo </w:t>
      </w:r>
      <w:r>
        <w:rPr>
          <w:bCs/>
          <w:lang w:eastAsia="sk-SK"/>
        </w:rPr>
        <w:t>dopravy</w:t>
      </w:r>
      <w:r w:rsidRPr="00FA364E">
        <w:rPr>
          <w:bCs/>
          <w:lang w:eastAsia="sk-SK"/>
        </w:rPr>
        <w:t xml:space="preserve"> SR</w:t>
      </w:r>
    </w:p>
    <w:p w14:paraId="5F94C465" w14:textId="77777777" w:rsidR="00D619B4" w:rsidRPr="007D5748" w:rsidRDefault="00D619B4" w:rsidP="00D619B4">
      <w:pPr>
        <w:tabs>
          <w:tab w:val="num" w:pos="1080"/>
        </w:tabs>
        <w:jc w:val="both"/>
        <w:rPr>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D619B4" w:rsidRPr="007D5748" w14:paraId="0D35E490" w14:textId="77777777" w:rsidTr="001C13F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93F38C5" w14:textId="77777777" w:rsidR="00D619B4" w:rsidRPr="007D5748" w:rsidRDefault="00D619B4" w:rsidP="001C13FB">
            <w:pPr>
              <w:jc w:val="center"/>
              <w:rPr>
                <w:b/>
                <w:bCs/>
                <w:sz w:val="20"/>
                <w:szCs w:val="20"/>
                <w:lang w:eastAsia="sk-SK"/>
              </w:rPr>
            </w:pPr>
            <w:r w:rsidRPr="007D5748">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971D4DA" w14:textId="77777777" w:rsidR="00D619B4" w:rsidRPr="007D5748" w:rsidRDefault="00D619B4" w:rsidP="001C13FB">
            <w:pPr>
              <w:jc w:val="center"/>
              <w:rPr>
                <w:b/>
                <w:bCs/>
                <w:sz w:val="20"/>
                <w:szCs w:val="20"/>
                <w:lang w:eastAsia="sk-SK"/>
              </w:rPr>
            </w:pPr>
            <w:r w:rsidRPr="007D5748">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FF8FA0" w14:textId="77777777" w:rsidR="00D619B4" w:rsidRPr="007D5748" w:rsidRDefault="00D619B4" w:rsidP="001C13FB">
            <w:pPr>
              <w:jc w:val="center"/>
              <w:rPr>
                <w:b/>
                <w:bCs/>
                <w:lang w:eastAsia="sk-SK"/>
              </w:rPr>
            </w:pPr>
            <w:r w:rsidRPr="007D5748">
              <w:rPr>
                <w:b/>
                <w:bCs/>
                <w:lang w:eastAsia="sk-SK"/>
              </w:rPr>
              <w:t>poznámka</w:t>
            </w:r>
          </w:p>
        </w:tc>
      </w:tr>
      <w:tr w:rsidR="00D619B4" w:rsidRPr="007D5748" w14:paraId="636F894B" w14:textId="77777777" w:rsidTr="001C13F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78E3051" w14:textId="77777777" w:rsidR="00D619B4" w:rsidRPr="007D5748" w:rsidRDefault="00D619B4" w:rsidP="001C13FB">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4E0829E" w14:textId="77777777" w:rsidR="00D619B4" w:rsidRPr="007D5748" w:rsidRDefault="00D619B4" w:rsidP="001C13FB">
            <w:pPr>
              <w:jc w:val="center"/>
              <w:rPr>
                <w:b/>
                <w:bCs/>
                <w:sz w:val="20"/>
                <w:szCs w:val="20"/>
                <w:lang w:eastAsia="sk-SK"/>
              </w:rPr>
            </w:pPr>
            <w:r>
              <w:rPr>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43FFD684" w14:textId="77777777" w:rsidR="00D619B4" w:rsidRPr="007D5748" w:rsidRDefault="00D619B4" w:rsidP="001C13FB">
            <w:pPr>
              <w:jc w:val="center"/>
              <w:rPr>
                <w:b/>
                <w:bCs/>
                <w:sz w:val="20"/>
                <w:szCs w:val="20"/>
                <w:lang w:eastAsia="sk-SK"/>
              </w:rPr>
            </w:pPr>
            <w:r>
              <w:rPr>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48D56E1A" w14:textId="77777777" w:rsidR="00D619B4" w:rsidRPr="007D5748" w:rsidRDefault="00D619B4" w:rsidP="001C13FB">
            <w:pPr>
              <w:jc w:val="center"/>
              <w:rPr>
                <w:b/>
                <w:bCs/>
                <w:sz w:val="20"/>
                <w:szCs w:val="20"/>
                <w:lang w:eastAsia="sk-SK"/>
              </w:rPr>
            </w:pPr>
            <w:r>
              <w:rPr>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3EEDC7B8" w14:textId="77777777" w:rsidR="00D619B4" w:rsidRPr="007D5748" w:rsidRDefault="00D619B4" w:rsidP="001C13FB">
            <w:pPr>
              <w:jc w:val="center"/>
              <w:rPr>
                <w:b/>
                <w:bCs/>
                <w:lang w:eastAsia="sk-SK"/>
              </w:rPr>
            </w:pPr>
            <w:r w:rsidRPr="00CA1711">
              <w:rPr>
                <w:b/>
                <w:bCs/>
                <w:sz w:val="20"/>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4313A361" w14:textId="77777777" w:rsidR="00D619B4" w:rsidRPr="007D5748" w:rsidRDefault="00D619B4" w:rsidP="001C13FB">
            <w:pPr>
              <w:rPr>
                <w:b/>
                <w:bCs/>
                <w:color w:val="FFFFFF"/>
                <w:lang w:eastAsia="sk-SK"/>
              </w:rPr>
            </w:pPr>
          </w:p>
        </w:tc>
      </w:tr>
      <w:tr w:rsidR="00D619B4" w:rsidRPr="007D5748" w14:paraId="02ECAE46" w14:textId="77777777" w:rsidTr="001C13FB">
        <w:trPr>
          <w:trHeight w:val="255"/>
        </w:trPr>
        <w:tc>
          <w:tcPr>
            <w:tcW w:w="7070" w:type="dxa"/>
            <w:tcBorders>
              <w:top w:val="nil"/>
              <w:left w:val="single" w:sz="4" w:space="0" w:color="auto"/>
              <w:bottom w:val="single" w:sz="4" w:space="0" w:color="auto"/>
              <w:right w:val="single" w:sz="4" w:space="0" w:color="auto"/>
            </w:tcBorders>
          </w:tcPr>
          <w:p w14:paraId="48F2DFE8" w14:textId="77777777" w:rsidR="00D619B4" w:rsidRPr="007D5748" w:rsidRDefault="00D619B4" w:rsidP="001C13FB">
            <w:pPr>
              <w:rPr>
                <w:b/>
                <w:bCs/>
                <w:sz w:val="20"/>
                <w:szCs w:val="20"/>
                <w:lang w:eastAsia="sk-SK"/>
              </w:rPr>
            </w:pPr>
            <w:r w:rsidRPr="007D5748">
              <w:rPr>
                <w:b/>
                <w:bCs/>
                <w:sz w:val="20"/>
                <w:szCs w:val="20"/>
                <w:lang w:eastAsia="sk-SK"/>
              </w:rPr>
              <w:t>Bežné výdavky (600)</w:t>
            </w:r>
          </w:p>
        </w:tc>
        <w:tc>
          <w:tcPr>
            <w:tcW w:w="1540" w:type="dxa"/>
            <w:tcBorders>
              <w:top w:val="nil"/>
              <w:left w:val="nil"/>
              <w:bottom w:val="single" w:sz="4" w:space="0" w:color="auto"/>
              <w:right w:val="single" w:sz="4" w:space="0" w:color="auto"/>
            </w:tcBorders>
          </w:tcPr>
          <w:p w14:paraId="2884A312" w14:textId="77777777" w:rsidR="00D619B4" w:rsidRPr="000C290E" w:rsidRDefault="00D619B4" w:rsidP="001C13FB">
            <w:pPr>
              <w:jc w:val="center"/>
              <w:rPr>
                <w:b/>
                <w:bCs/>
                <w:sz w:val="20"/>
                <w:szCs w:val="20"/>
                <w:lang w:eastAsia="sk-SK"/>
              </w:rPr>
            </w:pPr>
            <w:r>
              <w:rPr>
                <w:b/>
              </w:rPr>
              <w:t>110 727</w:t>
            </w:r>
          </w:p>
        </w:tc>
        <w:tc>
          <w:tcPr>
            <w:tcW w:w="1540" w:type="dxa"/>
            <w:tcBorders>
              <w:top w:val="nil"/>
              <w:left w:val="nil"/>
              <w:bottom w:val="single" w:sz="4" w:space="0" w:color="auto"/>
              <w:right w:val="single" w:sz="4" w:space="0" w:color="auto"/>
            </w:tcBorders>
          </w:tcPr>
          <w:p w14:paraId="0370B093" w14:textId="77777777" w:rsidR="00D619B4" w:rsidRPr="0033082A" w:rsidRDefault="00D619B4" w:rsidP="001C13FB">
            <w:pPr>
              <w:jc w:val="center"/>
              <w:rPr>
                <w:b/>
                <w:bCs/>
                <w:sz w:val="20"/>
                <w:szCs w:val="20"/>
                <w:lang w:eastAsia="sk-SK"/>
              </w:rPr>
            </w:pPr>
            <w:r>
              <w:rPr>
                <w:b/>
              </w:rPr>
              <w:t>265 744</w:t>
            </w:r>
          </w:p>
        </w:tc>
        <w:tc>
          <w:tcPr>
            <w:tcW w:w="1540" w:type="dxa"/>
            <w:tcBorders>
              <w:top w:val="nil"/>
              <w:left w:val="nil"/>
              <w:bottom w:val="single" w:sz="4" w:space="0" w:color="auto"/>
              <w:right w:val="single" w:sz="4" w:space="0" w:color="auto"/>
            </w:tcBorders>
          </w:tcPr>
          <w:p w14:paraId="1532B260" w14:textId="77777777" w:rsidR="00D619B4" w:rsidRPr="00987A3F" w:rsidRDefault="00D619B4" w:rsidP="001C13FB">
            <w:pPr>
              <w:jc w:val="center"/>
              <w:rPr>
                <w:b/>
                <w:bCs/>
                <w:i/>
                <w:sz w:val="20"/>
                <w:szCs w:val="20"/>
                <w:lang w:eastAsia="sk-SK"/>
              </w:rPr>
            </w:pPr>
            <w:r w:rsidRPr="00A574C8">
              <w:rPr>
                <w:b/>
              </w:rPr>
              <w:t>265</w:t>
            </w:r>
            <w:r>
              <w:rPr>
                <w:b/>
              </w:rPr>
              <w:t xml:space="preserve"> </w:t>
            </w:r>
            <w:r w:rsidRPr="00A574C8">
              <w:rPr>
                <w:b/>
              </w:rPr>
              <w:t>744</w:t>
            </w:r>
          </w:p>
        </w:tc>
        <w:tc>
          <w:tcPr>
            <w:tcW w:w="1540" w:type="dxa"/>
            <w:tcBorders>
              <w:top w:val="nil"/>
              <w:left w:val="nil"/>
              <w:bottom w:val="single" w:sz="4" w:space="0" w:color="auto"/>
              <w:right w:val="single" w:sz="4" w:space="0" w:color="auto"/>
            </w:tcBorders>
          </w:tcPr>
          <w:p w14:paraId="54F1BE7A" w14:textId="77777777" w:rsidR="00D619B4" w:rsidRPr="00987A3F" w:rsidRDefault="00D619B4" w:rsidP="001C13FB">
            <w:pPr>
              <w:jc w:val="center"/>
              <w:rPr>
                <w:b/>
                <w:bCs/>
                <w:i/>
                <w:lang w:eastAsia="sk-SK"/>
              </w:rPr>
            </w:pPr>
            <w:r w:rsidRPr="00A574C8">
              <w:rPr>
                <w:b/>
              </w:rPr>
              <w:t>265</w:t>
            </w:r>
            <w:r>
              <w:rPr>
                <w:b/>
              </w:rPr>
              <w:t xml:space="preserve"> </w:t>
            </w:r>
            <w:r w:rsidRPr="00A574C8">
              <w:rPr>
                <w:b/>
              </w:rPr>
              <w:t>744</w:t>
            </w:r>
          </w:p>
        </w:tc>
        <w:tc>
          <w:tcPr>
            <w:tcW w:w="2220" w:type="dxa"/>
            <w:tcBorders>
              <w:top w:val="nil"/>
              <w:left w:val="nil"/>
              <w:bottom w:val="single" w:sz="4" w:space="0" w:color="auto"/>
              <w:right w:val="single" w:sz="4" w:space="0" w:color="auto"/>
            </w:tcBorders>
            <w:noWrap/>
            <w:vAlign w:val="bottom"/>
          </w:tcPr>
          <w:p w14:paraId="59253199" w14:textId="77777777" w:rsidR="00D619B4" w:rsidRPr="007D5748" w:rsidRDefault="00D619B4" w:rsidP="001C13FB">
            <w:pPr>
              <w:rPr>
                <w:lang w:eastAsia="sk-SK"/>
              </w:rPr>
            </w:pPr>
            <w:r w:rsidRPr="007D5748">
              <w:rPr>
                <w:lang w:eastAsia="sk-SK"/>
              </w:rPr>
              <w:t> </w:t>
            </w:r>
          </w:p>
        </w:tc>
      </w:tr>
      <w:tr w:rsidR="00D619B4" w:rsidRPr="007D5748" w14:paraId="3627FF18" w14:textId="77777777" w:rsidTr="001C13FB">
        <w:trPr>
          <w:trHeight w:val="255"/>
        </w:trPr>
        <w:tc>
          <w:tcPr>
            <w:tcW w:w="7070" w:type="dxa"/>
            <w:tcBorders>
              <w:top w:val="nil"/>
              <w:left w:val="single" w:sz="4" w:space="0" w:color="auto"/>
              <w:bottom w:val="single" w:sz="4" w:space="0" w:color="auto"/>
              <w:right w:val="single" w:sz="4" w:space="0" w:color="auto"/>
            </w:tcBorders>
          </w:tcPr>
          <w:p w14:paraId="4CE6784A" w14:textId="77777777" w:rsidR="00D619B4" w:rsidRPr="007D5748" w:rsidRDefault="00D619B4" w:rsidP="001C13FB">
            <w:pPr>
              <w:rPr>
                <w:sz w:val="20"/>
                <w:szCs w:val="20"/>
                <w:lang w:eastAsia="sk-SK"/>
              </w:rPr>
            </w:pPr>
            <w:r w:rsidRPr="007D5748">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40A185F4" w14:textId="77777777" w:rsidR="00D619B4" w:rsidRPr="000C290E" w:rsidRDefault="00D619B4" w:rsidP="001C13FB">
            <w:pPr>
              <w:jc w:val="center"/>
              <w:rPr>
                <w:b/>
                <w:bCs/>
                <w:sz w:val="20"/>
                <w:szCs w:val="20"/>
                <w:lang w:eastAsia="sk-SK"/>
              </w:rPr>
            </w:pPr>
            <w:r>
              <w:rPr>
                <w:b/>
              </w:rPr>
              <w:t>82 050</w:t>
            </w:r>
          </w:p>
        </w:tc>
        <w:tc>
          <w:tcPr>
            <w:tcW w:w="1540" w:type="dxa"/>
            <w:tcBorders>
              <w:top w:val="nil"/>
              <w:left w:val="nil"/>
              <w:bottom w:val="single" w:sz="4" w:space="0" w:color="auto"/>
              <w:right w:val="single" w:sz="4" w:space="0" w:color="auto"/>
            </w:tcBorders>
          </w:tcPr>
          <w:p w14:paraId="0F9CAEAC" w14:textId="77777777" w:rsidR="00D619B4" w:rsidRPr="0033082A" w:rsidRDefault="00D619B4" w:rsidP="001C13FB">
            <w:pPr>
              <w:jc w:val="center"/>
              <w:rPr>
                <w:b/>
                <w:bCs/>
                <w:sz w:val="20"/>
                <w:szCs w:val="20"/>
                <w:lang w:eastAsia="sk-SK"/>
              </w:rPr>
            </w:pPr>
            <w:r>
              <w:rPr>
                <w:b/>
              </w:rPr>
              <w:t>196 920</w:t>
            </w:r>
          </w:p>
        </w:tc>
        <w:tc>
          <w:tcPr>
            <w:tcW w:w="1540" w:type="dxa"/>
            <w:tcBorders>
              <w:top w:val="nil"/>
              <w:left w:val="nil"/>
              <w:bottom w:val="single" w:sz="4" w:space="0" w:color="auto"/>
              <w:right w:val="single" w:sz="4" w:space="0" w:color="auto"/>
            </w:tcBorders>
          </w:tcPr>
          <w:p w14:paraId="08E5A579" w14:textId="77777777" w:rsidR="00D619B4" w:rsidRPr="0033082A" w:rsidRDefault="00D619B4" w:rsidP="001C13FB">
            <w:pPr>
              <w:jc w:val="center"/>
              <w:rPr>
                <w:b/>
                <w:bCs/>
                <w:sz w:val="20"/>
                <w:szCs w:val="20"/>
                <w:lang w:eastAsia="sk-SK"/>
              </w:rPr>
            </w:pPr>
            <w:r>
              <w:rPr>
                <w:b/>
              </w:rPr>
              <w:t>196 920</w:t>
            </w:r>
          </w:p>
        </w:tc>
        <w:tc>
          <w:tcPr>
            <w:tcW w:w="1540" w:type="dxa"/>
            <w:tcBorders>
              <w:top w:val="nil"/>
              <w:left w:val="nil"/>
              <w:bottom w:val="single" w:sz="4" w:space="0" w:color="auto"/>
              <w:right w:val="single" w:sz="4" w:space="0" w:color="auto"/>
            </w:tcBorders>
          </w:tcPr>
          <w:p w14:paraId="6D09D424" w14:textId="77777777" w:rsidR="00D619B4" w:rsidRPr="0033082A" w:rsidRDefault="00D619B4" w:rsidP="001C13FB">
            <w:pPr>
              <w:jc w:val="center"/>
              <w:rPr>
                <w:b/>
                <w:bCs/>
                <w:sz w:val="20"/>
                <w:szCs w:val="20"/>
                <w:lang w:eastAsia="sk-SK"/>
              </w:rPr>
            </w:pPr>
            <w:r>
              <w:rPr>
                <w:b/>
              </w:rPr>
              <w:t>196 920</w:t>
            </w:r>
          </w:p>
        </w:tc>
        <w:tc>
          <w:tcPr>
            <w:tcW w:w="2220" w:type="dxa"/>
            <w:tcBorders>
              <w:top w:val="nil"/>
              <w:left w:val="nil"/>
              <w:bottom w:val="single" w:sz="4" w:space="0" w:color="auto"/>
              <w:right w:val="single" w:sz="4" w:space="0" w:color="auto"/>
            </w:tcBorders>
            <w:noWrap/>
            <w:vAlign w:val="bottom"/>
          </w:tcPr>
          <w:p w14:paraId="2D1C6A55" w14:textId="77777777" w:rsidR="00D619B4" w:rsidRPr="007D5748" w:rsidRDefault="00D619B4" w:rsidP="001C13FB">
            <w:pPr>
              <w:rPr>
                <w:lang w:eastAsia="sk-SK"/>
              </w:rPr>
            </w:pPr>
            <w:r w:rsidRPr="007D5748">
              <w:rPr>
                <w:lang w:eastAsia="sk-SK"/>
              </w:rPr>
              <w:t> </w:t>
            </w:r>
          </w:p>
        </w:tc>
      </w:tr>
      <w:tr w:rsidR="00D619B4" w:rsidRPr="007D5748" w14:paraId="37E9F8CD" w14:textId="77777777" w:rsidTr="001C13FB">
        <w:trPr>
          <w:trHeight w:val="255"/>
        </w:trPr>
        <w:tc>
          <w:tcPr>
            <w:tcW w:w="7070" w:type="dxa"/>
            <w:tcBorders>
              <w:top w:val="nil"/>
              <w:left w:val="single" w:sz="4" w:space="0" w:color="auto"/>
              <w:bottom w:val="single" w:sz="4" w:space="0" w:color="auto"/>
              <w:right w:val="single" w:sz="4" w:space="0" w:color="auto"/>
            </w:tcBorders>
          </w:tcPr>
          <w:p w14:paraId="377208BF" w14:textId="77777777" w:rsidR="00D619B4" w:rsidRPr="007D5748" w:rsidRDefault="00D619B4" w:rsidP="001C13FB">
            <w:pPr>
              <w:rPr>
                <w:sz w:val="20"/>
                <w:szCs w:val="20"/>
                <w:vertAlign w:val="superscript"/>
                <w:lang w:eastAsia="sk-SK"/>
              </w:rPr>
            </w:pPr>
            <w:r w:rsidRPr="007D5748">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2CC656BD" w14:textId="77777777" w:rsidR="00D619B4" w:rsidRPr="000C290E" w:rsidRDefault="00D619B4" w:rsidP="001C13FB">
            <w:pPr>
              <w:jc w:val="center"/>
              <w:rPr>
                <w:b/>
                <w:bCs/>
                <w:sz w:val="20"/>
                <w:szCs w:val="20"/>
                <w:lang w:eastAsia="sk-SK"/>
              </w:rPr>
            </w:pPr>
            <w:r>
              <w:rPr>
                <w:b/>
              </w:rPr>
              <w:t>28 677</w:t>
            </w:r>
          </w:p>
        </w:tc>
        <w:tc>
          <w:tcPr>
            <w:tcW w:w="1540" w:type="dxa"/>
            <w:tcBorders>
              <w:top w:val="nil"/>
              <w:left w:val="nil"/>
              <w:bottom w:val="single" w:sz="4" w:space="0" w:color="auto"/>
              <w:right w:val="single" w:sz="4" w:space="0" w:color="auto"/>
            </w:tcBorders>
          </w:tcPr>
          <w:p w14:paraId="4FFA51D9" w14:textId="77777777" w:rsidR="00D619B4" w:rsidRPr="0033082A" w:rsidRDefault="00D619B4" w:rsidP="001C13FB">
            <w:pPr>
              <w:jc w:val="center"/>
              <w:rPr>
                <w:b/>
                <w:bCs/>
                <w:sz w:val="20"/>
                <w:szCs w:val="20"/>
                <w:lang w:eastAsia="sk-SK"/>
              </w:rPr>
            </w:pPr>
            <w:r>
              <w:rPr>
                <w:b/>
              </w:rPr>
              <w:t>68 824</w:t>
            </w:r>
          </w:p>
        </w:tc>
        <w:tc>
          <w:tcPr>
            <w:tcW w:w="1540" w:type="dxa"/>
            <w:tcBorders>
              <w:top w:val="nil"/>
              <w:left w:val="nil"/>
              <w:bottom w:val="single" w:sz="4" w:space="0" w:color="auto"/>
              <w:right w:val="single" w:sz="4" w:space="0" w:color="auto"/>
            </w:tcBorders>
          </w:tcPr>
          <w:p w14:paraId="5122CCB8" w14:textId="77777777" w:rsidR="00D619B4" w:rsidRPr="0033082A" w:rsidRDefault="00D619B4" w:rsidP="001C13FB">
            <w:pPr>
              <w:jc w:val="center"/>
              <w:rPr>
                <w:b/>
                <w:bCs/>
                <w:sz w:val="20"/>
                <w:szCs w:val="20"/>
                <w:lang w:eastAsia="sk-SK"/>
              </w:rPr>
            </w:pPr>
            <w:r>
              <w:rPr>
                <w:b/>
              </w:rPr>
              <w:t>68 824</w:t>
            </w:r>
          </w:p>
        </w:tc>
        <w:tc>
          <w:tcPr>
            <w:tcW w:w="1540" w:type="dxa"/>
            <w:tcBorders>
              <w:top w:val="nil"/>
              <w:left w:val="nil"/>
              <w:bottom w:val="single" w:sz="4" w:space="0" w:color="auto"/>
              <w:right w:val="single" w:sz="4" w:space="0" w:color="auto"/>
            </w:tcBorders>
          </w:tcPr>
          <w:p w14:paraId="3F149559" w14:textId="77777777" w:rsidR="00D619B4" w:rsidRPr="0033082A" w:rsidRDefault="00D619B4" w:rsidP="001C13FB">
            <w:pPr>
              <w:jc w:val="center"/>
              <w:rPr>
                <w:b/>
                <w:bCs/>
                <w:sz w:val="20"/>
                <w:szCs w:val="20"/>
                <w:lang w:eastAsia="sk-SK"/>
              </w:rPr>
            </w:pPr>
            <w:r>
              <w:rPr>
                <w:b/>
              </w:rPr>
              <w:t>68 824</w:t>
            </w:r>
          </w:p>
        </w:tc>
        <w:tc>
          <w:tcPr>
            <w:tcW w:w="2220" w:type="dxa"/>
            <w:tcBorders>
              <w:top w:val="nil"/>
              <w:left w:val="nil"/>
              <w:bottom w:val="single" w:sz="4" w:space="0" w:color="auto"/>
              <w:right w:val="single" w:sz="4" w:space="0" w:color="auto"/>
            </w:tcBorders>
            <w:noWrap/>
            <w:vAlign w:val="bottom"/>
          </w:tcPr>
          <w:p w14:paraId="13B23D65" w14:textId="77777777" w:rsidR="00D619B4" w:rsidRPr="007D5748" w:rsidRDefault="00D619B4" w:rsidP="001C13FB">
            <w:pPr>
              <w:rPr>
                <w:lang w:eastAsia="sk-SK"/>
              </w:rPr>
            </w:pPr>
            <w:r w:rsidRPr="007D5748">
              <w:rPr>
                <w:lang w:eastAsia="sk-SK"/>
              </w:rPr>
              <w:t> </w:t>
            </w:r>
          </w:p>
        </w:tc>
      </w:tr>
      <w:tr w:rsidR="00D619B4" w:rsidRPr="007D5748" w14:paraId="0EB8CA41" w14:textId="77777777" w:rsidTr="001C13FB">
        <w:trPr>
          <w:trHeight w:val="255"/>
        </w:trPr>
        <w:tc>
          <w:tcPr>
            <w:tcW w:w="7070" w:type="dxa"/>
            <w:tcBorders>
              <w:top w:val="nil"/>
              <w:left w:val="single" w:sz="4" w:space="0" w:color="auto"/>
              <w:bottom w:val="single" w:sz="4" w:space="0" w:color="auto"/>
              <w:right w:val="single" w:sz="4" w:space="0" w:color="auto"/>
            </w:tcBorders>
          </w:tcPr>
          <w:p w14:paraId="25FA914A" w14:textId="77777777" w:rsidR="00D619B4" w:rsidRPr="007D5748" w:rsidRDefault="00D619B4" w:rsidP="001C13FB">
            <w:pPr>
              <w:rPr>
                <w:sz w:val="20"/>
                <w:szCs w:val="20"/>
                <w:vertAlign w:val="superscript"/>
                <w:lang w:eastAsia="sk-SK"/>
              </w:rPr>
            </w:pPr>
            <w:r w:rsidRPr="007D5748">
              <w:rPr>
                <w:sz w:val="20"/>
                <w:szCs w:val="20"/>
                <w:lang w:eastAsia="sk-SK"/>
              </w:rPr>
              <w:t xml:space="preserve">  Tovary a služby (630)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18A47BEF"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9332E34"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3B806B70"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8A68CEA"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3878D60F" w14:textId="77777777" w:rsidR="00D619B4" w:rsidRPr="007D5748" w:rsidRDefault="00D619B4" w:rsidP="001C13FB">
            <w:pPr>
              <w:rPr>
                <w:lang w:eastAsia="sk-SK"/>
              </w:rPr>
            </w:pPr>
            <w:r w:rsidRPr="007D5748">
              <w:rPr>
                <w:lang w:eastAsia="sk-SK"/>
              </w:rPr>
              <w:t> </w:t>
            </w:r>
          </w:p>
        </w:tc>
      </w:tr>
      <w:tr w:rsidR="00D619B4" w:rsidRPr="007D5748" w14:paraId="1A7ACFC4" w14:textId="77777777" w:rsidTr="001C13FB">
        <w:trPr>
          <w:trHeight w:val="255"/>
        </w:trPr>
        <w:tc>
          <w:tcPr>
            <w:tcW w:w="7070" w:type="dxa"/>
            <w:tcBorders>
              <w:top w:val="nil"/>
              <w:left w:val="single" w:sz="4" w:space="0" w:color="auto"/>
              <w:bottom w:val="single" w:sz="4" w:space="0" w:color="auto"/>
              <w:right w:val="single" w:sz="4" w:space="0" w:color="auto"/>
            </w:tcBorders>
          </w:tcPr>
          <w:p w14:paraId="6233DA0E" w14:textId="77777777" w:rsidR="00D619B4" w:rsidRPr="007D5748" w:rsidRDefault="00D619B4" w:rsidP="001C13FB">
            <w:pPr>
              <w:rPr>
                <w:sz w:val="20"/>
                <w:szCs w:val="20"/>
                <w:lang w:eastAsia="sk-SK"/>
              </w:rPr>
            </w:pPr>
            <w:r w:rsidRPr="007D5748">
              <w:rPr>
                <w:sz w:val="20"/>
                <w:szCs w:val="20"/>
                <w:lang w:eastAsia="sk-SK"/>
              </w:rPr>
              <w:t xml:space="preserve">  Bežné transfery (640)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7A413EFF"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341ABCC4"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00C87610"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565E289"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50B06761" w14:textId="77777777" w:rsidR="00D619B4" w:rsidRPr="007D5748" w:rsidRDefault="00D619B4" w:rsidP="001C13FB">
            <w:pPr>
              <w:rPr>
                <w:lang w:eastAsia="sk-SK"/>
              </w:rPr>
            </w:pPr>
            <w:r w:rsidRPr="007D5748">
              <w:rPr>
                <w:lang w:eastAsia="sk-SK"/>
              </w:rPr>
              <w:t> </w:t>
            </w:r>
          </w:p>
        </w:tc>
      </w:tr>
      <w:tr w:rsidR="00D619B4" w:rsidRPr="007D5748" w14:paraId="4B926B42" w14:textId="77777777" w:rsidTr="001C13FB">
        <w:trPr>
          <w:trHeight w:val="255"/>
        </w:trPr>
        <w:tc>
          <w:tcPr>
            <w:tcW w:w="7070" w:type="dxa"/>
            <w:tcBorders>
              <w:top w:val="nil"/>
              <w:left w:val="single" w:sz="4" w:space="0" w:color="auto"/>
              <w:bottom w:val="single" w:sz="4" w:space="0" w:color="auto"/>
              <w:right w:val="single" w:sz="4" w:space="0" w:color="auto"/>
            </w:tcBorders>
            <w:vAlign w:val="center"/>
          </w:tcPr>
          <w:p w14:paraId="748153FD" w14:textId="77777777" w:rsidR="00D619B4" w:rsidRPr="007D5748" w:rsidRDefault="00D619B4" w:rsidP="001C13FB">
            <w:pPr>
              <w:rPr>
                <w:sz w:val="20"/>
                <w:szCs w:val="20"/>
                <w:lang w:eastAsia="sk-SK"/>
              </w:rPr>
            </w:pPr>
            <w:r w:rsidRPr="007D5748">
              <w:rPr>
                <w:sz w:val="20"/>
                <w:szCs w:val="20"/>
                <w:lang w:eastAsia="sk-SK"/>
              </w:rPr>
              <w:t xml:space="preserve">  Splácanie úrokov a ostatné platby súvisiace s </w:t>
            </w:r>
            <w:r>
              <w:t xml:space="preserve"> </w:t>
            </w:r>
            <w:r w:rsidRPr="008D339D">
              <w:rPr>
                <w:sz w:val="20"/>
                <w:szCs w:val="20"/>
                <w:lang w:eastAsia="sk-SK"/>
              </w:rPr>
              <w:t>úverom, pôžičkou, návratnou finančnou výpomocou a finančným prenájmom</w:t>
            </w:r>
            <w:r w:rsidRPr="007D5748">
              <w:rPr>
                <w:sz w:val="20"/>
                <w:szCs w:val="20"/>
                <w:lang w:eastAsia="sk-SK"/>
              </w:rPr>
              <w:t xml:space="preserve"> (650)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207FFD2F"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6920B9AE"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7803E99"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DEE4D1E"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3A117A6D" w14:textId="77777777" w:rsidR="00D619B4" w:rsidRPr="007D5748" w:rsidRDefault="00D619B4" w:rsidP="001C13FB">
            <w:pPr>
              <w:rPr>
                <w:lang w:eastAsia="sk-SK"/>
              </w:rPr>
            </w:pPr>
          </w:p>
        </w:tc>
      </w:tr>
      <w:tr w:rsidR="00D619B4" w:rsidRPr="007D5748" w14:paraId="20C675DC" w14:textId="77777777" w:rsidTr="001C13FB">
        <w:trPr>
          <w:trHeight w:val="255"/>
        </w:trPr>
        <w:tc>
          <w:tcPr>
            <w:tcW w:w="7070" w:type="dxa"/>
            <w:tcBorders>
              <w:top w:val="nil"/>
              <w:left w:val="single" w:sz="4" w:space="0" w:color="auto"/>
              <w:bottom w:val="single" w:sz="4" w:space="0" w:color="auto"/>
              <w:right w:val="single" w:sz="4" w:space="0" w:color="auto"/>
            </w:tcBorders>
          </w:tcPr>
          <w:p w14:paraId="4B299DA4" w14:textId="77777777" w:rsidR="00D619B4" w:rsidRPr="007D5748" w:rsidRDefault="00D619B4" w:rsidP="001C13FB">
            <w:pPr>
              <w:rPr>
                <w:b/>
                <w:bCs/>
                <w:sz w:val="20"/>
                <w:szCs w:val="20"/>
                <w:lang w:eastAsia="sk-SK"/>
              </w:rPr>
            </w:pPr>
            <w:r w:rsidRPr="007D5748">
              <w:rPr>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16916E2E" w14:textId="77777777" w:rsidR="00D619B4" w:rsidRPr="000C290E"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643C86C4"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010B05EB"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1EEEAD63" w14:textId="77777777" w:rsidR="00D619B4" w:rsidRPr="0033082A" w:rsidRDefault="00D619B4" w:rsidP="001C13FB">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457E7E77" w14:textId="77777777" w:rsidR="00D619B4" w:rsidRPr="007D5748" w:rsidRDefault="00D619B4" w:rsidP="001C13FB">
            <w:pPr>
              <w:rPr>
                <w:lang w:eastAsia="sk-SK"/>
              </w:rPr>
            </w:pPr>
            <w:r w:rsidRPr="007D5748">
              <w:rPr>
                <w:lang w:eastAsia="sk-SK"/>
              </w:rPr>
              <w:t> </w:t>
            </w:r>
          </w:p>
        </w:tc>
      </w:tr>
      <w:tr w:rsidR="00D619B4" w:rsidRPr="007D5748" w14:paraId="50936504" w14:textId="77777777" w:rsidTr="001C13FB">
        <w:trPr>
          <w:trHeight w:val="255"/>
        </w:trPr>
        <w:tc>
          <w:tcPr>
            <w:tcW w:w="7070" w:type="dxa"/>
            <w:tcBorders>
              <w:top w:val="nil"/>
              <w:left w:val="single" w:sz="4" w:space="0" w:color="auto"/>
              <w:bottom w:val="single" w:sz="4" w:space="0" w:color="auto"/>
              <w:right w:val="single" w:sz="4" w:space="0" w:color="auto"/>
            </w:tcBorders>
          </w:tcPr>
          <w:p w14:paraId="78A433D0" w14:textId="77777777" w:rsidR="00D619B4" w:rsidRPr="007D5748" w:rsidRDefault="00D619B4" w:rsidP="001C13FB">
            <w:pPr>
              <w:rPr>
                <w:sz w:val="20"/>
                <w:szCs w:val="20"/>
                <w:lang w:eastAsia="sk-SK"/>
              </w:rPr>
            </w:pPr>
            <w:r w:rsidRPr="007D5748">
              <w:rPr>
                <w:sz w:val="20"/>
                <w:szCs w:val="20"/>
                <w:lang w:eastAsia="sk-SK"/>
              </w:rPr>
              <w:t xml:space="preserve">  Obstarávanie kapitálových aktív (710)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4E64A9EC"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06D7AA37"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1AA9AD8A"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A734B64"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34202760" w14:textId="77777777" w:rsidR="00D619B4" w:rsidRPr="007D5748" w:rsidRDefault="00D619B4" w:rsidP="001C13FB">
            <w:pPr>
              <w:rPr>
                <w:lang w:eastAsia="sk-SK"/>
              </w:rPr>
            </w:pPr>
            <w:r w:rsidRPr="007D5748">
              <w:rPr>
                <w:lang w:eastAsia="sk-SK"/>
              </w:rPr>
              <w:t> </w:t>
            </w:r>
          </w:p>
        </w:tc>
      </w:tr>
      <w:tr w:rsidR="00D619B4" w:rsidRPr="007D5748" w14:paraId="0F54D744" w14:textId="77777777" w:rsidTr="001C13FB">
        <w:trPr>
          <w:trHeight w:val="255"/>
        </w:trPr>
        <w:tc>
          <w:tcPr>
            <w:tcW w:w="7070" w:type="dxa"/>
            <w:tcBorders>
              <w:top w:val="nil"/>
              <w:left w:val="single" w:sz="4" w:space="0" w:color="auto"/>
              <w:bottom w:val="single" w:sz="4" w:space="0" w:color="auto"/>
              <w:right w:val="single" w:sz="4" w:space="0" w:color="auto"/>
            </w:tcBorders>
          </w:tcPr>
          <w:p w14:paraId="41972DCF" w14:textId="77777777" w:rsidR="00D619B4" w:rsidRPr="007D5748" w:rsidRDefault="00D619B4" w:rsidP="001C13FB">
            <w:pPr>
              <w:rPr>
                <w:sz w:val="20"/>
                <w:szCs w:val="20"/>
                <w:lang w:eastAsia="sk-SK"/>
              </w:rPr>
            </w:pPr>
            <w:r w:rsidRPr="007D5748">
              <w:rPr>
                <w:sz w:val="20"/>
                <w:szCs w:val="20"/>
                <w:lang w:eastAsia="sk-SK"/>
              </w:rPr>
              <w:t xml:space="preserve">  Kapitálové transfery (720)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5FC5327E"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B2EF2E0"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32852D1"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7CFDF4CA"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35A4D38F" w14:textId="77777777" w:rsidR="00D619B4" w:rsidRPr="007D5748" w:rsidRDefault="00D619B4" w:rsidP="001C13FB">
            <w:pPr>
              <w:rPr>
                <w:lang w:eastAsia="sk-SK"/>
              </w:rPr>
            </w:pPr>
            <w:r w:rsidRPr="007D5748">
              <w:rPr>
                <w:lang w:eastAsia="sk-SK"/>
              </w:rPr>
              <w:t> </w:t>
            </w:r>
          </w:p>
        </w:tc>
      </w:tr>
      <w:tr w:rsidR="00D619B4" w:rsidRPr="007D5748" w14:paraId="05F6A088" w14:textId="77777777" w:rsidTr="001C13FB">
        <w:trPr>
          <w:trHeight w:val="255"/>
        </w:trPr>
        <w:tc>
          <w:tcPr>
            <w:tcW w:w="7070" w:type="dxa"/>
            <w:tcBorders>
              <w:top w:val="nil"/>
              <w:left w:val="single" w:sz="4" w:space="0" w:color="auto"/>
              <w:bottom w:val="single" w:sz="4" w:space="0" w:color="auto"/>
              <w:right w:val="single" w:sz="4" w:space="0" w:color="auto"/>
            </w:tcBorders>
          </w:tcPr>
          <w:p w14:paraId="44D2F5AA" w14:textId="77777777" w:rsidR="00D619B4" w:rsidRPr="007D5748" w:rsidRDefault="00D619B4" w:rsidP="001C13FB">
            <w:pPr>
              <w:rPr>
                <w:b/>
                <w:bCs/>
                <w:sz w:val="20"/>
                <w:szCs w:val="20"/>
                <w:lang w:eastAsia="sk-SK"/>
              </w:rPr>
            </w:pPr>
            <w:r w:rsidRPr="007D5748">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6C2749CE" w14:textId="77777777" w:rsidR="00D619B4" w:rsidRPr="000C290E"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3A4755E1"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5DB65DE5"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383D0D22" w14:textId="77777777" w:rsidR="00D619B4" w:rsidRPr="0033082A" w:rsidRDefault="00D619B4" w:rsidP="001C13FB">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192D9D42" w14:textId="77777777" w:rsidR="00D619B4" w:rsidRPr="007D5748" w:rsidRDefault="00D619B4" w:rsidP="001C13FB">
            <w:pPr>
              <w:rPr>
                <w:lang w:eastAsia="sk-SK"/>
              </w:rPr>
            </w:pPr>
            <w:r w:rsidRPr="007D5748">
              <w:rPr>
                <w:lang w:eastAsia="sk-SK"/>
              </w:rPr>
              <w:t> </w:t>
            </w:r>
          </w:p>
        </w:tc>
      </w:tr>
      <w:tr w:rsidR="00D619B4" w:rsidRPr="007D5748" w14:paraId="4A2FCC47" w14:textId="77777777" w:rsidTr="001C13F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7933AE" w14:textId="77777777" w:rsidR="00D619B4" w:rsidRPr="007D5748" w:rsidRDefault="00D619B4" w:rsidP="001C13FB">
            <w:pPr>
              <w:rPr>
                <w:b/>
                <w:bCs/>
                <w:sz w:val="20"/>
                <w:szCs w:val="20"/>
                <w:lang w:eastAsia="sk-SK"/>
              </w:rPr>
            </w:pPr>
            <w:r w:rsidRPr="007D5748">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1C095D9" w14:textId="77777777" w:rsidR="00D619B4" w:rsidRPr="000C290E" w:rsidRDefault="00D619B4" w:rsidP="001C13FB">
            <w:pPr>
              <w:jc w:val="center"/>
              <w:rPr>
                <w:b/>
                <w:bCs/>
                <w:sz w:val="20"/>
                <w:szCs w:val="20"/>
                <w:lang w:eastAsia="sk-SK"/>
              </w:rPr>
            </w:pPr>
            <w:r>
              <w:rPr>
                <w:b/>
              </w:rPr>
              <w:t>110 727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4414E11" w14:textId="77777777" w:rsidR="00D619B4" w:rsidRPr="0033082A" w:rsidRDefault="00D619B4" w:rsidP="001C13FB">
            <w:pPr>
              <w:jc w:val="center"/>
              <w:rPr>
                <w:b/>
                <w:bCs/>
                <w:sz w:val="20"/>
                <w:szCs w:val="20"/>
                <w:lang w:eastAsia="sk-SK"/>
              </w:rPr>
            </w:pPr>
            <w:r>
              <w:rPr>
                <w:b/>
              </w:rPr>
              <w:t>265 744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85CD0C5" w14:textId="77777777" w:rsidR="00D619B4" w:rsidRPr="0033082A" w:rsidRDefault="00D619B4" w:rsidP="001C13FB">
            <w:pPr>
              <w:jc w:val="center"/>
              <w:rPr>
                <w:b/>
                <w:bCs/>
                <w:sz w:val="20"/>
                <w:szCs w:val="20"/>
                <w:lang w:eastAsia="sk-SK"/>
              </w:rPr>
            </w:pPr>
            <w:r w:rsidRPr="00A574C8">
              <w:rPr>
                <w:b/>
              </w:rPr>
              <w:t>265</w:t>
            </w:r>
            <w:r>
              <w:rPr>
                <w:b/>
              </w:rPr>
              <w:t xml:space="preserve"> </w:t>
            </w:r>
            <w:r w:rsidRPr="00A574C8">
              <w:rPr>
                <w:b/>
              </w:rPr>
              <w:t>744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BC20A4E" w14:textId="77777777" w:rsidR="00D619B4" w:rsidRPr="0033082A" w:rsidRDefault="00D619B4" w:rsidP="001C13FB">
            <w:pPr>
              <w:jc w:val="center"/>
              <w:rPr>
                <w:b/>
                <w:bCs/>
                <w:lang w:eastAsia="sk-SK"/>
              </w:rPr>
            </w:pPr>
            <w:r w:rsidRPr="00A574C8">
              <w:rPr>
                <w:b/>
              </w:rPr>
              <w:t>265</w:t>
            </w:r>
            <w:r>
              <w:rPr>
                <w:b/>
              </w:rPr>
              <w:t xml:space="preserve"> </w:t>
            </w:r>
            <w:r w:rsidRPr="00A574C8">
              <w:rPr>
                <w:b/>
              </w:rPr>
              <w:t>744</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E122C06" w14:textId="77777777" w:rsidR="00D619B4" w:rsidRPr="007D5748" w:rsidRDefault="00D619B4" w:rsidP="001C13FB">
            <w:pPr>
              <w:rPr>
                <w:lang w:eastAsia="sk-SK"/>
              </w:rPr>
            </w:pPr>
            <w:r w:rsidRPr="007D5748">
              <w:rPr>
                <w:lang w:eastAsia="sk-SK"/>
              </w:rPr>
              <w:t> </w:t>
            </w:r>
          </w:p>
        </w:tc>
      </w:tr>
    </w:tbl>
    <w:p w14:paraId="26BCA16D" w14:textId="77777777" w:rsidR="00D619B4" w:rsidRPr="007D5748" w:rsidRDefault="00D619B4" w:rsidP="00D619B4">
      <w:pPr>
        <w:tabs>
          <w:tab w:val="num" w:pos="1080"/>
        </w:tabs>
        <w:ind w:left="-900"/>
        <w:jc w:val="both"/>
        <w:rPr>
          <w:bCs/>
          <w:sz w:val="20"/>
          <w:szCs w:val="20"/>
          <w:lang w:eastAsia="sk-SK"/>
        </w:rPr>
      </w:pPr>
      <w:r w:rsidRPr="007D5748">
        <w:rPr>
          <w:bCs/>
          <w:sz w:val="20"/>
          <w:szCs w:val="20"/>
          <w:lang w:eastAsia="sk-SK"/>
        </w:rPr>
        <w:t>2 –  výdavky rozpísať až do položiek platnej ekonomickej klasifikácie</w:t>
      </w:r>
    </w:p>
    <w:p w14:paraId="2D89A013" w14:textId="77777777" w:rsidR="00D619B4" w:rsidRPr="007D5748" w:rsidRDefault="00D619B4" w:rsidP="00D619B4">
      <w:pPr>
        <w:tabs>
          <w:tab w:val="num" w:pos="1080"/>
        </w:tabs>
        <w:ind w:left="-900"/>
        <w:jc w:val="both"/>
        <w:rPr>
          <w:bCs/>
          <w:szCs w:val="20"/>
          <w:lang w:eastAsia="sk-SK"/>
        </w:rPr>
      </w:pPr>
    </w:p>
    <w:p w14:paraId="13CECBB3" w14:textId="77777777" w:rsidR="00D619B4" w:rsidRPr="007D5748" w:rsidRDefault="00D619B4" w:rsidP="00D619B4">
      <w:pPr>
        <w:tabs>
          <w:tab w:val="num" w:pos="1080"/>
        </w:tabs>
        <w:ind w:left="-900"/>
        <w:jc w:val="both"/>
        <w:rPr>
          <w:b/>
          <w:bCs/>
          <w:sz w:val="20"/>
          <w:szCs w:val="20"/>
          <w:lang w:eastAsia="sk-SK"/>
        </w:rPr>
      </w:pPr>
      <w:r w:rsidRPr="007D5748">
        <w:rPr>
          <w:b/>
          <w:bCs/>
          <w:szCs w:val="20"/>
          <w:lang w:eastAsia="sk-SK"/>
        </w:rPr>
        <w:t>Poznámka:</w:t>
      </w:r>
    </w:p>
    <w:p w14:paraId="7F6960D9" w14:textId="77777777" w:rsidR="00D619B4" w:rsidRPr="007D5748" w:rsidRDefault="00D619B4" w:rsidP="00D619B4">
      <w:pPr>
        <w:tabs>
          <w:tab w:val="num" w:pos="1080"/>
        </w:tabs>
        <w:ind w:left="-900"/>
        <w:jc w:val="both"/>
        <w:rPr>
          <w:bCs/>
          <w:sz w:val="20"/>
          <w:szCs w:val="20"/>
          <w:lang w:eastAsia="sk-SK"/>
        </w:rPr>
      </w:pPr>
      <w:r w:rsidRPr="007D5748">
        <w:rPr>
          <w:bCs/>
          <w:szCs w:val="20"/>
          <w:lang w:eastAsia="sk-SK"/>
        </w:rPr>
        <w:t>Ak sa vplyv týka viacerých subjektov verejnej správy, vypĺňa sa samostatná tabuľka za každý subjekt.</w:t>
      </w:r>
    </w:p>
    <w:p w14:paraId="08B56856" w14:textId="77777777" w:rsidR="00D619B4" w:rsidRPr="007D5748" w:rsidRDefault="00D619B4" w:rsidP="00D619B4">
      <w:pPr>
        <w:tabs>
          <w:tab w:val="num" w:pos="1080"/>
        </w:tabs>
        <w:ind w:left="-900"/>
        <w:jc w:val="both"/>
        <w:rPr>
          <w:bCs/>
          <w:sz w:val="20"/>
          <w:szCs w:val="20"/>
          <w:lang w:eastAsia="sk-SK"/>
        </w:rPr>
      </w:pPr>
    </w:p>
    <w:p w14:paraId="32705654" w14:textId="77777777" w:rsidR="00D619B4" w:rsidRPr="007D5748" w:rsidRDefault="00D619B4" w:rsidP="00D619B4">
      <w:pPr>
        <w:tabs>
          <w:tab w:val="num" w:pos="1080"/>
        </w:tabs>
        <w:ind w:left="-900"/>
        <w:jc w:val="both"/>
        <w:rPr>
          <w:bCs/>
          <w:sz w:val="20"/>
          <w:szCs w:val="20"/>
          <w:lang w:eastAsia="sk-SK"/>
        </w:rPr>
      </w:pPr>
    </w:p>
    <w:p w14:paraId="1AAC9901" w14:textId="77777777" w:rsidR="00D619B4" w:rsidRPr="007D5748" w:rsidRDefault="00D619B4" w:rsidP="00D619B4">
      <w:pPr>
        <w:tabs>
          <w:tab w:val="num" w:pos="1080"/>
        </w:tabs>
        <w:ind w:left="-900"/>
        <w:jc w:val="both"/>
        <w:rPr>
          <w:bCs/>
          <w:sz w:val="20"/>
          <w:szCs w:val="20"/>
          <w:lang w:eastAsia="sk-SK"/>
        </w:rPr>
      </w:pPr>
    </w:p>
    <w:p w14:paraId="6A766F96" w14:textId="77777777" w:rsidR="00D619B4" w:rsidRPr="007D5748" w:rsidRDefault="00D619B4" w:rsidP="00D619B4">
      <w:pPr>
        <w:tabs>
          <w:tab w:val="num" w:pos="1080"/>
        </w:tabs>
        <w:ind w:left="-900"/>
        <w:jc w:val="both"/>
        <w:rPr>
          <w:bCs/>
          <w:sz w:val="20"/>
          <w:szCs w:val="20"/>
          <w:lang w:eastAsia="sk-SK"/>
        </w:rPr>
      </w:pPr>
    </w:p>
    <w:p w14:paraId="5CA3BE7C" w14:textId="77777777" w:rsidR="00D619B4" w:rsidRPr="007D5748" w:rsidRDefault="00D619B4" w:rsidP="00D619B4">
      <w:pPr>
        <w:tabs>
          <w:tab w:val="num" w:pos="1080"/>
        </w:tabs>
        <w:ind w:left="-900"/>
        <w:jc w:val="both"/>
        <w:rPr>
          <w:bCs/>
          <w:sz w:val="20"/>
          <w:szCs w:val="20"/>
          <w:lang w:eastAsia="sk-SK"/>
        </w:rPr>
      </w:pPr>
    </w:p>
    <w:p w14:paraId="10CF7198" w14:textId="77777777" w:rsidR="00D619B4" w:rsidRPr="007D5748" w:rsidRDefault="00D619B4" w:rsidP="00D619B4">
      <w:pPr>
        <w:tabs>
          <w:tab w:val="num" w:pos="1080"/>
        </w:tabs>
        <w:jc w:val="both"/>
        <w:rPr>
          <w:bCs/>
          <w:sz w:val="20"/>
          <w:szCs w:val="20"/>
          <w:lang w:eastAsia="sk-SK"/>
        </w:rPr>
      </w:pPr>
    </w:p>
    <w:p w14:paraId="01457FD5" w14:textId="77777777" w:rsidR="00D619B4" w:rsidRDefault="00D619B4" w:rsidP="00D619B4">
      <w:pPr>
        <w:tabs>
          <w:tab w:val="num" w:pos="1080"/>
        </w:tabs>
        <w:ind w:left="-900"/>
        <w:jc w:val="both"/>
        <w:rPr>
          <w:bCs/>
          <w:sz w:val="20"/>
          <w:szCs w:val="20"/>
          <w:lang w:eastAsia="sk-SK"/>
        </w:rPr>
      </w:pPr>
    </w:p>
    <w:p w14:paraId="6245B6EA" w14:textId="77777777" w:rsidR="00D619B4" w:rsidRDefault="00D619B4" w:rsidP="00D619B4">
      <w:pPr>
        <w:tabs>
          <w:tab w:val="num" w:pos="1080"/>
        </w:tabs>
        <w:ind w:left="-900"/>
        <w:jc w:val="both"/>
        <w:rPr>
          <w:bCs/>
          <w:sz w:val="20"/>
          <w:szCs w:val="20"/>
          <w:lang w:eastAsia="sk-SK"/>
        </w:rPr>
      </w:pPr>
    </w:p>
    <w:p w14:paraId="2787131D" w14:textId="77777777" w:rsidR="00D619B4" w:rsidRDefault="00D619B4" w:rsidP="00D619B4">
      <w:pPr>
        <w:tabs>
          <w:tab w:val="num" w:pos="1080"/>
        </w:tabs>
        <w:ind w:left="-900"/>
        <w:jc w:val="both"/>
        <w:rPr>
          <w:bCs/>
          <w:sz w:val="20"/>
          <w:szCs w:val="20"/>
          <w:lang w:eastAsia="sk-SK"/>
        </w:rPr>
      </w:pPr>
    </w:p>
    <w:p w14:paraId="03F51841" w14:textId="77777777" w:rsidR="00D619B4" w:rsidRDefault="00D619B4" w:rsidP="00D619B4">
      <w:pPr>
        <w:tabs>
          <w:tab w:val="num" w:pos="1080"/>
        </w:tabs>
        <w:ind w:left="-900"/>
        <w:jc w:val="both"/>
        <w:rPr>
          <w:bCs/>
          <w:sz w:val="20"/>
          <w:szCs w:val="20"/>
          <w:lang w:eastAsia="sk-SK"/>
        </w:rPr>
      </w:pPr>
    </w:p>
    <w:p w14:paraId="6CB02B7C" w14:textId="77777777" w:rsidR="00D619B4" w:rsidRDefault="00D619B4" w:rsidP="00D619B4">
      <w:pPr>
        <w:tabs>
          <w:tab w:val="num" w:pos="1080"/>
        </w:tabs>
        <w:ind w:left="-900"/>
        <w:jc w:val="both"/>
        <w:rPr>
          <w:bCs/>
          <w:sz w:val="20"/>
          <w:szCs w:val="20"/>
          <w:lang w:eastAsia="sk-SK"/>
        </w:rPr>
      </w:pPr>
    </w:p>
    <w:p w14:paraId="3D8124E4" w14:textId="77777777" w:rsidR="00D619B4" w:rsidRDefault="00D619B4" w:rsidP="00D619B4">
      <w:pPr>
        <w:tabs>
          <w:tab w:val="num" w:pos="1080"/>
        </w:tabs>
        <w:ind w:left="-900"/>
        <w:jc w:val="both"/>
        <w:rPr>
          <w:bCs/>
          <w:sz w:val="20"/>
          <w:szCs w:val="20"/>
          <w:lang w:eastAsia="sk-SK"/>
        </w:rPr>
      </w:pPr>
    </w:p>
    <w:p w14:paraId="1E710796" w14:textId="77777777" w:rsidR="00D619B4" w:rsidRDefault="00D619B4" w:rsidP="00D619B4">
      <w:pPr>
        <w:tabs>
          <w:tab w:val="num" w:pos="1080"/>
        </w:tabs>
        <w:ind w:right="-32"/>
        <w:jc w:val="right"/>
        <w:rPr>
          <w:bCs/>
          <w:lang w:eastAsia="sk-SK"/>
        </w:rPr>
      </w:pPr>
      <w:r w:rsidRPr="007D5748">
        <w:rPr>
          <w:bCs/>
          <w:lang w:eastAsia="sk-SK"/>
        </w:rPr>
        <w:t xml:space="preserve">Tabuľka č. </w:t>
      </w:r>
      <w:r>
        <w:rPr>
          <w:bCs/>
          <w:lang w:eastAsia="sk-SK"/>
        </w:rPr>
        <w:t>6</w:t>
      </w:r>
      <w:r w:rsidRPr="007D5748">
        <w:rPr>
          <w:bCs/>
          <w:lang w:eastAsia="sk-SK"/>
        </w:rPr>
        <w:t xml:space="preserve"> </w:t>
      </w:r>
    </w:p>
    <w:p w14:paraId="713CC747" w14:textId="77777777" w:rsidR="00D619B4" w:rsidRPr="007D5748" w:rsidRDefault="00D619B4" w:rsidP="00D619B4">
      <w:pPr>
        <w:tabs>
          <w:tab w:val="num" w:pos="1080"/>
        </w:tabs>
        <w:ind w:right="-32"/>
        <w:jc w:val="right"/>
        <w:rPr>
          <w:bCs/>
          <w:lang w:eastAsia="sk-SK"/>
        </w:rPr>
      </w:pPr>
      <w:r w:rsidRPr="00FA364E">
        <w:rPr>
          <w:bCs/>
          <w:lang w:eastAsia="sk-SK"/>
        </w:rPr>
        <w:t xml:space="preserve">Ministerstvo </w:t>
      </w:r>
      <w:r>
        <w:rPr>
          <w:bCs/>
          <w:lang w:eastAsia="sk-SK"/>
        </w:rPr>
        <w:t>vnútra</w:t>
      </w:r>
      <w:r w:rsidRPr="00FA364E">
        <w:rPr>
          <w:bCs/>
          <w:lang w:eastAsia="sk-SK"/>
        </w:rPr>
        <w:t xml:space="preserve"> SR</w:t>
      </w:r>
    </w:p>
    <w:p w14:paraId="43B5DB11" w14:textId="77777777" w:rsidR="00D619B4" w:rsidRPr="007D5748" w:rsidRDefault="00D619B4" w:rsidP="00D619B4">
      <w:pPr>
        <w:tabs>
          <w:tab w:val="num" w:pos="1080"/>
        </w:tabs>
        <w:jc w:val="both"/>
        <w:rPr>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D619B4" w:rsidRPr="007D5748" w14:paraId="02918DEF" w14:textId="77777777" w:rsidTr="001C13F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2A1E0C9" w14:textId="77777777" w:rsidR="00D619B4" w:rsidRPr="007D5748" w:rsidRDefault="00D619B4" w:rsidP="001C13FB">
            <w:pPr>
              <w:jc w:val="center"/>
              <w:rPr>
                <w:b/>
                <w:bCs/>
                <w:sz w:val="20"/>
                <w:szCs w:val="20"/>
                <w:lang w:eastAsia="sk-SK"/>
              </w:rPr>
            </w:pPr>
            <w:r w:rsidRPr="007D5748">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7394F0C" w14:textId="77777777" w:rsidR="00D619B4" w:rsidRPr="007D5748" w:rsidRDefault="00D619B4" w:rsidP="001C13FB">
            <w:pPr>
              <w:jc w:val="center"/>
              <w:rPr>
                <w:b/>
                <w:bCs/>
                <w:sz w:val="20"/>
                <w:szCs w:val="20"/>
                <w:lang w:eastAsia="sk-SK"/>
              </w:rPr>
            </w:pPr>
            <w:r w:rsidRPr="007D5748">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9A3289" w14:textId="77777777" w:rsidR="00D619B4" w:rsidRPr="007D5748" w:rsidRDefault="00D619B4" w:rsidP="001C13FB">
            <w:pPr>
              <w:jc w:val="center"/>
              <w:rPr>
                <w:b/>
                <w:bCs/>
                <w:lang w:eastAsia="sk-SK"/>
              </w:rPr>
            </w:pPr>
            <w:r w:rsidRPr="007D5748">
              <w:rPr>
                <w:b/>
                <w:bCs/>
                <w:lang w:eastAsia="sk-SK"/>
              </w:rPr>
              <w:t>poznámka</w:t>
            </w:r>
          </w:p>
        </w:tc>
      </w:tr>
      <w:tr w:rsidR="00D619B4" w:rsidRPr="007D5748" w14:paraId="4DBDFC1A" w14:textId="77777777" w:rsidTr="001C13F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4FECD56" w14:textId="77777777" w:rsidR="00D619B4" w:rsidRPr="007D5748" w:rsidRDefault="00D619B4" w:rsidP="001C13FB">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E1828F8" w14:textId="77777777" w:rsidR="00D619B4" w:rsidRPr="007D5748" w:rsidRDefault="00D619B4" w:rsidP="001C13FB">
            <w:pPr>
              <w:jc w:val="center"/>
              <w:rPr>
                <w:b/>
                <w:bCs/>
                <w:sz w:val="20"/>
                <w:szCs w:val="20"/>
                <w:lang w:eastAsia="sk-SK"/>
              </w:rPr>
            </w:pPr>
            <w:r>
              <w:rPr>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14:paraId="5FE8A2EF" w14:textId="77777777" w:rsidR="00D619B4" w:rsidRPr="007D5748" w:rsidRDefault="00D619B4" w:rsidP="001C13FB">
            <w:pPr>
              <w:jc w:val="center"/>
              <w:rPr>
                <w:b/>
                <w:bCs/>
                <w:sz w:val="20"/>
                <w:szCs w:val="20"/>
                <w:lang w:eastAsia="sk-SK"/>
              </w:rPr>
            </w:pPr>
            <w:r>
              <w:rPr>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7ABF99CA" w14:textId="77777777" w:rsidR="00D619B4" w:rsidRPr="007D5748" w:rsidRDefault="00D619B4" w:rsidP="001C13FB">
            <w:pPr>
              <w:jc w:val="center"/>
              <w:rPr>
                <w:b/>
                <w:bCs/>
                <w:sz w:val="20"/>
                <w:szCs w:val="20"/>
                <w:lang w:eastAsia="sk-SK"/>
              </w:rPr>
            </w:pPr>
            <w:r>
              <w:rPr>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237BDAF6" w14:textId="77777777" w:rsidR="00D619B4" w:rsidRPr="007D5748" w:rsidRDefault="00D619B4" w:rsidP="001C13FB">
            <w:pPr>
              <w:jc w:val="center"/>
              <w:rPr>
                <w:b/>
                <w:bCs/>
                <w:lang w:eastAsia="sk-SK"/>
              </w:rPr>
            </w:pPr>
            <w:r w:rsidRPr="00CA1711">
              <w:rPr>
                <w:b/>
                <w:bCs/>
                <w:sz w:val="20"/>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618BDD84" w14:textId="77777777" w:rsidR="00D619B4" w:rsidRPr="007D5748" w:rsidRDefault="00D619B4" w:rsidP="001C13FB">
            <w:pPr>
              <w:rPr>
                <w:b/>
                <w:bCs/>
                <w:color w:val="FFFFFF"/>
                <w:lang w:eastAsia="sk-SK"/>
              </w:rPr>
            </w:pPr>
          </w:p>
        </w:tc>
      </w:tr>
      <w:tr w:rsidR="00D619B4" w:rsidRPr="007D5748" w14:paraId="799E1E4B" w14:textId="77777777" w:rsidTr="001C13FB">
        <w:trPr>
          <w:trHeight w:val="255"/>
        </w:trPr>
        <w:tc>
          <w:tcPr>
            <w:tcW w:w="7070" w:type="dxa"/>
            <w:tcBorders>
              <w:top w:val="nil"/>
              <w:left w:val="single" w:sz="4" w:space="0" w:color="auto"/>
              <w:bottom w:val="single" w:sz="4" w:space="0" w:color="auto"/>
              <w:right w:val="single" w:sz="4" w:space="0" w:color="auto"/>
            </w:tcBorders>
          </w:tcPr>
          <w:p w14:paraId="0C7D418C" w14:textId="77777777" w:rsidR="00D619B4" w:rsidRPr="007D5748" w:rsidRDefault="00D619B4" w:rsidP="001C13FB">
            <w:pPr>
              <w:rPr>
                <w:b/>
                <w:bCs/>
                <w:sz w:val="20"/>
                <w:szCs w:val="20"/>
                <w:lang w:eastAsia="sk-SK"/>
              </w:rPr>
            </w:pPr>
            <w:r w:rsidRPr="007D5748">
              <w:rPr>
                <w:b/>
                <w:bCs/>
                <w:sz w:val="20"/>
                <w:szCs w:val="20"/>
                <w:lang w:eastAsia="sk-SK"/>
              </w:rPr>
              <w:t>Bežné výdavky (600)</w:t>
            </w:r>
          </w:p>
        </w:tc>
        <w:tc>
          <w:tcPr>
            <w:tcW w:w="1540" w:type="dxa"/>
            <w:tcBorders>
              <w:top w:val="nil"/>
              <w:left w:val="nil"/>
              <w:bottom w:val="single" w:sz="4" w:space="0" w:color="auto"/>
              <w:right w:val="single" w:sz="4" w:space="0" w:color="auto"/>
            </w:tcBorders>
          </w:tcPr>
          <w:p w14:paraId="3C485201" w14:textId="77777777" w:rsidR="00D619B4" w:rsidRPr="000C290E" w:rsidRDefault="00D619B4" w:rsidP="001C13FB">
            <w:pPr>
              <w:jc w:val="center"/>
              <w:rPr>
                <w:b/>
                <w:bCs/>
                <w:sz w:val="20"/>
                <w:szCs w:val="20"/>
                <w:lang w:eastAsia="sk-SK"/>
              </w:rPr>
            </w:pPr>
            <w:r>
              <w:rPr>
                <w:b/>
                <w:bCs/>
                <w:sz w:val="20"/>
                <w:szCs w:val="20"/>
                <w:lang w:eastAsia="sk-SK"/>
              </w:rPr>
              <w:t>276 818</w:t>
            </w:r>
          </w:p>
        </w:tc>
        <w:tc>
          <w:tcPr>
            <w:tcW w:w="1540" w:type="dxa"/>
            <w:tcBorders>
              <w:top w:val="nil"/>
              <w:left w:val="nil"/>
              <w:bottom w:val="single" w:sz="4" w:space="0" w:color="auto"/>
              <w:right w:val="single" w:sz="4" w:space="0" w:color="auto"/>
            </w:tcBorders>
          </w:tcPr>
          <w:p w14:paraId="3D7EC868" w14:textId="77777777" w:rsidR="00D619B4" w:rsidRPr="0033082A" w:rsidRDefault="00D619B4" w:rsidP="001C13FB">
            <w:pPr>
              <w:jc w:val="center"/>
              <w:rPr>
                <w:b/>
                <w:bCs/>
                <w:sz w:val="20"/>
                <w:szCs w:val="20"/>
                <w:lang w:eastAsia="sk-SK"/>
              </w:rPr>
            </w:pPr>
            <w:r>
              <w:rPr>
                <w:b/>
              </w:rPr>
              <w:t>664 360</w:t>
            </w:r>
          </w:p>
        </w:tc>
        <w:tc>
          <w:tcPr>
            <w:tcW w:w="1540" w:type="dxa"/>
            <w:tcBorders>
              <w:top w:val="nil"/>
              <w:left w:val="nil"/>
              <w:bottom w:val="single" w:sz="4" w:space="0" w:color="auto"/>
              <w:right w:val="single" w:sz="4" w:space="0" w:color="auto"/>
            </w:tcBorders>
          </w:tcPr>
          <w:p w14:paraId="43DB01AB" w14:textId="77777777" w:rsidR="00D619B4" w:rsidRPr="00987A3F" w:rsidRDefault="00D619B4" w:rsidP="001C13FB">
            <w:pPr>
              <w:jc w:val="center"/>
              <w:rPr>
                <w:b/>
                <w:bCs/>
                <w:i/>
                <w:sz w:val="20"/>
                <w:szCs w:val="20"/>
                <w:lang w:eastAsia="sk-SK"/>
              </w:rPr>
            </w:pPr>
            <w:r>
              <w:rPr>
                <w:b/>
              </w:rPr>
              <w:t>664 360</w:t>
            </w:r>
          </w:p>
        </w:tc>
        <w:tc>
          <w:tcPr>
            <w:tcW w:w="1540" w:type="dxa"/>
            <w:tcBorders>
              <w:top w:val="nil"/>
              <w:left w:val="nil"/>
              <w:bottom w:val="single" w:sz="4" w:space="0" w:color="auto"/>
              <w:right w:val="single" w:sz="4" w:space="0" w:color="auto"/>
            </w:tcBorders>
          </w:tcPr>
          <w:p w14:paraId="43DBC653" w14:textId="77777777" w:rsidR="00D619B4" w:rsidRPr="00987A3F" w:rsidRDefault="00D619B4" w:rsidP="001C13FB">
            <w:pPr>
              <w:jc w:val="center"/>
              <w:rPr>
                <w:b/>
                <w:bCs/>
                <w:i/>
                <w:lang w:eastAsia="sk-SK"/>
              </w:rPr>
            </w:pPr>
            <w:r>
              <w:rPr>
                <w:b/>
              </w:rPr>
              <w:t>664 360</w:t>
            </w:r>
          </w:p>
        </w:tc>
        <w:tc>
          <w:tcPr>
            <w:tcW w:w="2220" w:type="dxa"/>
            <w:tcBorders>
              <w:top w:val="nil"/>
              <w:left w:val="nil"/>
              <w:bottom w:val="single" w:sz="4" w:space="0" w:color="auto"/>
              <w:right w:val="single" w:sz="4" w:space="0" w:color="auto"/>
            </w:tcBorders>
            <w:noWrap/>
            <w:vAlign w:val="bottom"/>
          </w:tcPr>
          <w:p w14:paraId="615449BF" w14:textId="77777777" w:rsidR="00D619B4" w:rsidRPr="007D5748" w:rsidRDefault="00D619B4" w:rsidP="001C13FB">
            <w:pPr>
              <w:rPr>
                <w:lang w:eastAsia="sk-SK"/>
              </w:rPr>
            </w:pPr>
            <w:r w:rsidRPr="007D5748">
              <w:rPr>
                <w:lang w:eastAsia="sk-SK"/>
              </w:rPr>
              <w:t> </w:t>
            </w:r>
          </w:p>
        </w:tc>
      </w:tr>
      <w:tr w:rsidR="00D619B4" w:rsidRPr="007D5748" w14:paraId="0B5B8F11" w14:textId="77777777" w:rsidTr="001C13FB">
        <w:trPr>
          <w:trHeight w:val="255"/>
        </w:trPr>
        <w:tc>
          <w:tcPr>
            <w:tcW w:w="7070" w:type="dxa"/>
            <w:tcBorders>
              <w:top w:val="nil"/>
              <w:left w:val="single" w:sz="4" w:space="0" w:color="auto"/>
              <w:bottom w:val="single" w:sz="4" w:space="0" w:color="auto"/>
              <w:right w:val="single" w:sz="4" w:space="0" w:color="auto"/>
            </w:tcBorders>
          </w:tcPr>
          <w:p w14:paraId="41FD1164" w14:textId="77777777" w:rsidR="00D619B4" w:rsidRPr="007D5748" w:rsidRDefault="00D619B4" w:rsidP="001C13FB">
            <w:pPr>
              <w:rPr>
                <w:sz w:val="20"/>
                <w:szCs w:val="20"/>
                <w:lang w:eastAsia="sk-SK"/>
              </w:rPr>
            </w:pPr>
            <w:r w:rsidRPr="007D5748">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249103C5" w14:textId="77777777" w:rsidR="00D619B4" w:rsidRPr="000C290E" w:rsidRDefault="00D619B4" w:rsidP="001C13FB">
            <w:pPr>
              <w:jc w:val="center"/>
              <w:rPr>
                <w:b/>
                <w:bCs/>
                <w:sz w:val="20"/>
                <w:szCs w:val="20"/>
                <w:lang w:eastAsia="sk-SK"/>
              </w:rPr>
            </w:pPr>
            <w:r>
              <w:rPr>
                <w:b/>
              </w:rPr>
              <w:t>205 125</w:t>
            </w:r>
          </w:p>
        </w:tc>
        <w:tc>
          <w:tcPr>
            <w:tcW w:w="1540" w:type="dxa"/>
            <w:tcBorders>
              <w:top w:val="nil"/>
              <w:left w:val="nil"/>
              <w:bottom w:val="single" w:sz="4" w:space="0" w:color="auto"/>
              <w:right w:val="single" w:sz="4" w:space="0" w:color="auto"/>
            </w:tcBorders>
          </w:tcPr>
          <w:p w14:paraId="6A4A5942" w14:textId="77777777" w:rsidR="00D619B4" w:rsidRPr="0033082A" w:rsidRDefault="00D619B4" w:rsidP="001C13FB">
            <w:pPr>
              <w:jc w:val="center"/>
              <w:rPr>
                <w:b/>
                <w:bCs/>
                <w:sz w:val="20"/>
                <w:szCs w:val="20"/>
                <w:lang w:eastAsia="sk-SK"/>
              </w:rPr>
            </w:pPr>
            <w:r>
              <w:rPr>
                <w:b/>
              </w:rPr>
              <w:t>492 300</w:t>
            </w:r>
          </w:p>
        </w:tc>
        <w:tc>
          <w:tcPr>
            <w:tcW w:w="1540" w:type="dxa"/>
            <w:tcBorders>
              <w:top w:val="nil"/>
              <w:left w:val="nil"/>
              <w:bottom w:val="single" w:sz="4" w:space="0" w:color="auto"/>
              <w:right w:val="single" w:sz="4" w:space="0" w:color="auto"/>
            </w:tcBorders>
          </w:tcPr>
          <w:p w14:paraId="414F17C3" w14:textId="77777777" w:rsidR="00D619B4" w:rsidRPr="0033082A" w:rsidRDefault="00D619B4" w:rsidP="001C13FB">
            <w:pPr>
              <w:jc w:val="center"/>
              <w:rPr>
                <w:b/>
                <w:bCs/>
                <w:sz w:val="20"/>
                <w:szCs w:val="20"/>
                <w:lang w:eastAsia="sk-SK"/>
              </w:rPr>
            </w:pPr>
            <w:r>
              <w:rPr>
                <w:b/>
              </w:rPr>
              <w:t>492 300</w:t>
            </w:r>
          </w:p>
        </w:tc>
        <w:tc>
          <w:tcPr>
            <w:tcW w:w="1540" w:type="dxa"/>
            <w:tcBorders>
              <w:top w:val="nil"/>
              <w:left w:val="nil"/>
              <w:bottom w:val="single" w:sz="4" w:space="0" w:color="auto"/>
              <w:right w:val="single" w:sz="4" w:space="0" w:color="auto"/>
            </w:tcBorders>
          </w:tcPr>
          <w:p w14:paraId="124F6511" w14:textId="77777777" w:rsidR="00D619B4" w:rsidRPr="0033082A" w:rsidRDefault="00D619B4" w:rsidP="001C13FB">
            <w:pPr>
              <w:jc w:val="center"/>
              <w:rPr>
                <w:b/>
                <w:bCs/>
                <w:sz w:val="20"/>
                <w:szCs w:val="20"/>
                <w:lang w:eastAsia="sk-SK"/>
              </w:rPr>
            </w:pPr>
            <w:r>
              <w:rPr>
                <w:b/>
              </w:rPr>
              <w:t>492 300</w:t>
            </w:r>
          </w:p>
        </w:tc>
        <w:tc>
          <w:tcPr>
            <w:tcW w:w="2220" w:type="dxa"/>
            <w:tcBorders>
              <w:top w:val="nil"/>
              <w:left w:val="nil"/>
              <w:bottom w:val="single" w:sz="4" w:space="0" w:color="auto"/>
              <w:right w:val="single" w:sz="4" w:space="0" w:color="auto"/>
            </w:tcBorders>
            <w:noWrap/>
            <w:vAlign w:val="bottom"/>
          </w:tcPr>
          <w:p w14:paraId="0AE4ECC2" w14:textId="77777777" w:rsidR="00D619B4" w:rsidRPr="007D5748" w:rsidRDefault="00D619B4" w:rsidP="001C13FB">
            <w:pPr>
              <w:rPr>
                <w:lang w:eastAsia="sk-SK"/>
              </w:rPr>
            </w:pPr>
            <w:r w:rsidRPr="007D5748">
              <w:rPr>
                <w:lang w:eastAsia="sk-SK"/>
              </w:rPr>
              <w:t> </w:t>
            </w:r>
          </w:p>
        </w:tc>
      </w:tr>
      <w:tr w:rsidR="00D619B4" w:rsidRPr="007D5748" w14:paraId="668FA82A" w14:textId="77777777" w:rsidTr="001C13FB">
        <w:trPr>
          <w:trHeight w:val="255"/>
        </w:trPr>
        <w:tc>
          <w:tcPr>
            <w:tcW w:w="7070" w:type="dxa"/>
            <w:tcBorders>
              <w:top w:val="nil"/>
              <w:left w:val="single" w:sz="4" w:space="0" w:color="auto"/>
              <w:bottom w:val="single" w:sz="4" w:space="0" w:color="auto"/>
              <w:right w:val="single" w:sz="4" w:space="0" w:color="auto"/>
            </w:tcBorders>
          </w:tcPr>
          <w:p w14:paraId="528C48AE" w14:textId="77777777" w:rsidR="00D619B4" w:rsidRPr="007D5748" w:rsidRDefault="00D619B4" w:rsidP="001C13FB">
            <w:pPr>
              <w:rPr>
                <w:sz w:val="20"/>
                <w:szCs w:val="20"/>
                <w:vertAlign w:val="superscript"/>
                <w:lang w:eastAsia="sk-SK"/>
              </w:rPr>
            </w:pPr>
            <w:r w:rsidRPr="007D5748">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6ACD1C51" w14:textId="77777777" w:rsidR="00D619B4" w:rsidRPr="000C290E" w:rsidRDefault="00D619B4" w:rsidP="001C13FB">
            <w:pPr>
              <w:jc w:val="center"/>
              <w:rPr>
                <w:b/>
                <w:bCs/>
                <w:sz w:val="20"/>
                <w:szCs w:val="20"/>
                <w:lang w:eastAsia="sk-SK"/>
              </w:rPr>
            </w:pPr>
            <w:r>
              <w:rPr>
                <w:b/>
              </w:rPr>
              <w:t>71 693</w:t>
            </w:r>
          </w:p>
        </w:tc>
        <w:tc>
          <w:tcPr>
            <w:tcW w:w="1540" w:type="dxa"/>
            <w:tcBorders>
              <w:top w:val="nil"/>
              <w:left w:val="nil"/>
              <w:bottom w:val="single" w:sz="4" w:space="0" w:color="auto"/>
              <w:right w:val="single" w:sz="4" w:space="0" w:color="auto"/>
            </w:tcBorders>
          </w:tcPr>
          <w:p w14:paraId="59C438D9" w14:textId="77777777" w:rsidR="00D619B4" w:rsidRPr="0033082A" w:rsidRDefault="00D619B4" w:rsidP="001C13FB">
            <w:pPr>
              <w:jc w:val="center"/>
              <w:rPr>
                <w:b/>
                <w:bCs/>
                <w:sz w:val="20"/>
                <w:szCs w:val="20"/>
                <w:lang w:eastAsia="sk-SK"/>
              </w:rPr>
            </w:pPr>
            <w:r>
              <w:rPr>
                <w:b/>
              </w:rPr>
              <w:t>172 060</w:t>
            </w:r>
          </w:p>
        </w:tc>
        <w:tc>
          <w:tcPr>
            <w:tcW w:w="1540" w:type="dxa"/>
            <w:tcBorders>
              <w:top w:val="nil"/>
              <w:left w:val="nil"/>
              <w:bottom w:val="single" w:sz="4" w:space="0" w:color="auto"/>
              <w:right w:val="single" w:sz="4" w:space="0" w:color="auto"/>
            </w:tcBorders>
          </w:tcPr>
          <w:p w14:paraId="57C5CC8D" w14:textId="77777777" w:rsidR="00D619B4" w:rsidRPr="0033082A" w:rsidRDefault="00D619B4" w:rsidP="001C13FB">
            <w:pPr>
              <w:jc w:val="center"/>
              <w:rPr>
                <w:b/>
                <w:bCs/>
                <w:sz w:val="20"/>
                <w:szCs w:val="20"/>
                <w:lang w:eastAsia="sk-SK"/>
              </w:rPr>
            </w:pPr>
            <w:r>
              <w:rPr>
                <w:b/>
              </w:rPr>
              <w:t>172 060</w:t>
            </w:r>
          </w:p>
        </w:tc>
        <w:tc>
          <w:tcPr>
            <w:tcW w:w="1540" w:type="dxa"/>
            <w:tcBorders>
              <w:top w:val="nil"/>
              <w:left w:val="nil"/>
              <w:bottom w:val="single" w:sz="4" w:space="0" w:color="auto"/>
              <w:right w:val="single" w:sz="4" w:space="0" w:color="auto"/>
            </w:tcBorders>
          </w:tcPr>
          <w:p w14:paraId="5A451064" w14:textId="77777777" w:rsidR="00D619B4" w:rsidRPr="0033082A" w:rsidRDefault="00D619B4" w:rsidP="001C13FB">
            <w:pPr>
              <w:jc w:val="center"/>
              <w:rPr>
                <w:b/>
                <w:bCs/>
                <w:sz w:val="20"/>
                <w:szCs w:val="20"/>
                <w:lang w:eastAsia="sk-SK"/>
              </w:rPr>
            </w:pPr>
            <w:r>
              <w:rPr>
                <w:b/>
              </w:rPr>
              <w:t>172 060</w:t>
            </w:r>
          </w:p>
        </w:tc>
        <w:tc>
          <w:tcPr>
            <w:tcW w:w="2220" w:type="dxa"/>
            <w:tcBorders>
              <w:top w:val="nil"/>
              <w:left w:val="nil"/>
              <w:bottom w:val="single" w:sz="4" w:space="0" w:color="auto"/>
              <w:right w:val="single" w:sz="4" w:space="0" w:color="auto"/>
            </w:tcBorders>
            <w:noWrap/>
            <w:vAlign w:val="bottom"/>
          </w:tcPr>
          <w:p w14:paraId="2692BDFF" w14:textId="77777777" w:rsidR="00D619B4" w:rsidRPr="007D5748" w:rsidRDefault="00D619B4" w:rsidP="001C13FB">
            <w:pPr>
              <w:rPr>
                <w:lang w:eastAsia="sk-SK"/>
              </w:rPr>
            </w:pPr>
            <w:r w:rsidRPr="007D5748">
              <w:rPr>
                <w:lang w:eastAsia="sk-SK"/>
              </w:rPr>
              <w:t> </w:t>
            </w:r>
          </w:p>
        </w:tc>
      </w:tr>
      <w:tr w:rsidR="00D619B4" w:rsidRPr="007D5748" w14:paraId="29D2012E" w14:textId="77777777" w:rsidTr="001C13FB">
        <w:trPr>
          <w:trHeight w:val="255"/>
        </w:trPr>
        <w:tc>
          <w:tcPr>
            <w:tcW w:w="7070" w:type="dxa"/>
            <w:tcBorders>
              <w:top w:val="nil"/>
              <w:left w:val="single" w:sz="4" w:space="0" w:color="auto"/>
              <w:bottom w:val="single" w:sz="4" w:space="0" w:color="auto"/>
              <w:right w:val="single" w:sz="4" w:space="0" w:color="auto"/>
            </w:tcBorders>
          </w:tcPr>
          <w:p w14:paraId="30334CDE" w14:textId="77777777" w:rsidR="00D619B4" w:rsidRPr="007D5748" w:rsidRDefault="00D619B4" w:rsidP="001C13FB">
            <w:pPr>
              <w:rPr>
                <w:sz w:val="20"/>
                <w:szCs w:val="20"/>
                <w:vertAlign w:val="superscript"/>
                <w:lang w:eastAsia="sk-SK"/>
              </w:rPr>
            </w:pPr>
            <w:r w:rsidRPr="007D5748">
              <w:rPr>
                <w:sz w:val="20"/>
                <w:szCs w:val="20"/>
                <w:lang w:eastAsia="sk-SK"/>
              </w:rPr>
              <w:t xml:space="preserve">  Tovary a služby (630)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3B18B2EC"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3D94CC25"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10687B11"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1345E391"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7B37E17A" w14:textId="77777777" w:rsidR="00D619B4" w:rsidRPr="007D5748" w:rsidRDefault="00D619B4" w:rsidP="001C13FB">
            <w:pPr>
              <w:rPr>
                <w:lang w:eastAsia="sk-SK"/>
              </w:rPr>
            </w:pPr>
            <w:r w:rsidRPr="007D5748">
              <w:rPr>
                <w:lang w:eastAsia="sk-SK"/>
              </w:rPr>
              <w:t> </w:t>
            </w:r>
          </w:p>
        </w:tc>
      </w:tr>
      <w:tr w:rsidR="00D619B4" w:rsidRPr="007D5748" w14:paraId="4DB2DE37" w14:textId="77777777" w:rsidTr="001C13FB">
        <w:trPr>
          <w:trHeight w:val="255"/>
        </w:trPr>
        <w:tc>
          <w:tcPr>
            <w:tcW w:w="7070" w:type="dxa"/>
            <w:tcBorders>
              <w:top w:val="nil"/>
              <w:left w:val="single" w:sz="4" w:space="0" w:color="auto"/>
              <w:bottom w:val="single" w:sz="4" w:space="0" w:color="auto"/>
              <w:right w:val="single" w:sz="4" w:space="0" w:color="auto"/>
            </w:tcBorders>
          </w:tcPr>
          <w:p w14:paraId="7883FEED" w14:textId="77777777" w:rsidR="00D619B4" w:rsidRPr="007D5748" w:rsidRDefault="00D619B4" w:rsidP="001C13FB">
            <w:pPr>
              <w:rPr>
                <w:sz w:val="20"/>
                <w:szCs w:val="20"/>
                <w:lang w:eastAsia="sk-SK"/>
              </w:rPr>
            </w:pPr>
            <w:r w:rsidRPr="007D5748">
              <w:rPr>
                <w:sz w:val="20"/>
                <w:szCs w:val="20"/>
                <w:lang w:eastAsia="sk-SK"/>
              </w:rPr>
              <w:t xml:space="preserve">  Bežné transfery (640)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7AD7B34B"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0064559"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B9F3FF9"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376608BA"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6069962B" w14:textId="77777777" w:rsidR="00D619B4" w:rsidRPr="007D5748" w:rsidRDefault="00D619B4" w:rsidP="001C13FB">
            <w:pPr>
              <w:rPr>
                <w:lang w:eastAsia="sk-SK"/>
              </w:rPr>
            </w:pPr>
            <w:r w:rsidRPr="007D5748">
              <w:rPr>
                <w:lang w:eastAsia="sk-SK"/>
              </w:rPr>
              <w:t> </w:t>
            </w:r>
          </w:p>
        </w:tc>
      </w:tr>
      <w:tr w:rsidR="00D619B4" w:rsidRPr="007D5748" w14:paraId="3EBC39C9" w14:textId="77777777" w:rsidTr="001C13FB">
        <w:trPr>
          <w:trHeight w:val="255"/>
        </w:trPr>
        <w:tc>
          <w:tcPr>
            <w:tcW w:w="7070" w:type="dxa"/>
            <w:tcBorders>
              <w:top w:val="nil"/>
              <w:left w:val="single" w:sz="4" w:space="0" w:color="auto"/>
              <w:bottom w:val="single" w:sz="4" w:space="0" w:color="auto"/>
              <w:right w:val="single" w:sz="4" w:space="0" w:color="auto"/>
            </w:tcBorders>
            <w:vAlign w:val="center"/>
          </w:tcPr>
          <w:p w14:paraId="6203C1B7" w14:textId="77777777" w:rsidR="00D619B4" w:rsidRPr="007D5748" w:rsidRDefault="00D619B4" w:rsidP="001C13FB">
            <w:pPr>
              <w:rPr>
                <w:sz w:val="20"/>
                <w:szCs w:val="20"/>
                <w:lang w:eastAsia="sk-SK"/>
              </w:rPr>
            </w:pPr>
            <w:r w:rsidRPr="007D5748">
              <w:rPr>
                <w:sz w:val="20"/>
                <w:szCs w:val="20"/>
                <w:lang w:eastAsia="sk-SK"/>
              </w:rPr>
              <w:t xml:space="preserve">  Splácanie úrokov a ostatné platby súvisiace s </w:t>
            </w:r>
            <w:r>
              <w:t xml:space="preserve"> </w:t>
            </w:r>
            <w:r w:rsidRPr="008D339D">
              <w:rPr>
                <w:sz w:val="20"/>
                <w:szCs w:val="20"/>
                <w:lang w:eastAsia="sk-SK"/>
              </w:rPr>
              <w:t>úverom, pôžičkou, návratnou finančnou výpomocou a finančným prenájmom</w:t>
            </w:r>
            <w:r w:rsidRPr="007D5748">
              <w:rPr>
                <w:sz w:val="20"/>
                <w:szCs w:val="20"/>
                <w:lang w:eastAsia="sk-SK"/>
              </w:rPr>
              <w:t xml:space="preserve"> (650)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452B6C3C"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DE42313"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4224B3F"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52AD8455"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65BA7F8D" w14:textId="77777777" w:rsidR="00D619B4" w:rsidRPr="007D5748" w:rsidRDefault="00D619B4" w:rsidP="001C13FB">
            <w:pPr>
              <w:rPr>
                <w:lang w:eastAsia="sk-SK"/>
              </w:rPr>
            </w:pPr>
          </w:p>
        </w:tc>
      </w:tr>
      <w:tr w:rsidR="00D619B4" w:rsidRPr="007D5748" w14:paraId="214D8245" w14:textId="77777777" w:rsidTr="001C13FB">
        <w:trPr>
          <w:trHeight w:val="255"/>
        </w:trPr>
        <w:tc>
          <w:tcPr>
            <w:tcW w:w="7070" w:type="dxa"/>
            <w:tcBorders>
              <w:top w:val="nil"/>
              <w:left w:val="single" w:sz="4" w:space="0" w:color="auto"/>
              <w:bottom w:val="single" w:sz="4" w:space="0" w:color="auto"/>
              <w:right w:val="single" w:sz="4" w:space="0" w:color="auto"/>
            </w:tcBorders>
          </w:tcPr>
          <w:p w14:paraId="5601ADA2" w14:textId="77777777" w:rsidR="00D619B4" w:rsidRPr="007D5748" w:rsidRDefault="00D619B4" w:rsidP="001C13FB">
            <w:pPr>
              <w:rPr>
                <w:b/>
                <w:bCs/>
                <w:sz w:val="20"/>
                <w:szCs w:val="20"/>
                <w:lang w:eastAsia="sk-SK"/>
              </w:rPr>
            </w:pPr>
            <w:r w:rsidRPr="007D5748">
              <w:rPr>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196F02FC" w14:textId="77777777" w:rsidR="00D619B4" w:rsidRPr="000C290E"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52D23CEF"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66789049"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tcPr>
          <w:p w14:paraId="3A443D33" w14:textId="77777777" w:rsidR="00D619B4" w:rsidRPr="0033082A" w:rsidRDefault="00D619B4" w:rsidP="001C13FB">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66ECB0F5" w14:textId="77777777" w:rsidR="00D619B4" w:rsidRPr="007D5748" w:rsidRDefault="00D619B4" w:rsidP="001C13FB">
            <w:pPr>
              <w:rPr>
                <w:lang w:eastAsia="sk-SK"/>
              </w:rPr>
            </w:pPr>
            <w:r w:rsidRPr="007D5748">
              <w:rPr>
                <w:lang w:eastAsia="sk-SK"/>
              </w:rPr>
              <w:t> </w:t>
            </w:r>
          </w:p>
        </w:tc>
      </w:tr>
      <w:tr w:rsidR="00D619B4" w:rsidRPr="007D5748" w14:paraId="16383CAB" w14:textId="77777777" w:rsidTr="001C13FB">
        <w:trPr>
          <w:trHeight w:val="255"/>
        </w:trPr>
        <w:tc>
          <w:tcPr>
            <w:tcW w:w="7070" w:type="dxa"/>
            <w:tcBorders>
              <w:top w:val="nil"/>
              <w:left w:val="single" w:sz="4" w:space="0" w:color="auto"/>
              <w:bottom w:val="single" w:sz="4" w:space="0" w:color="auto"/>
              <w:right w:val="single" w:sz="4" w:space="0" w:color="auto"/>
            </w:tcBorders>
          </w:tcPr>
          <w:p w14:paraId="358B4DAF" w14:textId="77777777" w:rsidR="00D619B4" w:rsidRPr="007D5748" w:rsidRDefault="00D619B4" w:rsidP="001C13FB">
            <w:pPr>
              <w:rPr>
                <w:sz w:val="20"/>
                <w:szCs w:val="20"/>
                <w:lang w:eastAsia="sk-SK"/>
              </w:rPr>
            </w:pPr>
            <w:r w:rsidRPr="007D5748">
              <w:rPr>
                <w:sz w:val="20"/>
                <w:szCs w:val="20"/>
                <w:lang w:eastAsia="sk-SK"/>
              </w:rPr>
              <w:t xml:space="preserve">  Obstarávanie kapitálových aktív (710)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3C300A64"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1A0B73AD"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461630D"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6721D432"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17D66047" w14:textId="77777777" w:rsidR="00D619B4" w:rsidRPr="007D5748" w:rsidRDefault="00D619B4" w:rsidP="001C13FB">
            <w:pPr>
              <w:rPr>
                <w:lang w:eastAsia="sk-SK"/>
              </w:rPr>
            </w:pPr>
            <w:r w:rsidRPr="007D5748">
              <w:rPr>
                <w:lang w:eastAsia="sk-SK"/>
              </w:rPr>
              <w:t> </w:t>
            </w:r>
          </w:p>
        </w:tc>
      </w:tr>
      <w:tr w:rsidR="00D619B4" w:rsidRPr="007D5748" w14:paraId="5183A387" w14:textId="77777777" w:rsidTr="001C13FB">
        <w:trPr>
          <w:trHeight w:val="255"/>
        </w:trPr>
        <w:tc>
          <w:tcPr>
            <w:tcW w:w="7070" w:type="dxa"/>
            <w:tcBorders>
              <w:top w:val="nil"/>
              <w:left w:val="single" w:sz="4" w:space="0" w:color="auto"/>
              <w:bottom w:val="single" w:sz="4" w:space="0" w:color="auto"/>
              <w:right w:val="single" w:sz="4" w:space="0" w:color="auto"/>
            </w:tcBorders>
          </w:tcPr>
          <w:p w14:paraId="067C1A6E" w14:textId="77777777" w:rsidR="00D619B4" w:rsidRPr="007D5748" w:rsidRDefault="00D619B4" w:rsidP="001C13FB">
            <w:pPr>
              <w:rPr>
                <w:sz w:val="20"/>
                <w:szCs w:val="20"/>
                <w:lang w:eastAsia="sk-SK"/>
              </w:rPr>
            </w:pPr>
            <w:r w:rsidRPr="007D5748">
              <w:rPr>
                <w:sz w:val="20"/>
                <w:szCs w:val="20"/>
                <w:lang w:eastAsia="sk-SK"/>
              </w:rPr>
              <w:t xml:space="preserve">  Kapitálové transfery (720)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620EAB2D" w14:textId="77777777" w:rsidR="00D619B4" w:rsidRPr="000C290E"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67C9C68B"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42D2C399" w14:textId="77777777" w:rsidR="00D619B4" w:rsidRPr="00B05A3C" w:rsidRDefault="00D619B4" w:rsidP="001C13FB">
            <w:pPr>
              <w:jc w:val="center"/>
              <w:rPr>
                <w:b/>
                <w:sz w:val="20"/>
                <w:szCs w:val="20"/>
                <w:lang w:eastAsia="sk-SK"/>
              </w:rPr>
            </w:pPr>
          </w:p>
        </w:tc>
        <w:tc>
          <w:tcPr>
            <w:tcW w:w="1540" w:type="dxa"/>
            <w:tcBorders>
              <w:top w:val="nil"/>
              <w:left w:val="nil"/>
              <w:bottom w:val="single" w:sz="4" w:space="0" w:color="auto"/>
              <w:right w:val="single" w:sz="4" w:space="0" w:color="auto"/>
            </w:tcBorders>
          </w:tcPr>
          <w:p w14:paraId="2AA69D26" w14:textId="77777777" w:rsidR="00D619B4" w:rsidRPr="00B05A3C" w:rsidRDefault="00D619B4" w:rsidP="001C13FB">
            <w:pPr>
              <w:jc w:val="center"/>
              <w:rPr>
                <w:b/>
                <w:lang w:eastAsia="sk-SK"/>
              </w:rPr>
            </w:pPr>
          </w:p>
        </w:tc>
        <w:tc>
          <w:tcPr>
            <w:tcW w:w="2220" w:type="dxa"/>
            <w:tcBorders>
              <w:top w:val="nil"/>
              <w:left w:val="nil"/>
              <w:bottom w:val="single" w:sz="4" w:space="0" w:color="auto"/>
              <w:right w:val="single" w:sz="4" w:space="0" w:color="auto"/>
            </w:tcBorders>
            <w:noWrap/>
            <w:vAlign w:val="bottom"/>
          </w:tcPr>
          <w:p w14:paraId="54E7891B" w14:textId="77777777" w:rsidR="00D619B4" w:rsidRPr="007D5748" w:rsidRDefault="00D619B4" w:rsidP="001C13FB">
            <w:pPr>
              <w:rPr>
                <w:lang w:eastAsia="sk-SK"/>
              </w:rPr>
            </w:pPr>
            <w:r w:rsidRPr="007D5748">
              <w:rPr>
                <w:lang w:eastAsia="sk-SK"/>
              </w:rPr>
              <w:t> </w:t>
            </w:r>
          </w:p>
        </w:tc>
      </w:tr>
      <w:tr w:rsidR="00D619B4" w:rsidRPr="007D5748" w14:paraId="3B4D078B" w14:textId="77777777" w:rsidTr="001C13FB">
        <w:trPr>
          <w:trHeight w:val="255"/>
        </w:trPr>
        <w:tc>
          <w:tcPr>
            <w:tcW w:w="7070" w:type="dxa"/>
            <w:tcBorders>
              <w:top w:val="nil"/>
              <w:left w:val="single" w:sz="4" w:space="0" w:color="auto"/>
              <w:bottom w:val="single" w:sz="4" w:space="0" w:color="auto"/>
              <w:right w:val="single" w:sz="4" w:space="0" w:color="auto"/>
            </w:tcBorders>
          </w:tcPr>
          <w:p w14:paraId="42256043" w14:textId="77777777" w:rsidR="00D619B4" w:rsidRPr="007D5748" w:rsidRDefault="00D619B4" w:rsidP="001C13FB">
            <w:pPr>
              <w:rPr>
                <w:b/>
                <w:bCs/>
                <w:sz w:val="20"/>
                <w:szCs w:val="20"/>
                <w:lang w:eastAsia="sk-SK"/>
              </w:rPr>
            </w:pPr>
            <w:r w:rsidRPr="007D5748">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2EEACB99" w14:textId="77777777" w:rsidR="00D619B4" w:rsidRPr="000C290E"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00917D95"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688B7E2A" w14:textId="77777777" w:rsidR="00D619B4" w:rsidRPr="0033082A" w:rsidRDefault="00D619B4" w:rsidP="001C13F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14:paraId="4A740493" w14:textId="77777777" w:rsidR="00D619B4" w:rsidRPr="0033082A" w:rsidRDefault="00D619B4" w:rsidP="001C13FB">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5FE04F3F" w14:textId="77777777" w:rsidR="00D619B4" w:rsidRPr="007D5748" w:rsidRDefault="00D619B4" w:rsidP="001C13FB">
            <w:pPr>
              <w:rPr>
                <w:lang w:eastAsia="sk-SK"/>
              </w:rPr>
            </w:pPr>
            <w:r w:rsidRPr="007D5748">
              <w:rPr>
                <w:lang w:eastAsia="sk-SK"/>
              </w:rPr>
              <w:t> </w:t>
            </w:r>
          </w:p>
        </w:tc>
      </w:tr>
      <w:tr w:rsidR="00D619B4" w:rsidRPr="007D5748" w14:paraId="0995C077" w14:textId="77777777" w:rsidTr="001C13F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27294E" w14:textId="77777777" w:rsidR="00D619B4" w:rsidRPr="007D5748" w:rsidRDefault="00D619B4" w:rsidP="001C13FB">
            <w:pPr>
              <w:rPr>
                <w:b/>
                <w:bCs/>
                <w:sz w:val="20"/>
                <w:szCs w:val="20"/>
                <w:lang w:eastAsia="sk-SK"/>
              </w:rPr>
            </w:pPr>
            <w:r w:rsidRPr="007D5748">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A684598" w14:textId="77777777" w:rsidR="00D619B4" w:rsidRPr="000C290E" w:rsidRDefault="00D619B4" w:rsidP="001C13FB">
            <w:pPr>
              <w:jc w:val="center"/>
              <w:rPr>
                <w:b/>
                <w:bCs/>
                <w:sz w:val="20"/>
                <w:szCs w:val="20"/>
                <w:lang w:eastAsia="sk-SK"/>
              </w:rPr>
            </w:pPr>
            <w:r>
              <w:rPr>
                <w:b/>
              </w:rPr>
              <w:t>276 818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D428ACC" w14:textId="77777777" w:rsidR="00D619B4" w:rsidRPr="0033082A" w:rsidRDefault="00D619B4" w:rsidP="001C13FB">
            <w:pPr>
              <w:jc w:val="center"/>
              <w:rPr>
                <w:b/>
                <w:bCs/>
                <w:sz w:val="20"/>
                <w:szCs w:val="20"/>
                <w:lang w:eastAsia="sk-SK"/>
              </w:rPr>
            </w:pPr>
            <w:r>
              <w:rPr>
                <w:b/>
              </w:rPr>
              <w:t>664 360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CD37EE3" w14:textId="77777777" w:rsidR="00D619B4" w:rsidRPr="0033082A" w:rsidRDefault="00D619B4" w:rsidP="001C13FB">
            <w:pPr>
              <w:jc w:val="center"/>
              <w:rPr>
                <w:b/>
                <w:bCs/>
                <w:sz w:val="20"/>
                <w:szCs w:val="20"/>
                <w:lang w:eastAsia="sk-SK"/>
              </w:rPr>
            </w:pPr>
            <w:r>
              <w:rPr>
                <w:b/>
              </w:rPr>
              <w:t>664 360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8B7AEF3" w14:textId="77777777" w:rsidR="00D619B4" w:rsidRPr="0033082A" w:rsidRDefault="00D619B4" w:rsidP="001C13FB">
            <w:pPr>
              <w:jc w:val="center"/>
              <w:rPr>
                <w:b/>
                <w:bCs/>
                <w:lang w:eastAsia="sk-SK"/>
              </w:rPr>
            </w:pPr>
            <w:r>
              <w:rPr>
                <w:b/>
              </w:rPr>
              <w:t>664 360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9BF43B9" w14:textId="77777777" w:rsidR="00D619B4" w:rsidRPr="007D5748" w:rsidRDefault="00D619B4" w:rsidP="001C13FB">
            <w:pPr>
              <w:rPr>
                <w:lang w:eastAsia="sk-SK"/>
              </w:rPr>
            </w:pPr>
            <w:r w:rsidRPr="007D5748">
              <w:rPr>
                <w:lang w:eastAsia="sk-SK"/>
              </w:rPr>
              <w:t> </w:t>
            </w:r>
          </w:p>
        </w:tc>
      </w:tr>
    </w:tbl>
    <w:p w14:paraId="510547CE" w14:textId="77777777" w:rsidR="00D619B4" w:rsidRPr="007D5748" w:rsidRDefault="00D619B4" w:rsidP="00D619B4">
      <w:pPr>
        <w:tabs>
          <w:tab w:val="num" w:pos="1080"/>
        </w:tabs>
        <w:ind w:left="-900"/>
        <w:jc w:val="both"/>
        <w:rPr>
          <w:bCs/>
          <w:sz w:val="20"/>
          <w:szCs w:val="20"/>
          <w:lang w:eastAsia="sk-SK"/>
        </w:rPr>
      </w:pPr>
      <w:r w:rsidRPr="007D5748">
        <w:rPr>
          <w:bCs/>
          <w:sz w:val="20"/>
          <w:szCs w:val="20"/>
          <w:lang w:eastAsia="sk-SK"/>
        </w:rPr>
        <w:t>2 –  výdavky rozpísať až do položiek platnej ekonomickej klasifikácie</w:t>
      </w:r>
    </w:p>
    <w:p w14:paraId="52A09AFA" w14:textId="77777777" w:rsidR="00D619B4" w:rsidRPr="007D5748" w:rsidRDefault="00D619B4" w:rsidP="00D619B4">
      <w:pPr>
        <w:tabs>
          <w:tab w:val="num" w:pos="1080"/>
        </w:tabs>
        <w:ind w:left="-900"/>
        <w:jc w:val="both"/>
        <w:rPr>
          <w:bCs/>
          <w:szCs w:val="20"/>
          <w:lang w:eastAsia="sk-SK"/>
        </w:rPr>
      </w:pPr>
    </w:p>
    <w:p w14:paraId="76664D4C" w14:textId="77777777" w:rsidR="00D619B4" w:rsidRPr="007D5748" w:rsidRDefault="00D619B4" w:rsidP="00D619B4">
      <w:pPr>
        <w:tabs>
          <w:tab w:val="num" w:pos="1080"/>
        </w:tabs>
        <w:ind w:left="-900"/>
        <w:jc w:val="both"/>
        <w:rPr>
          <w:b/>
          <w:bCs/>
          <w:sz w:val="20"/>
          <w:szCs w:val="20"/>
          <w:lang w:eastAsia="sk-SK"/>
        </w:rPr>
      </w:pPr>
      <w:r w:rsidRPr="007D5748">
        <w:rPr>
          <w:b/>
          <w:bCs/>
          <w:szCs w:val="20"/>
          <w:lang w:eastAsia="sk-SK"/>
        </w:rPr>
        <w:t>Poznámka:</w:t>
      </w:r>
    </w:p>
    <w:p w14:paraId="4DB04CB4" w14:textId="77777777" w:rsidR="00D619B4" w:rsidRPr="007D5748" w:rsidRDefault="00D619B4" w:rsidP="00D619B4">
      <w:pPr>
        <w:tabs>
          <w:tab w:val="num" w:pos="1080"/>
        </w:tabs>
        <w:ind w:left="-900"/>
        <w:jc w:val="both"/>
        <w:rPr>
          <w:bCs/>
          <w:sz w:val="20"/>
          <w:szCs w:val="20"/>
          <w:lang w:eastAsia="sk-SK"/>
        </w:rPr>
      </w:pPr>
      <w:r w:rsidRPr="007D5748">
        <w:rPr>
          <w:bCs/>
          <w:szCs w:val="20"/>
          <w:lang w:eastAsia="sk-SK"/>
        </w:rPr>
        <w:t>Ak sa vplyv týka viacerých subjektov verejnej správy, vypĺňa sa samostatná tabuľka za každý subjekt.</w:t>
      </w:r>
    </w:p>
    <w:p w14:paraId="7F7B6509" w14:textId="77777777" w:rsidR="00D619B4" w:rsidRPr="007D5748" w:rsidRDefault="00D619B4" w:rsidP="00D619B4">
      <w:pPr>
        <w:tabs>
          <w:tab w:val="num" w:pos="1080"/>
        </w:tabs>
        <w:ind w:left="-900"/>
        <w:jc w:val="both"/>
        <w:rPr>
          <w:bCs/>
          <w:sz w:val="20"/>
          <w:szCs w:val="20"/>
          <w:lang w:eastAsia="sk-SK"/>
        </w:rPr>
      </w:pPr>
    </w:p>
    <w:p w14:paraId="3BE00DB2" w14:textId="77777777" w:rsidR="00D619B4" w:rsidRDefault="00D619B4" w:rsidP="00D619B4">
      <w:pPr>
        <w:tabs>
          <w:tab w:val="num" w:pos="1080"/>
        </w:tabs>
        <w:ind w:left="-900"/>
        <w:jc w:val="both"/>
        <w:rPr>
          <w:bCs/>
          <w:sz w:val="20"/>
          <w:szCs w:val="20"/>
          <w:lang w:eastAsia="sk-SK"/>
        </w:rPr>
      </w:pPr>
    </w:p>
    <w:p w14:paraId="1D7A3038" w14:textId="77777777" w:rsidR="00D619B4" w:rsidRDefault="00D619B4" w:rsidP="00D619B4">
      <w:pPr>
        <w:tabs>
          <w:tab w:val="num" w:pos="1080"/>
        </w:tabs>
        <w:ind w:left="-900"/>
        <w:jc w:val="both"/>
        <w:rPr>
          <w:bCs/>
          <w:sz w:val="20"/>
          <w:szCs w:val="20"/>
          <w:lang w:eastAsia="sk-SK"/>
        </w:rPr>
      </w:pPr>
    </w:p>
    <w:p w14:paraId="7398A3EA" w14:textId="77777777" w:rsidR="00D619B4" w:rsidRPr="007D5748" w:rsidRDefault="00D619B4" w:rsidP="00D619B4">
      <w:pPr>
        <w:tabs>
          <w:tab w:val="num" w:pos="1080"/>
        </w:tabs>
        <w:ind w:left="-900"/>
        <w:jc w:val="both"/>
        <w:rPr>
          <w:bCs/>
          <w:sz w:val="20"/>
          <w:szCs w:val="20"/>
          <w:lang w:eastAsia="sk-SK"/>
        </w:rPr>
      </w:pPr>
    </w:p>
    <w:p w14:paraId="41D54477" w14:textId="77777777" w:rsidR="00D619B4" w:rsidRPr="007D5748" w:rsidRDefault="00D619B4" w:rsidP="00D619B4">
      <w:pPr>
        <w:tabs>
          <w:tab w:val="num" w:pos="1080"/>
        </w:tabs>
        <w:ind w:left="-900"/>
        <w:jc w:val="both"/>
        <w:rPr>
          <w:bCs/>
          <w:sz w:val="20"/>
          <w:szCs w:val="20"/>
          <w:lang w:eastAsia="sk-SK"/>
        </w:rPr>
      </w:pPr>
    </w:p>
    <w:p w14:paraId="2DB057D5" w14:textId="77777777" w:rsidR="00D619B4" w:rsidRDefault="00D619B4" w:rsidP="00D619B4">
      <w:pPr>
        <w:tabs>
          <w:tab w:val="num" w:pos="1080"/>
        </w:tabs>
        <w:jc w:val="right"/>
        <w:rPr>
          <w:bCs/>
          <w:lang w:eastAsia="sk-SK"/>
        </w:rPr>
      </w:pPr>
      <w:r w:rsidRPr="007D5748">
        <w:rPr>
          <w:bCs/>
          <w:lang w:eastAsia="sk-SK"/>
        </w:rPr>
        <w:t xml:space="preserve">                 </w:t>
      </w:r>
    </w:p>
    <w:p w14:paraId="61264E9C" w14:textId="77777777" w:rsidR="00D619B4" w:rsidRDefault="00D619B4" w:rsidP="00D619B4">
      <w:pPr>
        <w:rPr>
          <w:bCs/>
          <w:lang w:eastAsia="sk-SK"/>
        </w:rPr>
      </w:pPr>
      <w:r>
        <w:rPr>
          <w:bCs/>
          <w:lang w:eastAsia="sk-SK"/>
        </w:rPr>
        <w:br w:type="page"/>
      </w:r>
    </w:p>
    <w:p w14:paraId="15A29469" w14:textId="77777777" w:rsidR="00D619B4" w:rsidRDefault="00D619B4" w:rsidP="00D619B4">
      <w:pPr>
        <w:tabs>
          <w:tab w:val="num" w:pos="1080"/>
        </w:tabs>
        <w:jc w:val="right"/>
        <w:rPr>
          <w:bCs/>
          <w:lang w:eastAsia="sk-SK"/>
        </w:rPr>
      </w:pPr>
      <w:r w:rsidRPr="007D5748">
        <w:rPr>
          <w:bCs/>
          <w:lang w:eastAsia="sk-SK"/>
        </w:rPr>
        <w:t xml:space="preserve">Tabuľka č. </w:t>
      </w:r>
      <w:r>
        <w:rPr>
          <w:bCs/>
          <w:lang w:eastAsia="sk-SK"/>
        </w:rPr>
        <w:t>7</w:t>
      </w:r>
      <w:r w:rsidRPr="007D5748">
        <w:rPr>
          <w:bCs/>
          <w:lang w:eastAsia="sk-SK"/>
        </w:rPr>
        <w:t xml:space="preserve"> </w:t>
      </w:r>
    </w:p>
    <w:p w14:paraId="19243C8A" w14:textId="77777777" w:rsidR="00D619B4" w:rsidRPr="007D5748" w:rsidRDefault="00D619B4" w:rsidP="00D619B4">
      <w:pPr>
        <w:tabs>
          <w:tab w:val="num" w:pos="1080"/>
        </w:tabs>
        <w:jc w:val="right"/>
        <w:rPr>
          <w:bCs/>
          <w:lang w:eastAsia="sk-SK"/>
        </w:rPr>
      </w:pPr>
      <w:r w:rsidRPr="00FA364E">
        <w:rPr>
          <w:bCs/>
          <w:lang w:eastAsia="sk-SK"/>
        </w:rPr>
        <w:t>Ministerstvo investícií, regionálneho rozvoja a informatizácie SR</w:t>
      </w:r>
    </w:p>
    <w:p w14:paraId="1E333D0C" w14:textId="77777777" w:rsidR="00D619B4" w:rsidRDefault="00D619B4" w:rsidP="00D619B4">
      <w:pPr>
        <w:tabs>
          <w:tab w:val="num" w:pos="1080"/>
        </w:tabs>
        <w:jc w:val="both"/>
        <w:rPr>
          <w:bCs/>
          <w:szCs w:val="20"/>
          <w:lang w:eastAsia="sk-SK"/>
        </w:rPr>
      </w:pPr>
      <w:r>
        <w:rPr>
          <w:bCs/>
          <w:szCs w:val="20"/>
          <w:lang w:eastAsia="sk-SK"/>
        </w:rPr>
        <w:t>Ministerstvo investícií, regionálneho rozvoja a informatizácie SR</w:t>
      </w:r>
    </w:p>
    <w:p w14:paraId="2EB9B0B4" w14:textId="77777777" w:rsidR="00D619B4" w:rsidRPr="007D5748" w:rsidRDefault="00D619B4" w:rsidP="00D619B4">
      <w:pPr>
        <w:tabs>
          <w:tab w:val="num" w:pos="1080"/>
        </w:tabs>
        <w:jc w:val="both"/>
        <w:rPr>
          <w:bCs/>
          <w:szCs w:val="20"/>
          <w:lang w:eastAsia="sk-SK"/>
        </w:rPr>
      </w:pPr>
    </w:p>
    <w:tbl>
      <w:tblPr>
        <w:tblW w:w="18255" w:type="dxa"/>
        <w:tblInd w:w="-784" w:type="dxa"/>
        <w:tblCellMar>
          <w:left w:w="70" w:type="dxa"/>
          <w:right w:w="70" w:type="dxa"/>
        </w:tblCellMar>
        <w:tblLook w:val="0000" w:firstRow="0" w:lastRow="0" w:firstColumn="0" w:lastColumn="0" w:noHBand="0" w:noVBand="0"/>
      </w:tblPr>
      <w:tblGrid>
        <w:gridCol w:w="4465"/>
        <w:gridCol w:w="2268"/>
        <w:gridCol w:w="1559"/>
        <w:gridCol w:w="2410"/>
        <w:gridCol w:w="1722"/>
        <w:gridCol w:w="7"/>
        <w:gridCol w:w="1613"/>
        <w:gridCol w:w="7"/>
        <w:gridCol w:w="702"/>
        <w:gridCol w:w="160"/>
        <w:gridCol w:w="2352"/>
        <w:gridCol w:w="990"/>
      </w:tblGrid>
      <w:tr w:rsidR="00D619B4" w:rsidRPr="007D5748" w14:paraId="468D953A" w14:textId="77777777" w:rsidTr="001C13FB">
        <w:trPr>
          <w:gridAfter w:val="4"/>
          <w:wAfter w:w="4204" w:type="dxa"/>
          <w:cantSplit/>
          <w:trHeight w:val="255"/>
        </w:trPr>
        <w:tc>
          <w:tcPr>
            <w:tcW w:w="446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BCBDD6" w14:textId="77777777" w:rsidR="00D619B4" w:rsidRPr="007D5748" w:rsidRDefault="00D619B4" w:rsidP="001C13FB">
            <w:pPr>
              <w:jc w:val="center"/>
              <w:rPr>
                <w:b/>
                <w:bCs/>
                <w:lang w:eastAsia="sk-SK"/>
              </w:rPr>
            </w:pPr>
            <w:r w:rsidRPr="001E7040">
              <w:rPr>
                <w:b/>
                <w:bCs/>
                <w:highlight w:val="lightGray"/>
                <w:lang w:eastAsia="sk-SK"/>
              </w:rPr>
              <w:t>Zamestnanosť</w:t>
            </w:r>
          </w:p>
        </w:tc>
        <w:tc>
          <w:tcPr>
            <w:tcW w:w="796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77CB896A" w14:textId="77777777" w:rsidR="00D619B4" w:rsidRPr="007D5748" w:rsidRDefault="00D619B4" w:rsidP="001C13FB">
            <w:pPr>
              <w:jc w:val="center"/>
              <w:rPr>
                <w:b/>
                <w:bCs/>
                <w:lang w:eastAsia="sk-SK"/>
              </w:rPr>
            </w:pPr>
            <w:r w:rsidRPr="007D5748">
              <w:rPr>
                <w:b/>
                <w:bCs/>
                <w:lang w:eastAsia="sk-SK"/>
              </w:rPr>
              <w:t>Vplyv na rozpočet verejnej správy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6639D12" w14:textId="77777777" w:rsidR="00D619B4" w:rsidRPr="007D5748" w:rsidRDefault="00D619B4" w:rsidP="001C13FB">
            <w:pPr>
              <w:jc w:val="center"/>
              <w:rPr>
                <w:b/>
                <w:bCs/>
                <w:lang w:eastAsia="sk-SK"/>
              </w:rPr>
            </w:pPr>
            <w:r w:rsidRPr="007D5748">
              <w:rPr>
                <w:b/>
                <w:bCs/>
                <w:lang w:eastAsia="sk-SK"/>
              </w:rPr>
              <w:t>poznámka</w:t>
            </w:r>
          </w:p>
        </w:tc>
      </w:tr>
      <w:tr w:rsidR="00D619B4" w:rsidRPr="007D5748" w14:paraId="664D6D68" w14:textId="77777777" w:rsidTr="001C13FB">
        <w:trPr>
          <w:gridAfter w:val="5"/>
          <w:wAfter w:w="4211" w:type="dxa"/>
          <w:cantSplit/>
          <w:trHeight w:val="255"/>
        </w:trPr>
        <w:tc>
          <w:tcPr>
            <w:tcW w:w="446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A2BC2B" w14:textId="77777777" w:rsidR="00D619B4" w:rsidRPr="007D5748" w:rsidRDefault="00D619B4" w:rsidP="001C13FB">
            <w:pPr>
              <w:rPr>
                <w:b/>
                <w:bCs/>
                <w:lang w:eastAsia="sk-SK"/>
              </w:rPr>
            </w:pPr>
          </w:p>
        </w:tc>
        <w:tc>
          <w:tcPr>
            <w:tcW w:w="2268" w:type="dxa"/>
            <w:tcBorders>
              <w:top w:val="nil"/>
              <w:left w:val="nil"/>
              <w:bottom w:val="single" w:sz="4" w:space="0" w:color="auto"/>
              <w:right w:val="single" w:sz="4" w:space="0" w:color="auto"/>
            </w:tcBorders>
            <w:shd w:val="clear" w:color="auto" w:fill="BFBFBF" w:themeFill="background1" w:themeFillShade="BF"/>
          </w:tcPr>
          <w:p w14:paraId="3E199F41" w14:textId="77777777" w:rsidR="00D619B4" w:rsidRPr="007D5748" w:rsidRDefault="00D619B4" w:rsidP="001C13FB">
            <w:pPr>
              <w:jc w:val="center"/>
              <w:rPr>
                <w:b/>
                <w:bCs/>
                <w:lang w:eastAsia="sk-SK"/>
              </w:rPr>
            </w:pPr>
            <w:r>
              <w:rPr>
                <w:b/>
                <w:bCs/>
                <w:lang w:eastAsia="sk-SK"/>
              </w:rPr>
              <w:t>2023</w:t>
            </w:r>
          </w:p>
        </w:tc>
        <w:tc>
          <w:tcPr>
            <w:tcW w:w="1559" w:type="dxa"/>
            <w:tcBorders>
              <w:top w:val="nil"/>
              <w:left w:val="nil"/>
              <w:bottom w:val="single" w:sz="4" w:space="0" w:color="auto"/>
              <w:right w:val="single" w:sz="4" w:space="0" w:color="auto"/>
            </w:tcBorders>
            <w:shd w:val="clear" w:color="auto" w:fill="BFBFBF" w:themeFill="background1" w:themeFillShade="BF"/>
          </w:tcPr>
          <w:p w14:paraId="77FF4E16" w14:textId="77777777" w:rsidR="00D619B4" w:rsidRPr="007D5748" w:rsidRDefault="00D619B4" w:rsidP="001C13FB">
            <w:pPr>
              <w:jc w:val="center"/>
              <w:rPr>
                <w:b/>
                <w:bCs/>
                <w:lang w:eastAsia="sk-SK"/>
              </w:rPr>
            </w:pPr>
            <w:r>
              <w:rPr>
                <w:b/>
                <w:bCs/>
                <w:lang w:eastAsia="sk-SK"/>
              </w:rPr>
              <w:t>2024</w:t>
            </w:r>
          </w:p>
        </w:tc>
        <w:tc>
          <w:tcPr>
            <w:tcW w:w="2410" w:type="dxa"/>
            <w:tcBorders>
              <w:top w:val="nil"/>
              <w:left w:val="nil"/>
              <w:bottom w:val="single" w:sz="4" w:space="0" w:color="auto"/>
              <w:right w:val="single" w:sz="4" w:space="0" w:color="auto"/>
            </w:tcBorders>
            <w:shd w:val="clear" w:color="auto" w:fill="BFBFBF" w:themeFill="background1" w:themeFillShade="BF"/>
          </w:tcPr>
          <w:p w14:paraId="18639B27" w14:textId="77777777" w:rsidR="00D619B4" w:rsidRPr="007D5748" w:rsidRDefault="00D619B4" w:rsidP="001C13FB">
            <w:pPr>
              <w:jc w:val="center"/>
              <w:rPr>
                <w:b/>
                <w:bCs/>
                <w:lang w:eastAsia="sk-SK"/>
              </w:rPr>
            </w:pPr>
            <w:r>
              <w:rPr>
                <w:b/>
                <w:bCs/>
                <w:lang w:eastAsia="sk-SK"/>
              </w:rPr>
              <w:t>2025</w:t>
            </w:r>
          </w:p>
        </w:tc>
        <w:tc>
          <w:tcPr>
            <w:tcW w:w="1722" w:type="dxa"/>
            <w:tcBorders>
              <w:top w:val="nil"/>
              <w:left w:val="nil"/>
              <w:bottom w:val="single" w:sz="4" w:space="0" w:color="auto"/>
              <w:right w:val="single" w:sz="4" w:space="0" w:color="auto"/>
            </w:tcBorders>
            <w:shd w:val="clear" w:color="auto" w:fill="BFBFBF" w:themeFill="background1" w:themeFillShade="BF"/>
          </w:tcPr>
          <w:p w14:paraId="4043F611" w14:textId="77777777" w:rsidR="00D619B4" w:rsidRPr="007D5748" w:rsidRDefault="00D619B4" w:rsidP="001C13FB">
            <w:pPr>
              <w:jc w:val="center"/>
              <w:rPr>
                <w:b/>
                <w:bCs/>
                <w:lang w:eastAsia="sk-SK"/>
              </w:rPr>
            </w:pPr>
            <w:r>
              <w:rPr>
                <w:b/>
                <w:bCs/>
                <w:lang w:eastAsia="sk-SK"/>
              </w:rPr>
              <w:t>2026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43CE49" w14:textId="77777777" w:rsidR="00D619B4" w:rsidRPr="007D5748" w:rsidRDefault="00D619B4" w:rsidP="001C13FB">
            <w:pPr>
              <w:rPr>
                <w:b/>
                <w:bCs/>
                <w:color w:val="FFFFFF"/>
                <w:lang w:eastAsia="sk-SK"/>
              </w:rPr>
            </w:pPr>
          </w:p>
        </w:tc>
      </w:tr>
      <w:tr w:rsidR="00D619B4" w:rsidRPr="007D5748" w14:paraId="3B27653E"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436B1309" w14:textId="77777777" w:rsidR="00D619B4" w:rsidRPr="007D5748" w:rsidRDefault="00D619B4" w:rsidP="001C13FB">
            <w:pPr>
              <w:rPr>
                <w:b/>
                <w:bCs/>
                <w:lang w:eastAsia="sk-SK"/>
              </w:rPr>
            </w:pPr>
            <w:r w:rsidRPr="007D5748">
              <w:rPr>
                <w:b/>
                <w:bCs/>
                <w:lang w:eastAsia="sk-SK"/>
              </w:rPr>
              <w:t>Počet zamestnancov celkom</w:t>
            </w:r>
          </w:p>
        </w:tc>
        <w:tc>
          <w:tcPr>
            <w:tcW w:w="2268" w:type="dxa"/>
            <w:tcBorders>
              <w:top w:val="nil"/>
              <w:left w:val="nil"/>
              <w:bottom w:val="single" w:sz="4" w:space="0" w:color="auto"/>
              <w:right w:val="single" w:sz="4" w:space="0" w:color="auto"/>
            </w:tcBorders>
          </w:tcPr>
          <w:p w14:paraId="7DC61B74" w14:textId="77777777" w:rsidR="00D619B4" w:rsidRPr="000C290E" w:rsidRDefault="00D619B4" w:rsidP="001C13FB">
            <w:pPr>
              <w:jc w:val="center"/>
              <w:rPr>
                <w:b/>
                <w:bCs/>
                <w:lang w:eastAsia="sk-SK"/>
              </w:rPr>
            </w:pPr>
            <w:r w:rsidRPr="000C290E">
              <w:rPr>
                <w:b/>
              </w:rPr>
              <w:t>7</w:t>
            </w:r>
          </w:p>
        </w:tc>
        <w:tc>
          <w:tcPr>
            <w:tcW w:w="1559" w:type="dxa"/>
            <w:tcBorders>
              <w:top w:val="nil"/>
              <w:left w:val="nil"/>
              <w:bottom w:val="single" w:sz="4" w:space="0" w:color="auto"/>
              <w:right w:val="single" w:sz="4" w:space="0" w:color="auto"/>
            </w:tcBorders>
          </w:tcPr>
          <w:p w14:paraId="34183384" w14:textId="77777777" w:rsidR="00D619B4" w:rsidRPr="0033082A" w:rsidRDefault="00D619B4" w:rsidP="001C13FB">
            <w:pPr>
              <w:jc w:val="center"/>
              <w:rPr>
                <w:b/>
                <w:bCs/>
                <w:lang w:eastAsia="sk-SK"/>
              </w:rPr>
            </w:pPr>
            <w:r w:rsidRPr="00B05A3C">
              <w:rPr>
                <w:b/>
              </w:rPr>
              <w:t>17</w:t>
            </w:r>
          </w:p>
        </w:tc>
        <w:tc>
          <w:tcPr>
            <w:tcW w:w="2410" w:type="dxa"/>
            <w:tcBorders>
              <w:top w:val="nil"/>
              <w:left w:val="nil"/>
              <w:bottom w:val="single" w:sz="4" w:space="0" w:color="auto"/>
              <w:right w:val="single" w:sz="4" w:space="0" w:color="auto"/>
            </w:tcBorders>
          </w:tcPr>
          <w:p w14:paraId="1F7D2AE4" w14:textId="77777777" w:rsidR="00D619B4" w:rsidRPr="0033082A" w:rsidRDefault="00D619B4" w:rsidP="001C13FB">
            <w:pPr>
              <w:jc w:val="center"/>
              <w:rPr>
                <w:b/>
                <w:bCs/>
                <w:lang w:eastAsia="sk-SK"/>
              </w:rPr>
            </w:pPr>
            <w:r w:rsidRPr="00B05A3C">
              <w:rPr>
                <w:b/>
              </w:rPr>
              <w:t>17</w:t>
            </w:r>
          </w:p>
        </w:tc>
        <w:tc>
          <w:tcPr>
            <w:tcW w:w="1722" w:type="dxa"/>
            <w:tcBorders>
              <w:top w:val="nil"/>
              <w:left w:val="nil"/>
              <w:bottom w:val="single" w:sz="4" w:space="0" w:color="auto"/>
              <w:right w:val="single" w:sz="4" w:space="0" w:color="auto"/>
            </w:tcBorders>
          </w:tcPr>
          <w:p w14:paraId="1FE341CD" w14:textId="77777777" w:rsidR="00D619B4" w:rsidRPr="0033082A" w:rsidRDefault="00D619B4" w:rsidP="001C13FB">
            <w:pPr>
              <w:jc w:val="center"/>
              <w:rPr>
                <w:b/>
                <w:bCs/>
                <w:lang w:eastAsia="sk-SK"/>
              </w:rPr>
            </w:pPr>
            <w:r w:rsidRPr="00B05A3C">
              <w:rPr>
                <w:b/>
              </w:rPr>
              <w:t>17</w:t>
            </w:r>
          </w:p>
        </w:tc>
        <w:tc>
          <w:tcPr>
            <w:tcW w:w="1620" w:type="dxa"/>
            <w:gridSpan w:val="2"/>
            <w:tcBorders>
              <w:top w:val="nil"/>
              <w:left w:val="nil"/>
              <w:bottom w:val="single" w:sz="4" w:space="0" w:color="auto"/>
              <w:right w:val="single" w:sz="4" w:space="0" w:color="auto"/>
            </w:tcBorders>
            <w:noWrap/>
            <w:vAlign w:val="bottom"/>
          </w:tcPr>
          <w:p w14:paraId="6C600832" w14:textId="77777777" w:rsidR="00D619B4" w:rsidRPr="007D5748" w:rsidRDefault="00D619B4" w:rsidP="001C13FB">
            <w:pPr>
              <w:rPr>
                <w:lang w:eastAsia="sk-SK"/>
              </w:rPr>
            </w:pPr>
            <w:r w:rsidRPr="007D5748">
              <w:rPr>
                <w:lang w:eastAsia="sk-SK"/>
              </w:rPr>
              <w:t> </w:t>
            </w:r>
          </w:p>
        </w:tc>
      </w:tr>
      <w:tr w:rsidR="00D619B4" w:rsidRPr="007D5748" w14:paraId="41192202"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7163D7C2" w14:textId="77777777" w:rsidR="00D619B4" w:rsidRPr="007D5748" w:rsidRDefault="00D619B4" w:rsidP="001C13FB">
            <w:pPr>
              <w:rPr>
                <w:b/>
                <w:bCs/>
                <w:lang w:eastAsia="sk-SK"/>
              </w:rPr>
            </w:pPr>
            <w:r w:rsidRPr="007D5748">
              <w:rPr>
                <w:b/>
                <w:bCs/>
                <w:lang w:eastAsia="sk-SK"/>
              </w:rPr>
              <w:t xml:space="preserve">   z toho vplyv na ŠR</w:t>
            </w:r>
          </w:p>
        </w:tc>
        <w:tc>
          <w:tcPr>
            <w:tcW w:w="2268" w:type="dxa"/>
            <w:tcBorders>
              <w:top w:val="single" w:sz="4" w:space="0" w:color="auto"/>
              <w:left w:val="nil"/>
              <w:bottom w:val="single" w:sz="4" w:space="0" w:color="auto"/>
              <w:right w:val="single" w:sz="4" w:space="0" w:color="auto"/>
            </w:tcBorders>
          </w:tcPr>
          <w:p w14:paraId="1E591E52" w14:textId="77777777" w:rsidR="00D619B4" w:rsidRPr="000C290E" w:rsidRDefault="00D619B4" w:rsidP="001C13FB">
            <w:pPr>
              <w:jc w:val="center"/>
              <w:rPr>
                <w:b/>
                <w:bCs/>
                <w:lang w:eastAsia="sk-SK"/>
              </w:rPr>
            </w:pPr>
            <w:r w:rsidRPr="000C290E">
              <w:rPr>
                <w:b/>
              </w:rPr>
              <w:t>0</w:t>
            </w:r>
          </w:p>
        </w:tc>
        <w:tc>
          <w:tcPr>
            <w:tcW w:w="1559" w:type="dxa"/>
            <w:tcBorders>
              <w:top w:val="single" w:sz="4" w:space="0" w:color="auto"/>
              <w:left w:val="nil"/>
              <w:bottom w:val="single" w:sz="4" w:space="0" w:color="auto"/>
              <w:right w:val="single" w:sz="4" w:space="0" w:color="auto"/>
            </w:tcBorders>
          </w:tcPr>
          <w:p w14:paraId="5BECF88B" w14:textId="77777777" w:rsidR="00D619B4" w:rsidRPr="0033082A" w:rsidRDefault="00D619B4" w:rsidP="001C13FB">
            <w:pPr>
              <w:jc w:val="center"/>
              <w:rPr>
                <w:b/>
                <w:bCs/>
                <w:lang w:eastAsia="sk-SK"/>
              </w:rPr>
            </w:pPr>
            <w:r w:rsidRPr="00B05A3C">
              <w:rPr>
                <w:b/>
              </w:rPr>
              <w:t>10</w:t>
            </w:r>
          </w:p>
        </w:tc>
        <w:tc>
          <w:tcPr>
            <w:tcW w:w="2410" w:type="dxa"/>
            <w:tcBorders>
              <w:top w:val="single" w:sz="4" w:space="0" w:color="auto"/>
              <w:left w:val="nil"/>
              <w:bottom w:val="single" w:sz="4" w:space="0" w:color="auto"/>
              <w:right w:val="single" w:sz="4" w:space="0" w:color="auto"/>
            </w:tcBorders>
          </w:tcPr>
          <w:p w14:paraId="2D07D4A6" w14:textId="77777777" w:rsidR="00D619B4" w:rsidRPr="0033082A" w:rsidRDefault="00D619B4" w:rsidP="001C13FB">
            <w:pPr>
              <w:jc w:val="center"/>
              <w:rPr>
                <w:b/>
                <w:bCs/>
                <w:lang w:eastAsia="sk-SK"/>
              </w:rPr>
            </w:pPr>
            <w:r w:rsidRPr="00B05A3C">
              <w:rPr>
                <w:b/>
              </w:rPr>
              <w:t>10</w:t>
            </w:r>
          </w:p>
        </w:tc>
        <w:tc>
          <w:tcPr>
            <w:tcW w:w="1722" w:type="dxa"/>
            <w:tcBorders>
              <w:top w:val="single" w:sz="4" w:space="0" w:color="auto"/>
              <w:left w:val="nil"/>
              <w:bottom w:val="single" w:sz="4" w:space="0" w:color="auto"/>
              <w:right w:val="single" w:sz="4" w:space="0" w:color="auto"/>
            </w:tcBorders>
          </w:tcPr>
          <w:p w14:paraId="2075AA37" w14:textId="77777777" w:rsidR="00D619B4" w:rsidRPr="0033082A" w:rsidRDefault="00D619B4" w:rsidP="001C13FB">
            <w:pPr>
              <w:jc w:val="center"/>
              <w:rPr>
                <w:b/>
                <w:bCs/>
                <w:lang w:eastAsia="sk-SK"/>
              </w:rPr>
            </w:pPr>
            <w:r w:rsidRPr="00B05A3C">
              <w:rPr>
                <w:b/>
              </w:rPr>
              <w:t>17</w:t>
            </w:r>
          </w:p>
        </w:tc>
        <w:tc>
          <w:tcPr>
            <w:tcW w:w="1620" w:type="dxa"/>
            <w:gridSpan w:val="2"/>
            <w:tcBorders>
              <w:top w:val="nil"/>
              <w:left w:val="nil"/>
              <w:bottom w:val="single" w:sz="4" w:space="0" w:color="auto"/>
              <w:right w:val="single" w:sz="4" w:space="0" w:color="auto"/>
            </w:tcBorders>
            <w:noWrap/>
            <w:vAlign w:val="bottom"/>
          </w:tcPr>
          <w:p w14:paraId="5D0FC583" w14:textId="77777777" w:rsidR="00D619B4" w:rsidRPr="007D5748" w:rsidRDefault="00D619B4" w:rsidP="001C13FB">
            <w:pPr>
              <w:rPr>
                <w:lang w:eastAsia="sk-SK"/>
              </w:rPr>
            </w:pPr>
          </w:p>
        </w:tc>
      </w:tr>
      <w:tr w:rsidR="00D619B4" w:rsidRPr="007D5748" w14:paraId="3C63D5DB"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7C3A8462" w14:textId="77777777" w:rsidR="00D619B4" w:rsidRPr="007D5748" w:rsidRDefault="00D619B4" w:rsidP="001C13FB">
            <w:pPr>
              <w:rPr>
                <w:b/>
                <w:bCs/>
                <w:lang w:eastAsia="sk-SK"/>
              </w:rPr>
            </w:pPr>
            <w:r>
              <w:rPr>
                <w:b/>
                <w:bCs/>
                <w:lang w:eastAsia="sk-SK"/>
              </w:rPr>
              <w:t xml:space="preserve">   z toho vplyv na EÚ (POO)</w:t>
            </w:r>
          </w:p>
        </w:tc>
        <w:tc>
          <w:tcPr>
            <w:tcW w:w="2268" w:type="dxa"/>
            <w:tcBorders>
              <w:top w:val="single" w:sz="4" w:space="0" w:color="auto"/>
              <w:left w:val="nil"/>
              <w:bottom w:val="single" w:sz="4" w:space="0" w:color="auto"/>
              <w:right w:val="single" w:sz="4" w:space="0" w:color="auto"/>
            </w:tcBorders>
          </w:tcPr>
          <w:p w14:paraId="6BF5A5C0" w14:textId="77777777" w:rsidR="00D619B4" w:rsidRPr="000C290E" w:rsidRDefault="00D619B4" w:rsidP="001C13FB">
            <w:pPr>
              <w:jc w:val="center"/>
              <w:rPr>
                <w:b/>
                <w:bCs/>
                <w:lang w:eastAsia="sk-SK"/>
              </w:rPr>
            </w:pPr>
            <w:r w:rsidRPr="000C290E">
              <w:rPr>
                <w:b/>
              </w:rPr>
              <w:t>7</w:t>
            </w:r>
          </w:p>
        </w:tc>
        <w:tc>
          <w:tcPr>
            <w:tcW w:w="1559" w:type="dxa"/>
            <w:tcBorders>
              <w:top w:val="single" w:sz="4" w:space="0" w:color="auto"/>
              <w:left w:val="nil"/>
              <w:bottom w:val="single" w:sz="4" w:space="0" w:color="auto"/>
              <w:right w:val="single" w:sz="4" w:space="0" w:color="auto"/>
            </w:tcBorders>
          </w:tcPr>
          <w:p w14:paraId="49E4A438" w14:textId="77777777" w:rsidR="00D619B4" w:rsidRPr="0033082A" w:rsidRDefault="00D619B4" w:rsidP="001C13FB">
            <w:pPr>
              <w:jc w:val="center"/>
              <w:rPr>
                <w:b/>
                <w:bCs/>
                <w:lang w:eastAsia="sk-SK"/>
              </w:rPr>
            </w:pPr>
            <w:r w:rsidRPr="00B05A3C">
              <w:rPr>
                <w:b/>
              </w:rPr>
              <w:t>7</w:t>
            </w:r>
          </w:p>
        </w:tc>
        <w:tc>
          <w:tcPr>
            <w:tcW w:w="2410" w:type="dxa"/>
            <w:tcBorders>
              <w:top w:val="single" w:sz="4" w:space="0" w:color="auto"/>
              <w:left w:val="nil"/>
              <w:bottom w:val="single" w:sz="4" w:space="0" w:color="auto"/>
              <w:right w:val="single" w:sz="4" w:space="0" w:color="auto"/>
            </w:tcBorders>
          </w:tcPr>
          <w:p w14:paraId="637CE0B8" w14:textId="77777777" w:rsidR="00D619B4" w:rsidRPr="0033082A" w:rsidRDefault="00D619B4" w:rsidP="001C13FB">
            <w:pPr>
              <w:jc w:val="center"/>
              <w:rPr>
                <w:b/>
                <w:bCs/>
                <w:lang w:eastAsia="sk-SK"/>
              </w:rPr>
            </w:pPr>
            <w:r w:rsidRPr="00B05A3C">
              <w:rPr>
                <w:b/>
              </w:rPr>
              <w:t>7</w:t>
            </w:r>
          </w:p>
        </w:tc>
        <w:tc>
          <w:tcPr>
            <w:tcW w:w="1722" w:type="dxa"/>
            <w:tcBorders>
              <w:top w:val="single" w:sz="4" w:space="0" w:color="auto"/>
              <w:left w:val="nil"/>
              <w:bottom w:val="single" w:sz="4" w:space="0" w:color="auto"/>
              <w:right w:val="single" w:sz="4" w:space="0" w:color="auto"/>
            </w:tcBorders>
          </w:tcPr>
          <w:p w14:paraId="48C5CDA8" w14:textId="77777777" w:rsidR="00D619B4" w:rsidRPr="0033082A" w:rsidRDefault="00D619B4" w:rsidP="001C13FB">
            <w:pPr>
              <w:jc w:val="center"/>
              <w:rPr>
                <w:b/>
                <w:bCs/>
                <w:lang w:eastAsia="sk-SK"/>
              </w:rPr>
            </w:pPr>
            <w:r w:rsidRPr="00B05A3C">
              <w:rPr>
                <w:b/>
              </w:rPr>
              <w:t>0</w:t>
            </w:r>
          </w:p>
        </w:tc>
        <w:tc>
          <w:tcPr>
            <w:tcW w:w="1620" w:type="dxa"/>
            <w:gridSpan w:val="2"/>
            <w:tcBorders>
              <w:top w:val="nil"/>
              <w:left w:val="nil"/>
              <w:bottom w:val="single" w:sz="4" w:space="0" w:color="auto"/>
              <w:right w:val="single" w:sz="4" w:space="0" w:color="auto"/>
            </w:tcBorders>
            <w:noWrap/>
            <w:vAlign w:val="bottom"/>
          </w:tcPr>
          <w:p w14:paraId="676F8590" w14:textId="77777777" w:rsidR="00D619B4" w:rsidRPr="007D5748" w:rsidRDefault="00D619B4" w:rsidP="001C13FB">
            <w:pPr>
              <w:rPr>
                <w:lang w:eastAsia="sk-SK"/>
              </w:rPr>
            </w:pPr>
            <w:r>
              <w:rPr>
                <w:lang w:eastAsia="sk-SK"/>
              </w:rPr>
              <w:t>Investícia č. 6</w:t>
            </w:r>
          </w:p>
        </w:tc>
      </w:tr>
      <w:tr w:rsidR="00D619B4" w:rsidRPr="007D5748" w14:paraId="4029904E"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5D1005A7" w14:textId="77777777" w:rsidR="00D619B4" w:rsidRPr="007D5748" w:rsidRDefault="00D619B4" w:rsidP="001C13FB">
            <w:pPr>
              <w:rPr>
                <w:b/>
                <w:bCs/>
                <w:lang w:eastAsia="sk-SK"/>
              </w:rPr>
            </w:pPr>
            <w:r w:rsidRPr="007D5748">
              <w:rPr>
                <w:b/>
                <w:bCs/>
                <w:lang w:eastAsia="sk-SK"/>
              </w:rPr>
              <w:t>Priemerný mzdový výdavok (v eurách)</w:t>
            </w:r>
          </w:p>
        </w:tc>
        <w:tc>
          <w:tcPr>
            <w:tcW w:w="2268" w:type="dxa"/>
            <w:tcBorders>
              <w:top w:val="single" w:sz="4" w:space="0" w:color="auto"/>
              <w:left w:val="nil"/>
              <w:bottom w:val="single" w:sz="4" w:space="0" w:color="auto"/>
              <w:right w:val="single" w:sz="4" w:space="0" w:color="auto"/>
            </w:tcBorders>
          </w:tcPr>
          <w:p w14:paraId="4AB5C25E" w14:textId="77777777" w:rsidR="00D619B4" w:rsidRPr="000C290E" w:rsidRDefault="00D619B4" w:rsidP="001C13FB">
            <w:pPr>
              <w:jc w:val="center"/>
              <w:rPr>
                <w:b/>
                <w:bCs/>
                <w:lang w:eastAsia="sk-SK"/>
              </w:rPr>
            </w:pPr>
            <w:r w:rsidRPr="000C290E">
              <w:rPr>
                <w:b/>
              </w:rPr>
              <w:t>3 312</w:t>
            </w:r>
          </w:p>
        </w:tc>
        <w:tc>
          <w:tcPr>
            <w:tcW w:w="1559" w:type="dxa"/>
            <w:tcBorders>
              <w:top w:val="single" w:sz="4" w:space="0" w:color="auto"/>
              <w:left w:val="nil"/>
              <w:bottom w:val="single" w:sz="4" w:space="0" w:color="auto"/>
              <w:right w:val="single" w:sz="4" w:space="0" w:color="auto"/>
            </w:tcBorders>
          </w:tcPr>
          <w:p w14:paraId="39EE5CCD" w14:textId="77777777" w:rsidR="00D619B4" w:rsidRPr="0033082A" w:rsidRDefault="00D619B4" w:rsidP="001C13FB">
            <w:pPr>
              <w:jc w:val="center"/>
              <w:rPr>
                <w:b/>
                <w:bCs/>
                <w:lang w:eastAsia="sk-SK"/>
              </w:rPr>
            </w:pPr>
            <w:r w:rsidRPr="00B05A3C">
              <w:rPr>
                <w:b/>
              </w:rPr>
              <w:t>3 312</w:t>
            </w:r>
          </w:p>
        </w:tc>
        <w:tc>
          <w:tcPr>
            <w:tcW w:w="2410" w:type="dxa"/>
            <w:tcBorders>
              <w:top w:val="single" w:sz="4" w:space="0" w:color="auto"/>
              <w:left w:val="nil"/>
              <w:bottom w:val="single" w:sz="4" w:space="0" w:color="auto"/>
              <w:right w:val="single" w:sz="4" w:space="0" w:color="auto"/>
            </w:tcBorders>
          </w:tcPr>
          <w:p w14:paraId="086AF759" w14:textId="77777777" w:rsidR="00D619B4" w:rsidRPr="0033082A" w:rsidRDefault="00D619B4" w:rsidP="001C13FB">
            <w:pPr>
              <w:jc w:val="center"/>
              <w:rPr>
                <w:b/>
                <w:bCs/>
                <w:lang w:eastAsia="sk-SK"/>
              </w:rPr>
            </w:pPr>
            <w:r w:rsidRPr="00B05A3C">
              <w:rPr>
                <w:b/>
              </w:rPr>
              <w:t>3 312</w:t>
            </w:r>
          </w:p>
        </w:tc>
        <w:tc>
          <w:tcPr>
            <w:tcW w:w="1722" w:type="dxa"/>
            <w:tcBorders>
              <w:top w:val="single" w:sz="4" w:space="0" w:color="auto"/>
              <w:left w:val="nil"/>
              <w:bottom w:val="single" w:sz="4" w:space="0" w:color="auto"/>
              <w:right w:val="single" w:sz="4" w:space="0" w:color="auto"/>
            </w:tcBorders>
          </w:tcPr>
          <w:p w14:paraId="0A9FC0C4" w14:textId="77777777" w:rsidR="00D619B4" w:rsidRPr="0033082A" w:rsidRDefault="00D619B4" w:rsidP="001C13FB">
            <w:pPr>
              <w:tabs>
                <w:tab w:val="left" w:pos="415"/>
                <w:tab w:val="center" w:pos="791"/>
              </w:tabs>
              <w:jc w:val="center"/>
              <w:rPr>
                <w:b/>
                <w:bCs/>
                <w:lang w:eastAsia="sk-SK"/>
              </w:rPr>
            </w:pPr>
            <w:r w:rsidRPr="00B05A3C">
              <w:rPr>
                <w:b/>
              </w:rPr>
              <w:t>3 312</w:t>
            </w:r>
          </w:p>
        </w:tc>
        <w:tc>
          <w:tcPr>
            <w:tcW w:w="1620" w:type="dxa"/>
            <w:gridSpan w:val="2"/>
            <w:tcBorders>
              <w:top w:val="nil"/>
              <w:left w:val="nil"/>
              <w:bottom w:val="single" w:sz="4" w:space="0" w:color="auto"/>
              <w:right w:val="single" w:sz="4" w:space="0" w:color="auto"/>
            </w:tcBorders>
            <w:noWrap/>
            <w:vAlign w:val="bottom"/>
          </w:tcPr>
          <w:p w14:paraId="2DB2D1DB" w14:textId="77777777" w:rsidR="00D619B4" w:rsidRPr="007D5748" w:rsidRDefault="00D619B4" w:rsidP="001C13FB">
            <w:pPr>
              <w:rPr>
                <w:lang w:eastAsia="sk-SK"/>
              </w:rPr>
            </w:pPr>
            <w:r w:rsidRPr="007D5748">
              <w:rPr>
                <w:lang w:eastAsia="sk-SK"/>
              </w:rPr>
              <w:t> </w:t>
            </w:r>
          </w:p>
        </w:tc>
      </w:tr>
      <w:tr w:rsidR="00D619B4" w:rsidRPr="007D5748" w14:paraId="51C43414"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1591E0B2" w14:textId="77777777" w:rsidR="00D619B4" w:rsidRPr="007D5748" w:rsidRDefault="00D619B4" w:rsidP="001C13FB">
            <w:pPr>
              <w:rPr>
                <w:lang w:eastAsia="sk-SK"/>
              </w:rPr>
            </w:pPr>
            <w:r w:rsidRPr="007D5748">
              <w:rPr>
                <w:b/>
                <w:bCs/>
                <w:lang w:eastAsia="sk-SK"/>
              </w:rPr>
              <w:t xml:space="preserve">   z toho vplyv na ŠR</w:t>
            </w:r>
          </w:p>
        </w:tc>
        <w:tc>
          <w:tcPr>
            <w:tcW w:w="2268" w:type="dxa"/>
            <w:tcBorders>
              <w:top w:val="single" w:sz="4" w:space="0" w:color="auto"/>
              <w:left w:val="nil"/>
              <w:bottom w:val="single" w:sz="4" w:space="0" w:color="auto"/>
              <w:right w:val="single" w:sz="4" w:space="0" w:color="auto"/>
            </w:tcBorders>
          </w:tcPr>
          <w:p w14:paraId="1865D6C5" w14:textId="77777777" w:rsidR="00D619B4" w:rsidRPr="000C290E" w:rsidRDefault="00D619B4" w:rsidP="001C13FB">
            <w:pPr>
              <w:jc w:val="center"/>
              <w:rPr>
                <w:b/>
                <w:lang w:eastAsia="sk-SK"/>
              </w:rPr>
            </w:pPr>
            <w:r w:rsidRPr="000C290E">
              <w:rPr>
                <w:b/>
              </w:rPr>
              <w:t>3 312</w:t>
            </w:r>
          </w:p>
        </w:tc>
        <w:tc>
          <w:tcPr>
            <w:tcW w:w="1559" w:type="dxa"/>
            <w:tcBorders>
              <w:top w:val="single" w:sz="4" w:space="0" w:color="auto"/>
              <w:left w:val="nil"/>
              <w:bottom w:val="single" w:sz="4" w:space="0" w:color="auto"/>
              <w:right w:val="single" w:sz="4" w:space="0" w:color="auto"/>
            </w:tcBorders>
          </w:tcPr>
          <w:p w14:paraId="15ED0FB2" w14:textId="77777777" w:rsidR="00D619B4" w:rsidRPr="00B05A3C" w:rsidRDefault="00D619B4" w:rsidP="001C13FB">
            <w:pPr>
              <w:jc w:val="center"/>
              <w:rPr>
                <w:b/>
                <w:lang w:eastAsia="sk-SK"/>
              </w:rPr>
            </w:pPr>
            <w:r w:rsidRPr="00B05A3C">
              <w:rPr>
                <w:b/>
              </w:rPr>
              <w:t>3 312</w:t>
            </w:r>
          </w:p>
        </w:tc>
        <w:tc>
          <w:tcPr>
            <w:tcW w:w="2410" w:type="dxa"/>
            <w:tcBorders>
              <w:top w:val="single" w:sz="4" w:space="0" w:color="auto"/>
              <w:left w:val="nil"/>
              <w:bottom w:val="single" w:sz="4" w:space="0" w:color="auto"/>
              <w:right w:val="single" w:sz="4" w:space="0" w:color="auto"/>
            </w:tcBorders>
          </w:tcPr>
          <w:p w14:paraId="427FE81F" w14:textId="77777777" w:rsidR="00D619B4" w:rsidRPr="00B05A3C" w:rsidRDefault="00D619B4" w:rsidP="001C13FB">
            <w:pPr>
              <w:jc w:val="center"/>
              <w:rPr>
                <w:b/>
                <w:lang w:eastAsia="sk-SK"/>
              </w:rPr>
            </w:pPr>
            <w:r w:rsidRPr="00B05A3C">
              <w:rPr>
                <w:b/>
              </w:rPr>
              <w:t>3 312</w:t>
            </w:r>
          </w:p>
        </w:tc>
        <w:tc>
          <w:tcPr>
            <w:tcW w:w="1722" w:type="dxa"/>
            <w:tcBorders>
              <w:top w:val="single" w:sz="4" w:space="0" w:color="auto"/>
              <w:left w:val="nil"/>
              <w:bottom w:val="single" w:sz="4" w:space="0" w:color="auto"/>
              <w:right w:val="single" w:sz="4" w:space="0" w:color="auto"/>
            </w:tcBorders>
          </w:tcPr>
          <w:p w14:paraId="3FF8B98A" w14:textId="77777777" w:rsidR="00D619B4" w:rsidRPr="00B05A3C" w:rsidRDefault="00D619B4" w:rsidP="001C13FB">
            <w:pPr>
              <w:jc w:val="center"/>
              <w:rPr>
                <w:b/>
                <w:lang w:eastAsia="sk-SK"/>
              </w:rPr>
            </w:pPr>
            <w:r w:rsidRPr="00B05A3C">
              <w:rPr>
                <w:b/>
              </w:rPr>
              <w:t>3 312</w:t>
            </w:r>
          </w:p>
        </w:tc>
        <w:tc>
          <w:tcPr>
            <w:tcW w:w="1620" w:type="dxa"/>
            <w:gridSpan w:val="2"/>
            <w:tcBorders>
              <w:top w:val="nil"/>
              <w:left w:val="nil"/>
              <w:bottom w:val="single" w:sz="4" w:space="0" w:color="auto"/>
              <w:right w:val="single" w:sz="4" w:space="0" w:color="auto"/>
            </w:tcBorders>
            <w:noWrap/>
            <w:vAlign w:val="bottom"/>
          </w:tcPr>
          <w:p w14:paraId="43F2B986" w14:textId="77777777" w:rsidR="00D619B4" w:rsidRPr="007D5748" w:rsidRDefault="00D619B4" w:rsidP="001C13FB">
            <w:pPr>
              <w:rPr>
                <w:lang w:eastAsia="sk-SK"/>
              </w:rPr>
            </w:pPr>
            <w:r w:rsidRPr="007D5748">
              <w:rPr>
                <w:lang w:eastAsia="sk-SK"/>
              </w:rPr>
              <w:t> </w:t>
            </w:r>
          </w:p>
        </w:tc>
      </w:tr>
      <w:tr w:rsidR="00D619B4" w:rsidRPr="007D5748" w14:paraId="7F47190E"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shd w:val="clear" w:color="auto" w:fill="BFBFBF" w:themeFill="background1" w:themeFillShade="BF"/>
          </w:tcPr>
          <w:p w14:paraId="6F0EBA68" w14:textId="77777777" w:rsidR="00D619B4" w:rsidRPr="007D5748" w:rsidRDefault="00D619B4" w:rsidP="001C13FB">
            <w:pPr>
              <w:rPr>
                <w:b/>
                <w:bCs/>
                <w:lang w:eastAsia="sk-SK"/>
              </w:rPr>
            </w:pPr>
            <w:r w:rsidRPr="007D5748">
              <w:rPr>
                <w:b/>
                <w:bCs/>
                <w:lang w:eastAsia="sk-SK"/>
              </w:rPr>
              <w:t>Osobné výdavky celkom (v eurách)</w:t>
            </w:r>
          </w:p>
        </w:tc>
        <w:tc>
          <w:tcPr>
            <w:tcW w:w="2268" w:type="dxa"/>
            <w:tcBorders>
              <w:top w:val="nil"/>
              <w:left w:val="nil"/>
              <w:bottom w:val="single" w:sz="4" w:space="0" w:color="auto"/>
              <w:right w:val="single" w:sz="4" w:space="0" w:color="auto"/>
            </w:tcBorders>
            <w:shd w:val="clear" w:color="auto" w:fill="BFBFBF" w:themeFill="background1" w:themeFillShade="BF"/>
          </w:tcPr>
          <w:p w14:paraId="23120B23" w14:textId="77777777" w:rsidR="00D619B4" w:rsidRPr="000C290E" w:rsidRDefault="00D619B4" w:rsidP="001C13FB">
            <w:pPr>
              <w:jc w:val="center"/>
              <w:rPr>
                <w:b/>
                <w:bCs/>
                <w:lang w:eastAsia="sk-SK"/>
              </w:rPr>
            </w:pPr>
            <w:r>
              <w:rPr>
                <w:b/>
              </w:rPr>
              <w:t>156 434</w:t>
            </w:r>
          </w:p>
        </w:tc>
        <w:tc>
          <w:tcPr>
            <w:tcW w:w="1559" w:type="dxa"/>
            <w:tcBorders>
              <w:top w:val="nil"/>
              <w:left w:val="nil"/>
              <w:bottom w:val="single" w:sz="4" w:space="0" w:color="auto"/>
              <w:right w:val="single" w:sz="4" w:space="0" w:color="auto"/>
            </w:tcBorders>
            <w:shd w:val="clear" w:color="auto" w:fill="BFBFBF" w:themeFill="background1" w:themeFillShade="BF"/>
          </w:tcPr>
          <w:p w14:paraId="0642122A" w14:textId="77777777" w:rsidR="00D619B4" w:rsidRPr="0033082A" w:rsidRDefault="00D619B4" w:rsidP="001C13FB">
            <w:pPr>
              <w:jc w:val="center"/>
              <w:rPr>
                <w:b/>
                <w:bCs/>
                <w:lang w:eastAsia="sk-SK"/>
              </w:rPr>
            </w:pPr>
            <w:r w:rsidRPr="00B05A3C">
              <w:rPr>
                <w:b/>
              </w:rPr>
              <w:t>911 722</w:t>
            </w:r>
          </w:p>
        </w:tc>
        <w:tc>
          <w:tcPr>
            <w:tcW w:w="2410" w:type="dxa"/>
            <w:tcBorders>
              <w:top w:val="nil"/>
              <w:left w:val="nil"/>
              <w:bottom w:val="single" w:sz="4" w:space="0" w:color="auto"/>
              <w:right w:val="single" w:sz="4" w:space="0" w:color="auto"/>
            </w:tcBorders>
            <w:shd w:val="clear" w:color="auto" w:fill="BFBFBF" w:themeFill="background1" w:themeFillShade="BF"/>
          </w:tcPr>
          <w:p w14:paraId="2FBF7D92" w14:textId="77777777" w:rsidR="00D619B4" w:rsidRPr="0033082A" w:rsidRDefault="00D619B4" w:rsidP="001C13FB">
            <w:pPr>
              <w:jc w:val="center"/>
              <w:rPr>
                <w:b/>
                <w:bCs/>
                <w:lang w:eastAsia="sk-SK"/>
              </w:rPr>
            </w:pPr>
            <w:r w:rsidRPr="00B05A3C">
              <w:rPr>
                <w:b/>
              </w:rPr>
              <w:t>911 722</w:t>
            </w:r>
          </w:p>
        </w:tc>
        <w:tc>
          <w:tcPr>
            <w:tcW w:w="1722" w:type="dxa"/>
            <w:tcBorders>
              <w:top w:val="nil"/>
              <w:left w:val="nil"/>
              <w:bottom w:val="single" w:sz="4" w:space="0" w:color="auto"/>
              <w:right w:val="single" w:sz="4" w:space="0" w:color="auto"/>
            </w:tcBorders>
            <w:shd w:val="clear" w:color="auto" w:fill="BFBFBF" w:themeFill="background1" w:themeFillShade="BF"/>
          </w:tcPr>
          <w:p w14:paraId="6041193D" w14:textId="77777777" w:rsidR="00D619B4" w:rsidRPr="0033082A" w:rsidRDefault="00D619B4" w:rsidP="001C13FB">
            <w:pPr>
              <w:jc w:val="center"/>
              <w:rPr>
                <w:b/>
                <w:bCs/>
                <w:lang w:eastAsia="sk-SK"/>
              </w:rPr>
            </w:pPr>
            <w:r w:rsidRPr="00B05A3C">
              <w:rPr>
                <w:b/>
              </w:rPr>
              <w:t>911 722</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C7212C6" w14:textId="77777777" w:rsidR="00D619B4" w:rsidRPr="007D5748" w:rsidRDefault="00D619B4" w:rsidP="001C13FB">
            <w:pPr>
              <w:rPr>
                <w:b/>
                <w:bCs/>
                <w:lang w:eastAsia="sk-SK"/>
              </w:rPr>
            </w:pPr>
            <w:r w:rsidRPr="007D5748">
              <w:rPr>
                <w:b/>
                <w:bCs/>
                <w:lang w:eastAsia="sk-SK"/>
              </w:rPr>
              <w:t> </w:t>
            </w:r>
          </w:p>
        </w:tc>
      </w:tr>
      <w:tr w:rsidR="00D619B4" w:rsidRPr="007D5748" w14:paraId="14868BD9"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65993A33" w14:textId="77777777" w:rsidR="00D619B4" w:rsidRPr="007D5748" w:rsidRDefault="00D619B4" w:rsidP="001C13FB">
            <w:pPr>
              <w:rPr>
                <w:b/>
                <w:bCs/>
                <w:lang w:eastAsia="sk-SK"/>
              </w:rPr>
            </w:pPr>
            <w:r w:rsidRPr="007D5748">
              <w:rPr>
                <w:b/>
                <w:bCs/>
                <w:lang w:eastAsia="sk-SK"/>
              </w:rPr>
              <w:t>Mzdy, platy, služobné príjmy a ostatné osobné vyrovnania (610)</w:t>
            </w:r>
          </w:p>
        </w:tc>
        <w:tc>
          <w:tcPr>
            <w:tcW w:w="2268" w:type="dxa"/>
            <w:tcBorders>
              <w:top w:val="nil"/>
              <w:left w:val="nil"/>
              <w:bottom w:val="single" w:sz="4" w:space="0" w:color="auto"/>
              <w:right w:val="single" w:sz="4" w:space="0" w:color="auto"/>
            </w:tcBorders>
          </w:tcPr>
          <w:p w14:paraId="425AAA24" w14:textId="77777777" w:rsidR="00D619B4" w:rsidRPr="000C290E" w:rsidRDefault="00D619B4" w:rsidP="001C13FB">
            <w:pPr>
              <w:jc w:val="center"/>
              <w:rPr>
                <w:b/>
                <w:bCs/>
                <w:lang w:eastAsia="sk-SK"/>
              </w:rPr>
            </w:pPr>
            <w:r>
              <w:rPr>
                <w:b/>
              </w:rPr>
              <w:t>115 925</w:t>
            </w:r>
          </w:p>
        </w:tc>
        <w:tc>
          <w:tcPr>
            <w:tcW w:w="1559" w:type="dxa"/>
            <w:tcBorders>
              <w:top w:val="nil"/>
              <w:left w:val="nil"/>
              <w:bottom w:val="single" w:sz="4" w:space="0" w:color="auto"/>
              <w:right w:val="single" w:sz="4" w:space="0" w:color="auto"/>
            </w:tcBorders>
          </w:tcPr>
          <w:p w14:paraId="2B3E0B55" w14:textId="77777777" w:rsidR="00D619B4" w:rsidRPr="0033082A" w:rsidRDefault="00D619B4" w:rsidP="001C13FB">
            <w:pPr>
              <w:jc w:val="center"/>
              <w:rPr>
                <w:b/>
                <w:bCs/>
                <w:lang w:eastAsia="sk-SK"/>
              </w:rPr>
            </w:pPr>
            <w:r w:rsidRPr="00B05A3C">
              <w:rPr>
                <w:b/>
              </w:rPr>
              <w:t>675 600</w:t>
            </w:r>
          </w:p>
        </w:tc>
        <w:tc>
          <w:tcPr>
            <w:tcW w:w="2410" w:type="dxa"/>
            <w:tcBorders>
              <w:top w:val="nil"/>
              <w:left w:val="nil"/>
              <w:bottom w:val="single" w:sz="4" w:space="0" w:color="auto"/>
              <w:right w:val="single" w:sz="4" w:space="0" w:color="auto"/>
            </w:tcBorders>
          </w:tcPr>
          <w:p w14:paraId="06459712" w14:textId="77777777" w:rsidR="00D619B4" w:rsidRPr="0033082A" w:rsidRDefault="00D619B4" w:rsidP="001C13FB">
            <w:pPr>
              <w:jc w:val="center"/>
              <w:rPr>
                <w:b/>
                <w:bCs/>
                <w:lang w:eastAsia="sk-SK"/>
              </w:rPr>
            </w:pPr>
            <w:r w:rsidRPr="00B05A3C">
              <w:rPr>
                <w:b/>
              </w:rPr>
              <w:t>675 600</w:t>
            </w:r>
          </w:p>
        </w:tc>
        <w:tc>
          <w:tcPr>
            <w:tcW w:w="1722" w:type="dxa"/>
            <w:tcBorders>
              <w:top w:val="nil"/>
              <w:left w:val="nil"/>
              <w:bottom w:val="single" w:sz="4" w:space="0" w:color="auto"/>
              <w:right w:val="single" w:sz="4" w:space="0" w:color="auto"/>
            </w:tcBorders>
          </w:tcPr>
          <w:p w14:paraId="36C14330" w14:textId="77777777" w:rsidR="00D619B4" w:rsidRPr="0033082A" w:rsidRDefault="00D619B4" w:rsidP="001C13FB">
            <w:pPr>
              <w:jc w:val="center"/>
              <w:rPr>
                <w:b/>
                <w:bCs/>
                <w:lang w:eastAsia="sk-SK"/>
              </w:rPr>
            </w:pPr>
            <w:r w:rsidRPr="00B05A3C">
              <w:rPr>
                <w:b/>
              </w:rPr>
              <w:t>675 600</w:t>
            </w:r>
          </w:p>
        </w:tc>
        <w:tc>
          <w:tcPr>
            <w:tcW w:w="1620" w:type="dxa"/>
            <w:gridSpan w:val="2"/>
            <w:tcBorders>
              <w:top w:val="nil"/>
              <w:left w:val="nil"/>
              <w:bottom w:val="single" w:sz="4" w:space="0" w:color="auto"/>
              <w:right w:val="single" w:sz="4" w:space="0" w:color="auto"/>
            </w:tcBorders>
            <w:noWrap/>
            <w:vAlign w:val="bottom"/>
          </w:tcPr>
          <w:p w14:paraId="2F3B6460" w14:textId="77777777" w:rsidR="00D619B4" w:rsidRPr="007D5748" w:rsidRDefault="00D619B4" w:rsidP="001C13FB">
            <w:pPr>
              <w:rPr>
                <w:b/>
                <w:bCs/>
                <w:lang w:eastAsia="sk-SK"/>
              </w:rPr>
            </w:pPr>
            <w:r w:rsidRPr="007D5748">
              <w:rPr>
                <w:b/>
                <w:bCs/>
                <w:lang w:eastAsia="sk-SK"/>
              </w:rPr>
              <w:t> </w:t>
            </w:r>
          </w:p>
        </w:tc>
      </w:tr>
      <w:tr w:rsidR="00D619B4" w:rsidRPr="007D5748" w14:paraId="2B2A7D4A"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08AFB690" w14:textId="77777777" w:rsidR="00D619B4" w:rsidRPr="007D5748" w:rsidRDefault="00D619B4" w:rsidP="001C13FB">
            <w:pPr>
              <w:rPr>
                <w:lang w:eastAsia="sk-SK"/>
              </w:rPr>
            </w:pPr>
            <w:r w:rsidRPr="007D5748">
              <w:rPr>
                <w:b/>
                <w:bCs/>
                <w:lang w:eastAsia="sk-SK"/>
              </w:rPr>
              <w:t xml:space="preserve">   z toho vplyv na ŠR</w:t>
            </w:r>
          </w:p>
        </w:tc>
        <w:tc>
          <w:tcPr>
            <w:tcW w:w="2268" w:type="dxa"/>
            <w:tcBorders>
              <w:top w:val="nil"/>
              <w:left w:val="nil"/>
              <w:bottom w:val="single" w:sz="4" w:space="0" w:color="auto"/>
              <w:right w:val="single" w:sz="4" w:space="0" w:color="auto"/>
            </w:tcBorders>
          </w:tcPr>
          <w:p w14:paraId="57FB64AA" w14:textId="77777777" w:rsidR="00D619B4" w:rsidRPr="000C290E" w:rsidRDefault="00D619B4" w:rsidP="001C13FB">
            <w:pPr>
              <w:jc w:val="center"/>
              <w:rPr>
                <w:b/>
                <w:bCs/>
                <w:lang w:eastAsia="sk-SK"/>
              </w:rPr>
            </w:pPr>
            <w:r w:rsidRPr="000C290E">
              <w:rPr>
                <w:b/>
              </w:rPr>
              <w:t>0</w:t>
            </w:r>
          </w:p>
        </w:tc>
        <w:tc>
          <w:tcPr>
            <w:tcW w:w="1559" w:type="dxa"/>
            <w:tcBorders>
              <w:top w:val="nil"/>
              <w:left w:val="nil"/>
              <w:bottom w:val="single" w:sz="4" w:space="0" w:color="auto"/>
              <w:right w:val="single" w:sz="4" w:space="0" w:color="auto"/>
            </w:tcBorders>
          </w:tcPr>
          <w:p w14:paraId="6251A9FE" w14:textId="77777777" w:rsidR="00D619B4" w:rsidRPr="0033082A" w:rsidRDefault="00D619B4" w:rsidP="001C13FB">
            <w:pPr>
              <w:jc w:val="center"/>
              <w:rPr>
                <w:b/>
                <w:bCs/>
                <w:lang w:eastAsia="sk-SK"/>
              </w:rPr>
            </w:pPr>
            <w:r w:rsidRPr="00B05A3C">
              <w:rPr>
                <w:b/>
              </w:rPr>
              <w:t>397 412</w:t>
            </w:r>
          </w:p>
        </w:tc>
        <w:tc>
          <w:tcPr>
            <w:tcW w:w="2410" w:type="dxa"/>
            <w:tcBorders>
              <w:top w:val="nil"/>
              <w:left w:val="nil"/>
              <w:bottom w:val="single" w:sz="4" w:space="0" w:color="auto"/>
              <w:right w:val="single" w:sz="4" w:space="0" w:color="auto"/>
            </w:tcBorders>
          </w:tcPr>
          <w:p w14:paraId="71F3661D" w14:textId="77777777" w:rsidR="00D619B4" w:rsidRPr="0033082A" w:rsidRDefault="00D619B4" w:rsidP="001C13FB">
            <w:pPr>
              <w:jc w:val="center"/>
              <w:rPr>
                <w:b/>
                <w:bCs/>
                <w:lang w:eastAsia="sk-SK"/>
              </w:rPr>
            </w:pPr>
            <w:r w:rsidRPr="00B05A3C">
              <w:rPr>
                <w:b/>
              </w:rPr>
              <w:t>397 412</w:t>
            </w:r>
          </w:p>
        </w:tc>
        <w:tc>
          <w:tcPr>
            <w:tcW w:w="1722" w:type="dxa"/>
            <w:tcBorders>
              <w:top w:val="nil"/>
              <w:left w:val="nil"/>
              <w:bottom w:val="single" w:sz="4" w:space="0" w:color="auto"/>
              <w:right w:val="single" w:sz="4" w:space="0" w:color="auto"/>
            </w:tcBorders>
          </w:tcPr>
          <w:p w14:paraId="21A15582" w14:textId="77777777" w:rsidR="00D619B4" w:rsidRPr="0033082A" w:rsidRDefault="00D619B4" w:rsidP="001C13FB">
            <w:pPr>
              <w:jc w:val="center"/>
              <w:rPr>
                <w:b/>
                <w:bCs/>
                <w:lang w:eastAsia="sk-SK"/>
              </w:rPr>
            </w:pPr>
            <w:r w:rsidRPr="00B05A3C">
              <w:rPr>
                <w:b/>
              </w:rPr>
              <w:t>675 600</w:t>
            </w:r>
          </w:p>
        </w:tc>
        <w:tc>
          <w:tcPr>
            <w:tcW w:w="1620" w:type="dxa"/>
            <w:gridSpan w:val="2"/>
            <w:tcBorders>
              <w:top w:val="nil"/>
              <w:left w:val="nil"/>
              <w:bottom w:val="single" w:sz="4" w:space="0" w:color="auto"/>
              <w:right w:val="single" w:sz="4" w:space="0" w:color="auto"/>
            </w:tcBorders>
            <w:noWrap/>
            <w:vAlign w:val="bottom"/>
          </w:tcPr>
          <w:p w14:paraId="455A1027" w14:textId="77777777" w:rsidR="00D619B4" w:rsidRPr="007D5748" w:rsidRDefault="00D619B4" w:rsidP="001C13FB">
            <w:pPr>
              <w:rPr>
                <w:lang w:eastAsia="sk-SK"/>
              </w:rPr>
            </w:pPr>
            <w:r w:rsidRPr="007D5748">
              <w:rPr>
                <w:lang w:eastAsia="sk-SK"/>
              </w:rPr>
              <w:t> </w:t>
            </w:r>
          </w:p>
        </w:tc>
      </w:tr>
      <w:tr w:rsidR="00D619B4" w:rsidRPr="007D5748" w14:paraId="1B20E3DA"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1815408C" w14:textId="77777777" w:rsidR="00D619B4" w:rsidRPr="007D5748" w:rsidRDefault="00D619B4" w:rsidP="001C13FB">
            <w:pPr>
              <w:rPr>
                <w:b/>
                <w:bCs/>
                <w:lang w:eastAsia="sk-SK"/>
              </w:rPr>
            </w:pPr>
            <w:r>
              <w:rPr>
                <w:b/>
                <w:bCs/>
                <w:lang w:eastAsia="sk-SK"/>
              </w:rPr>
              <w:t xml:space="preserve">   z toho vplyv na EÚ (POO)</w:t>
            </w:r>
          </w:p>
        </w:tc>
        <w:tc>
          <w:tcPr>
            <w:tcW w:w="2268" w:type="dxa"/>
            <w:tcBorders>
              <w:top w:val="nil"/>
              <w:left w:val="nil"/>
              <w:bottom w:val="single" w:sz="4" w:space="0" w:color="auto"/>
              <w:right w:val="single" w:sz="4" w:space="0" w:color="auto"/>
            </w:tcBorders>
          </w:tcPr>
          <w:p w14:paraId="025A0B56" w14:textId="77777777" w:rsidR="00D619B4" w:rsidRPr="000C290E" w:rsidRDefault="00D619B4" w:rsidP="001C13FB">
            <w:pPr>
              <w:jc w:val="center"/>
              <w:rPr>
                <w:b/>
                <w:bCs/>
                <w:lang w:eastAsia="sk-SK"/>
              </w:rPr>
            </w:pPr>
            <w:r>
              <w:rPr>
                <w:b/>
              </w:rPr>
              <w:t>115 920</w:t>
            </w:r>
          </w:p>
        </w:tc>
        <w:tc>
          <w:tcPr>
            <w:tcW w:w="1559" w:type="dxa"/>
            <w:tcBorders>
              <w:top w:val="nil"/>
              <w:left w:val="nil"/>
              <w:bottom w:val="single" w:sz="4" w:space="0" w:color="auto"/>
              <w:right w:val="single" w:sz="4" w:space="0" w:color="auto"/>
            </w:tcBorders>
          </w:tcPr>
          <w:p w14:paraId="537198DD" w14:textId="77777777" w:rsidR="00D619B4" w:rsidRPr="0033082A" w:rsidRDefault="00D619B4" w:rsidP="001C13FB">
            <w:pPr>
              <w:jc w:val="center"/>
              <w:rPr>
                <w:b/>
                <w:bCs/>
                <w:lang w:eastAsia="sk-SK"/>
              </w:rPr>
            </w:pPr>
            <w:r w:rsidRPr="00B05A3C">
              <w:rPr>
                <w:b/>
              </w:rPr>
              <w:t>278 188</w:t>
            </w:r>
          </w:p>
        </w:tc>
        <w:tc>
          <w:tcPr>
            <w:tcW w:w="2410" w:type="dxa"/>
            <w:tcBorders>
              <w:top w:val="nil"/>
              <w:left w:val="nil"/>
              <w:bottom w:val="single" w:sz="4" w:space="0" w:color="auto"/>
              <w:right w:val="single" w:sz="4" w:space="0" w:color="auto"/>
            </w:tcBorders>
          </w:tcPr>
          <w:p w14:paraId="48024016" w14:textId="77777777" w:rsidR="00D619B4" w:rsidRPr="0033082A" w:rsidRDefault="00D619B4" w:rsidP="001C13FB">
            <w:pPr>
              <w:jc w:val="center"/>
              <w:rPr>
                <w:b/>
                <w:bCs/>
                <w:lang w:eastAsia="sk-SK"/>
              </w:rPr>
            </w:pPr>
            <w:r w:rsidRPr="00B05A3C">
              <w:rPr>
                <w:b/>
              </w:rPr>
              <w:t>278 188</w:t>
            </w:r>
          </w:p>
        </w:tc>
        <w:tc>
          <w:tcPr>
            <w:tcW w:w="1722" w:type="dxa"/>
            <w:tcBorders>
              <w:top w:val="nil"/>
              <w:left w:val="nil"/>
              <w:bottom w:val="single" w:sz="4" w:space="0" w:color="auto"/>
              <w:right w:val="single" w:sz="4" w:space="0" w:color="auto"/>
            </w:tcBorders>
          </w:tcPr>
          <w:p w14:paraId="196168C2" w14:textId="77777777" w:rsidR="00D619B4" w:rsidRPr="0033082A" w:rsidRDefault="00D619B4" w:rsidP="001C13FB">
            <w:pPr>
              <w:jc w:val="center"/>
              <w:rPr>
                <w:b/>
                <w:bCs/>
                <w:lang w:eastAsia="sk-SK"/>
              </w:rPr>
            </w:pPr>
            <w:r w:rsidRPr="00B05A3C">
              <w:rPr>
                <w:b/>
              </w:rPr>
              <w:t>0</w:t>
            </w:r>
          </w:p>
        </w:tc>
        <w:tc>
          <w:tcPr>
            <w:tcW w:w="1620" w:type="dxa"/>
            <w:gridSpan w:val="2"/>
            <w:tcBorders>
              <w:top w:val="nil"/>
              <w:left w:val="nil"/>
              <w:bottom w:val="single" w:sz="4" w:space="0" w:color="auto"/>
              <w:right w:val="single" w:sz="4" w:space="0" w:color="auto"/>
            </w:tcBorders>
            <w:noWrap/>
            <w:vAlign w:val="bottom"/>
          </w:tcPr>
          <w:p w14:paraId="48FC8902" w14:textId="77777777" w:rsidR="00D619B4" w:rsidRPr="007D5748" w:rsidRDefault="00D619B4" w:rsidP="001C13FB">
            <w:pPr>
              <w:rPr>
                <w:lang w:eastAsia="sk-SK"/>
              </w:rPr>
            </w:pPr>
            <w:r>
              <w:rPr>
                <w:lang w:eastAsia="sk-SK"/>
              </w:rPr>
              <w:t>Investícia č. 6</w:t>
            </w:r>
          </w:p>
        </w:tc>
      </w:tr>
      <w:tr w:rsidR="00D619B4" w:rsidRPr="007D5748" w14:paraId="0A86AC60"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57D1D8AB" w14:textId="77777777" w:rsidR="00D619B4" w:rsidRPr="007D5748" w:rsidRDefault="00D619B4" w:rsidP="001C13FB">
            <w:pPr>
              <w:rPr>
                <w:b/>
                <w:bCs/>
                <w:lang w:eastAsia="sk-SK"/>
              </w:rPr>
            </w:pPr>
            <w:r w:rsidRPr="007D5748">
              <w:rPr>
                <w:b/>
                <w:bCs/>
                <w:lang w:eastAsia="sk-SK"/>
              </w:rPr>
              <w:t>Poistné a príspevok do poisťovní (620)</w:t>
            </w:r>
          </w:p>
        </w:tc>
        <w:tc>
          <w:tcPr>
            <w:tcW w:w="2268" w:type="dxa"/>
            <w:tcBorders>
              <w:top w:val="nil"/>
              <w:left w:val="nil"/>
              <w:bottom w:val="single" w:sz="4" w:space="0" w:color="auto"/>
              <w:right w:val="single" w:sz="4" w:space="0" w:color="auto"/>
            </w:tcBorders>
          </w:tcPr>
          <w:p w14:paraId="2871F3FC" w14:textId="77777777" w:rsidR="00D619B4" w:rsidRPr="000C290E" w:rsidRDefault="00D619B4" w:rsidP="001C13FB">
            <w:pPr>
              <w:jc w:val="center"/>
              <w:rPr>
                <w:b/>
                <w:bCs/>
                <w:lang w:eastAsia="sk-SK"/>
              </w:rPr>
            </w:pPr>
            <w:r>
              <w:rPr>
                <w:b/>
              </w:rPr>
              <w:t>40 514</w:t>
            </w:r>
          </w:p>
        </w:tc>
        <w:tc>
          <w:tcPr>
            <w:tcW w:w="1559" w:type="dxa"/>
            <w:tcBorders>
              <w:top w:val="nil"/>
              <w:left w:val="nil"/>
              <w:bottom w:val="single" w:sz="4" w:space="0" w:color="auto"/>
              <w:right w:val="single" w:sz="4" w:space="0" w:color="auto"/>
            </w:tcBorders>
          </w:tcPr>
          <w:p w14:paraId="36A9D88C" w14:textId="77777777" w:rsidR="00D619B4" w:rsidRPr="0033082A" w:rsidRDefault="00D619B4" w:rsidP="001C13FB">
            <w:pPr>
              <w:jc w:val="center"/>
              <w:rPr>
                <w:b/>
                <w:bCs/>
                <w:lang w:eastAsia="sk-SK"/>
              </w:rPr>
            </w:pPr>
            <w:r w:rsidRPr="00B05A3C">
              <w:rPr>
                <w:b/>
              </w:rPr>
              <w:t>236 122</w:t>
            </w:r>
          </w:p>
        </w:tc>
        <w:tc>
          <w:tcPr>
            <w:tcW w:w="2410" w:type="dxa"/>
            <w:tcBorders>
              <w:top w:val="nil"/>
              <w:left w:val="nil"/>
              <w:bottom w:val="single" w:sz="4" w:space="0" w:color="auto"/>
              <w:right w:val="single" w:sz="4" w:space="0" w:color="auto"/>
            </w:tcBorders>
          </w:tcPr>
          <w:p w14:paraId="2CE55012" w14:textId="77777777" w:rsidR="00D619B4" w:rsidRPr="0033082A" w:rsidRDefault="00D619B4" w:rsidP="001C13FB">
            <w:pPr>
              <w:jc w:val="center"/>
              <w:rPr>
                <w:b/>
                <w:bCs/>
                <w:lang w:eastAsia="sk-SK"/>
              </w:rPr>
            </w:pPr>
            <w:r w:rsidRPr="00B05A3C">
              <w:rPr>
                <w:b/>
              </w:rPr>
              <w:t>236 122</w:t>
            </w:r>
          </w:p>
        </w:tc>
        <w:tc>
          <w:tcPr>
            <w:tcW w:w="1722" w:type="dxa"/>
            <w:tcBorders>
              <w:top w:val="nil"/>
              <w:left w:val="nil"/>
              <w:bottom w:val="single" w:sz="4" w:space="0" w:color="auto"/>
              <w:right w:val="single" w:sz="4" w:space="0" w:color="auto"/>
            </w:tcBorders>
          </w:tcPr>
          <w:p w14:paraId="743D9AE0" w14:textId="77777777" w:rsidR="00D619B4" w:rsidRPr="0033082A" w:rsidRDefault="00D619B4" w:rsidP="001C13FB">
            <w:pPr>
              <w:jc w:val="center"/>
              <w:rPr>
                <w:b/>
                <w:bCs/>
                <w:lang w:eastAsia="sk-SK"/>
              </w:rPr>
            </w:pPr>
            <w:r w:rsidRPr="00B05A3C">
              <w:rPr>
                <w:b/>
              </w:rPr>
              <w:t>236 122</w:t>
            </w:r>
          </w:p>
        </w:tc>
        <w:tc>
          <w:tcPr>
            <w:tcW w:w="1620" w:type="dxa"/>
            <w:gridSpan w:val="2"/>
            <w:tcBorders>
              <w:top w:val="nil"/>
              <w:left w:val="nil"/>
              <w:bottom w:val="single" w:sz="4" w:space="0" w:color="auto"/>
              <w:right w:val="single" w:sz="4" w:space="0" w:color="auto"/>
            </w:tcBorders>
            <w:noWrap/>
            <w:vAlign w:val="bottom"/>
          </w:tcPr>
          <w:p w14:paraId="7A6B897E" w14:textId="77777777" w:rsidR="00D619B4" w:rsidRPr="007D5748" w:rsidRDefault="00D619B4" w:rsidP="001C13FB">
            <w:pPr>
              <w:rPr>
                <w:b/>
                <w:bCs/>
                <w:lang w:eastAsia="sk-SK"/>
              </w:rPr>
            </w:pPr>
            <w:r w:rsidRPr="007D5748">
              <w:rPr>
                <w:b/>
                <w:bCs/>
                <w:lang w:eastAsia="sk-SK"/>
              </w:rPr>
              <w:t> </w:t>
            </w:r>
          </w:p>
        </w:tc>
      </w:tr>
      <w:tr w:rsidR="00D619B4" w:rsidRPr="007D5748" w14:paraId="61D4D15C" w14:textId="77777777" w:rsidTr="001C13FB">
        <w:trPr>
          <w:gridAfter w:val="5"/>
          <w:wAfter w:w="4211" w:type="dxa"/>
          <w:trHeight w:val="287"/>
        </w:trPr>
        <w:tc>
          <w:tcPr>
            <w:tcW w:w="4465" w:type="dxa"/>
            <w:tcBorders>
              <w:top w:val="nil"/>
              <w:left w:val="single" w:sz="4" w:space="0" w:color="auto"/>
              <w:bottom w:val="single" w:sz="4" w:space="0" w:color="auto"/>
              <w:right w:val="single" w:sz="4" w:space="0" w:color="auto"/>
            </w:tcBorders>
          </w:tcPr>
          <w:p w14:paraId="6B8F8D41" w14:textId="77777777" w:rsidR="00D619B4" w:rsidRPr="007D5748" w:rsidRDefault="00D619B4" w:rsidP="001C13FB">
            <w:pPr>
              <w:rPr>
                <w:lang w:eastAsia="sk-SK"/>
              </w:rPr>
            </w:pPr>
            <w:r w:rsidRPr="007D5748">
              <w:rPr>
                <w:b/>
                <w:bCs/>
                <w:lang w:eastAsia="sk-SK"/>
              </w:rPr>
              <w:t xml:space="preserve">   z toho vplyv na ŠR</w:t>
            </w:r>
          </w:p>
        </w:tc>
        <w:tc>
          <w:tcPr>
            <w:tcW w:w="2268" w:type="dxa"/>
            <w:tcBorders>
              <w:top w:val="nil"/>
              <w:left w:val="nil"/>
              <w:bottom w:val="single" w:sz="4" w:space="0" w:color="auto"/>
              <w:right w:val="single" w:sz="4" w:space="0" w:color="auto"/>
            </w:tcBorders>
          </w:tcPr>
          <w:p w14:paraId="7D2AE128" w14:textId="77777777" w:rsidR="00D619B4" w:rsidRPr="000C290E" w:rsidRDefault="00D619B4" w:rsidP="001C13FB">
            <w:pPr>
              <w:jc w:val="center"/>
              <w:rPr>
                <w:b/>
                <w:bCs/>
                <w:lang w:eastAsia="sk-SK"/>
              </w:rPr>
            </w:pPr>
            <w:r w:rsidRPr="000C290E">
              <w:rPr>
                <w:b/>
              </w:rPr>
              <w:t>0</w:t>
            </w:r>
          </w:p>
        </w:tc>
        <w:tc>
          <w:tcPr>
            <w:tcW w:w="1559" w:type="dxa"/>
            <w:tcBorders>
              <w:top w:val="nil"/>
              <w:left w:val="nil"/>
              <w:bottom w:val="single" w:sz="4" w:space="0" w:color="auto"/>
              <w:right w:val="single" w:sz="4" w:space="0" w:color="auto"/>
            </w:tcBorders>
          </w:tcPr>
          <w:p w14:paraId="710CC71F" w14:textId="77777777" w:rsidR="00D619B4" w:rsidRPr="0033082A" w:rsidRDefault="00D619B4" w:rsidP="001C13FB">
            <w:pPr>
              <w:jc w:val="center"/>
              <w:rPr>
                <w:b/>
                <w:bCs/>
                <w:lang w:eastAsia="sk-SK"/>
              </w:rPr>
            </w:pPr>
            <w:r w:rsidRPr="00B05A3C">
              <w:rPr>
                <w:b/>
              </w:rPr>
              <w:t>138 895</w:t>
            </w:r>
          </w:p>
        </w:tc>
        <w:tc>
          <w:tcPr>
            <w:tcW w:w="2410" w:type="dxa"/>
            <w:tcBorders>
              <w:top w:val="nil"/>
              <w:left w:val="nil"/>
              <w:bottom w:val="single" w:sz="4" w:space="0" w:color="auto"/>
              <w:right w:val="single" w:sz="4" w:space="0" w:color="auto"/>
            </w:tcBorders>
          </w:tcPr>
          <w:p w14:paraId="123FD964" w14:textId="77777777" w:rsidR="00D619B4" w:rsidRPr="0033082A" w:rsidRDefault="00D619B4" w:rsidP="001C13FB">
            <w:pPr>
              <w:jc w:val="center"/>
              <w:rPr>
                <w:b/>
                <w:bCs/>
                <w:lang w:eastAsia="sk-SK"/>
              </w:rPr>
            </w:pPr>
            <w:r w:rsidRPr="00B05A3C">
              <w:rPr>
                <w:b/>
              </w:rPr>
              <w:t>138 895</w:t>
            </w:r>
          </w:p>
        </w:tc>
        <w:tc>
          <w:tcPr>
            <w:tcW w:w="1722" w:type="dxa"/>
            <w:tcBorders>
              <w:top w:val="nil"/>
              <w:left w:val="nil"/>
              <w:bottom w:val="single" w:sz="4" w:space="0" w:color="auto"/>
              <w:right w:val="single" w:sz="4" w:space="0" w:color="auto"/>
            </w:tcBorders>
          </w:tcPr>
          <w:p w14:paraId="36837ECF" w14:textId="77777777" w:rsidR="00D619B4" w:rsidRPr="0033082A" w:rsidRDefault="00D619B4" w:rsidP="001C13FB">
            <w:pPr>
              <w:jc w:val="center"/>
              <w:rPr>
                <w:b/>
                <w:bCs/>
                <w:lang w:eastAsia="sk-SK"/>
              </w:rPr>
            </w:pPr>
            <w:r w:rsidRPr="00B05A3C">
              <w:rPr>
                <w:b/>
              </w:rPr>
              <w:t>236 122</w:t>
            </w:r>
          </w:p>
        </w:tc>
        <w:tc>
          <w:tcPr>
            <w:tcW w:w="1620" w:type="dxa"/>
            <w:gridSpan w:val="2"/>
            <w:tcBorders>
              <w:top w:val="nil"/>
              <w:left w:val="nil"/>
              <w:bottom w:val="single" w:sz="4" w:space="0" w:color="auto"/>
              <w:right w:val="single" w:sz="4" w:space="0" w:color="auto"/>
            </w:tcBorders>
            <w:noWrap/>
            <w:vAlign w:val="bottom"/>
          </w:tcPr>
          <w:p w14:paraId="6DA4AEDA" w14:textId="77777777" w:rsidR="00D619B4" w:rsidRPr="007D5748" w:rsidRDefault="00D619B4" w:rsidP="001C13FB">
            <w:pPr>
              <w:rPr>
                <w:lang w:eastAsia="sk-SK"/>
              </w:rPr>
            </w:pPr>
            <w:r w:rsidRPr="007D5748">
              <w:rPr>
                <w:lang w:eastAsia="sk-SK"/>
              </w:rPr>
              <w:t> </w:t>
            </w:r>
          </w:p>
        </w:tc>
      </w:tr>
      <w:tr w:rsidR="00D619B4" w:rsidRPr="007D5748" w14:paraId="56EF5762" w14:textId="77777777" w:rsidTr="001C13FB">
        <w:trPr>
          <w:gridAfter w:val="5"/>
          <w:wAfter w:w="4211" w:type="dxa"/>
          <w:trHeight w:val="255"/>
        </w:trPr>
        <w:tc>
          <w:tcPr>
            <w:tcW w:w="4465" w:type="dxa"/>
            <w:tcBorders>
              <w:top w:val="nil"/>
              <w:left w:val="single" w:sz="4" w:space="0" w:color="auto"/>
              <w:bottom w:val="single" w:sz="4" w:space="0" w:color="auto"/>
              <w:right w:val="single" w:sz="4" w:space="0" w:color="auto"/>
            </w:tcBorders>
          </w:tcPr>
          <w:p w14:paraId="3C70B37A" w14:textId="77777777" w:rsidR="00D619B4" w:rsidRPr="007D5748" w:rsidRDefault="00D619B4" w:rsidP="001C13FB">
            <w:pPr>
              <w:rPr>
                <w:b/>
                <w:bCs/>
                <w:lang w:eastAsia="sk-SK"/>
              </w:rPr>
            </w:pPr>
            <w:r>
              <w:rPr>
                <w:b/>
                <w:bCs/>
                <w:lang w:eastAsia="sk-SK"/>
              </w:rPr>
              <w:t xml:space="preserve">   </w:t>
            </w:r>
            <w:r w:rsidRPr="007D5748">
              <w:rPr>
                <w:b/>
                <w:bCs/>
                <w:lang w:eastAsia="sk-SK"/>
              </w:rPr>
              <w:t xml:space="preserve">z toho vplyv na </w:t>
            </w:r>
            <w:r>
              <w:rPr>
                <w:b/>
                <w:bCs/>
                <w:lang w:eastAsia="sk-SK"/>
              </w:rPr>
              <w:t>EÚ (POO)</w:t>
            </w:r>
          </w:p>
        </w:tc>
        <w:tc>
          <w:tcPr>
            <w:tcW w:w="2268" w:type="dxa"/>
            <w:tcBorders>
              <w:top w:val="nil"/>
              <w:left w:val="nil"/>
              <w:bottom w:val="single" w:sz="4" w:space="0" w:color="auto"/>
              <w:right w:val="single" w:sz="4" w:space="0" w:color="auto"/>
            </w:tcBorders>
          </w:tcPr>
          <w:p w14:paraId="4AA22F3A" w14:textId="77777777" w:rsidR="00D619B4" w:rsidRPr="000C290E" w:rsidRDefault="00D619B4" w:rsidP="001C13FB">
            <w:pPr>
              <w:jc w:val="center"/>
              <w:rPr>
                <w:b/>
                <w:bCs/>
                <w:lang w:eastAsia="sk-SK"/>
              </w:rPr>
            </w:pPr>
            <w:r>
              <w:rPr>
                <w:b/>
              </w:rPr>
              <w:t>40 514</w:t>
            </w:r>
          </w:p>
        </w:tc>
        <w:tc>
          <w:tcPr>
            <w:tcW w:w="1559" w:type="dxa"/>
            <w:tcBorders>
              <w:top w:val="nil"/>
              <w:left w:val="nil"/>
              <w:bottom w:val="single" w:sz="4" w:space="0" w:color="auto"/>
              <w:right w:val="single" w:sz="4" w:space="0" w:color="auto"/>
            </w:tcBorders>
          </w:tcPr>
          <w:p w14:paraId="4AFAB117" w14:textId="77777777" w:rsidR="00D619B4" w:rsidRPr="0033082A" w:rsidRDefault="00D619B4" w:rsidP="001C13FB">
            <w:pPr>
              <w:jc w:val="center"/>
              <w:rPr>
                <w:b/>
                <w:bCs/>
                <w:lang w:eastAsia="sk-SK"/>
              </w:rPr>
            </w:pPr>
            <w:r w:rsidRPr="00B05A3C">
              <w:rPr>
                <w:b/>
              </w:rPr>
              <w:t>97 227</w:t>
            </w:r>
          </w:p>
        </w:tc>
        <w:tc>
          <w:tcPr>
            <w:tcW w:w="2410" w:type="dxa"/>
            <w:tcBorders>
              <w:top w:val="nil"/>
              <w:left w:val="nil"/>
              <w:bottom w:val="single" w:sz="4" w:space="0" w:color="auto"/>
              <w:right w:val="single" w:sz="4" w:space="0" w:color="auto"/>
            </w:tcBorders>
          </w:tcPr>
          <w:p w14:paraId="0E68A436" w14:textId="77777777" w:rsidR="00D619B4" w:rsidRPr="0033082A" w:rsidRDefault="00D619B4" w:rsidP="001C13FB">
            <w:pPr>
              <w:jc w:val="center"/>
              <w:rPr>
                <w:b/>
                <w:bCs/>
                <w:lang w:eastAsia="sk-SK"/>
              </w:rPr>
            </w:pPr>
            <w:r w:rsidRPr="00B05A3C">
              <w:rPr>
                <w:b/>
              </w:rPr>
              <w:t>97 227</w:t>
            </w:r>
          </w:p>
        </w:tc>
        <w:tc>
          <w:tcPr>
            <w:tcW w:w="1722" w:type="dxa"/>
            <w:tcBorders>
              <w:top w:val="nil"/>
              <w:left w:val="nil"/>
              <w:bottom w:val="single" w:sz="4" w:space="0" w:color="auto"/>
              <w:right w:val="single" w:sz="4" w:space="0" w:color="auto"/>
            </w:tcBorders>
          </w:tcPr>
          <w:p w14:paraId="5F7071D3" w14:textId="77777777" w:rsidR="00D619B4" w:rsidRPr="0033082A" w:rsidRDefault="00D619B4" w:rsidP="001C13FB">
            <w:pPr>
              <w:jc w:val="center"/>
              <w:rPr>
                <w:b/>
                <w:bCs/>
                <w:lang w:eastAsia="sk-SK"/>
              </w:rPr>
            </w:pPr>
            <w:r w:rsidRPr="00B05A3C">
              <w:rPr>
                <w:b/>
              </w:rPr>
              <w:t>0</w:t>
            </w:r>
          </w:p>
        </w:tc>
        <w:tc>
          <w:tcPr>
            <w:tcW w:w="1620" w:type="dxa"/>
            <w:gridSpan w:val="2"/>
            <w:tcBorders>
              <w:top w:val="nil"/>
              <w:left w:val="nil"/>
              <w:bottom w:val="single" w:sz="4" w:space="0" w:color="auto"/>
              <w:right w:val="single" w:sz="4" w:space="0" w:color="auto"/>
            </w:tcBorders>
            <w:noWrap/>
            <w:vAlign w:val="bottom"/>
          </w:tcPr>
          <w:p w14:paraId="77CB8D0E" w14:textId="77777777" w:rsidR="00D619B4" w:rsidRPr="007D5748" w:rsidRDefault="00D619B4" w:rsidP="001C13FB">
            <w:pPr>
              <w:rPr>
                <w:lang w:eastAsia="sk-SK"/>
              </w:rPr>
            </w:pPr>
            <w:r>
              <w:rPr>
                <w:lang w:eastAsia="sk-SK"/>
              </w:rPr>
              <w:t>Investícia č. 6</w:t>
            </w:r>
          </w:p>
        </w:tc>
      </w:tr>
      <w:tr w:rsidR="00D619B4" w:rsidRPr="007D5748" w14:paraId="40357267" w14:textId="77777777" w:rsidTr="001C13FB">
        <w:trPr>
          <w:gridAfter w:val="5"/>
          <w:wAfter w:w="4211" w:type="dxa"/>
          <w:trHeight w:val="255"/>
        </w:trPr>
        <w:tc>
          <w:tcPr>
            <w:tcW w:w="4465" w:type="dxa"/>
            <w:tcBorders>
              <w:top w:val="nil"/>
              <w:left w:val="nil"/>
              <w:bottom w:val="nil"/>
              <w:right w:val="nil"/>
            </w:tcBorders>
            <w:noWrap/>
            <w:vAlign w:val="bottom"/>
          </w:tcPr>
          <w:p w14:paraId="36F829D6" w14:textId="77777777" w:rsidR="00D619B4" w:rsidRPr="007D5748" w:rsidRDefault="00D619B4" w:rsidP="001C13FB">
            <w:pPr>
              <w:rPr>
                <w:lang w:eastAsia="sk-SK"/>
              </w:rPr>
            </w:pPr>
          </w:p>
        </w:tc>
        <w:tc>
          <w:tcPr>
            <w:tcW w:w="2268" w:type="dxa"/>
            <w:tcBorders>
              <w:top w:val="nil"/>
              <w:left w:val="nil"/>
              <w:bottom w:val="nil"/>
              <w:right w:val="nil"/>
            </w:tcBorders>
            <w:noWrap/>
            <w:vAlign w:val="bottom"/>
          </w:tcPr>
          <w:p w14:paraId="6969CB69" w14:textId="77777777" w:rsidR="00D619B4" w:rsidRPr="007D5748" w:rsidRDefault="00D619B4" w:rsidP="001C13FB">
            <w:pPr>
              <w:rPr>
                <w:lang w:eastAsia="sk-SK"/>
              </w:rPr>
            </w:pPr>
          </w:p>
        </w:tc>
        <w:tc>
          <w:tcPr>
            <w:tcW w:w="1559" w:type="dxa"/>
            <w:tcBorders>
              <w:top w:val="nil"/>
              <w:left w:val="nil"/>
              <w:bottom w:val="nil"/>
              <w:right w:val="nil"/>
            </w:tcBorders>
            <w:noWrap/>
            <w:vAlign w:val="bottom"/>
          </w:tcPr>
          <w:p w14:paraId="1AAD5EBA" w14:textId="77777777" w:rsidR="00D619B4" w:rsidRPr="007D5748" w:rsidRDefault="00D619B4" w:rsidP="001C13FB">
            <w:pPr>
              <w:rPr>
                <w:lang w:eastAsia="sk-SK"/>
              </w:rPr>
            </w:pPr>
          </w:p>
        </w:tc>
        <w:tc>
          <w:tcPr>
            <w:tcW w:w="2410" w:type="dxa"/>
            <w:tcBorders>
              <w:top w:val="nil"/>
              <w:left w:val="nil"/>
              <w:bottom w:val="nil"/>
              <w:right w:val="nil"/>
            </w:tcBorders>
            <w:noWrap/>
            <w:vAlign w:val="bottom"/>
          </w:tcPr>
          <w:p w14:paraId="0817C869" w14:textId="77777777" w:rsidR="00D619B4" w:rsidRPr="007D5748" w:rsidRDefault="00D619B4" w:rsidP="001C13FB">
            <w:pPr>
              <w:rPr>
                <w:lang w:eastAsia="sk-SK"/>
              </w:rPr>
            </w:pPr>
          </w:p>
        </w:tc>
        <w:tc>
          <w:tcPr>
            <w:tcW w:w="1722" w:type="dxa"/>
            <w:tcBorders>
              <w:top w:val="nil"/>
              <w:left w:val="nil"/>
              <w:bottom w:val="nil"/>
              <w:right w:val="nil"/>
            </w:tcBorders>
            <w:noWrap/>
            <w:vAlign w:val="bottom"/>
          </w:tcPr>
          <w:p w14:paraId="13701886" w14:textId="77777777" w:rsidR="00D619B4" w:rsidRPr="007D5748" w:rsidRDefault="00D619B4" w:rsidP="001C13FB">
            <w:pPr>
              <w:rPr>
                <w:lang w:eastAsia="sk-SK"/>
              </w:rPr>
            </w:pPr>
          </w:p>
        </w:tc>
        <w:tc>
          <w:tcPr>
            <w:tcW w:w="1620" w:type="dxa"/>
            <w:gridSpan w:val="2"/>
            <w:tcBorders>
              <w:top w:val="nil"/>
              <w:left w:val="nil"/>
              <w:bottom w:val="nil"/>
              <w:right w:val="nil"/>
            </w:tcBorders>
            <w:noWrap/>
            <w:vAlign w:val="bottom"/>
          </w:tcPr>
          <w:p w14:paraId="4E697EE2" w14:textId="77777777" w:rsidR="00D619B4" w:rsidRPr="007D5748" w:rsidRDefault="00D619B4" w:rsidP="001C13FB">
            <w:pPr>
              <w:rPr>
                <w:lang w:eastAsia="sk-SK"/>
              </w:rPr>
            </w:pPr>
          </w:p>
        </w:tc>
      </w:tr>
      <w:tr w:rsidR="00D619B4" w:rsidRPr="007D5748" w14:paraId="788944E8" w14:textId="77777777" w:rsidTr="001C13FB">
        <w:trPr>
          <w:gridAfter w:val="5"/>
          <w:wAfter w:w="4211" w:type="dxa"/>
          <w:trHeight w:val="255"/>
        </w:trPr>
        <w:tc>
          <w:tcPr>
            <w:tcW w:w="4465" w:type="dxa"/>
            <w:tcBorders>
              <w:top w:val="nil"/>
              <w:left w:val="nil"/>
              <w:bottom w:val="nil"/>
              <w:right w:val="nil"/>
            </w:tcBorders>
          </w:tcPr>
          <w:p w14:paraId="5D72AC23" w14:textId="77777777" w:rsidR="00D619B4" w:rsidRPr="007D5748" w:rsidRDefault="00D619B4" w:rsidP="001C13FB">
            <w:pPr>
              <w:rPr>
                <w:b/>
                <w:bCs/>
                <w:lang w:eastAsia="sk-SK"/>
              </w:rPr>
            </w:pPr>
            <w:r w:rsidRPr="007D5748">
              <w:rPr>
                <w:b/>
                <w:bCs/>
                <w:lang w:eastAsia="sk-SK"/>
              </w:rPr>
              <w:t>Poznámky:</w:t>
            </w:r>
          </w:p>
        </w:tc>
        <w:tc>
          <w:tcPr>
            <w:tcW w:w="2268" w:type="dxa"/>
            <w:tcBorders>
              <w:top w:val="nil"/>
              <w:left w:val="nil"/>
              <w:bottom w:val="nil"/>
              <w:right w:val="nil"/>
            </w:tcBorders>
            <w:noWrap/>
            <w:vAlign w:val="bottom"/>
          </w:tcPr>
          <w:p w14:paraId="1342A8F0" w14:textId="77777777" w:rsidR="00D619B4" w:rsidRPr="007D5748" w:rsidRDefault="00D619B4" w:rsidP="001C13FB">
            <w:pPr>
              <w:rPr>
                <w:lang w:eastAsia="sk-SK"/>
              </w:rPr>
            </w:pPr>
          </w:p>
        </w:tc>
        <w:tc>
          <w:tcPr>
            <w:tcW w:w="1559" w:type="dxa"/>
            <w:tcBorders>
              <w:top w:val="nil"/>
              <w:left w:val="nil"/>
              <w:bottom w:val="nil"/>
              <w:right w:val="nil"/>
            </w:tcBorders>
            <w:noWrap/>
            <w:vAlign w:val="bottom"/>
          </w:tcPr>
          <w:p w14:paraId="7F57BA14" w14:textId="77777777" w:rsidR="00D619B4" w:rsidRPr="007D5748" w:rsidRDefault="00D619B4" w:rsidP="001C13FB">
            <w:pPr>
              <w:rPr>
                <w:lang w:eastAsia="sk-SK"/>
              </w:rPr>
            </w:pPr>
          </w:p>
        </w:tc>
        <w:tc>
          <w:tcPr>
            <w:tcW w:w="2410" w:type="dxa"/>
            <w:tcBorders>
              <w:top w:val="nil"/>
              <w:left w:val="nil"/>
              <w:bottom w:val="nil"/>
              <w:right w:val="nil"/>
            </w:tcBorders>
            <w:noWrap/>
            <w:vAlign w:val="bottom"/>
          </w:tcPr>
          <w:p w14:paraId="638A88A0" w14:textId="77777777" w:rsidR="00D619B4" w:rsidRPr="007D5748" w:rsidRDefault="00D619B4" w:rsidP="001C13FB">
            <w:pPr>
              <w:rPr>
                <w:lang w:eastAsia="sk-SK"/>
              </w:rPr>
            </w:pPr>
          </w:p>
        </w:tc>
        <w:tc>
          <w:tcPr>
            <w:tcW w:w="1722" w:type="dxa"/>
            <w:tcBorders>
              <w:top w:val="nil"/>
              <w:left w:val="nil"/>
              <w:bottom w:val="nil"/>
              <w:right w:val="nil"/>
            </w:tcBorders>
            <w:noWrap/>
            <w:vAlign w:val="bottom"/>
          </w:tcPr>
          <w:p w14:paraId="54A8499A" w14:textId="77777777" w:rsidR="00D619B4" w:rsidRPr="007D5748" w:rsidRDefault="00D619B4" w:rsidP="001C13FB">
            <w:pPr>
              <w:rPr>
                <w:lang w:eastAsia="sk-SK"/>
              </w:rPr>
            </w:pPr>
          </w:p>
        </w:tc>
        <w:tc>
          <w:tcPr>
            <w:tcW w:w="1620" w:type="dxa"/>
            <w:gridSpan w:val="2"/>
            <w:tcBorders>
              <w:top w:val="nil"/>
              <w:left w:val="nil"/>
              <w:bottom w:val="nil"/>
              <w:right w:val="nil"/>
            </w:tcBorders>
            <w:noWrap/>
            <w:vAlign w:val="bottom"/>
          </w:tcPr>
          <w:p w14:paraId="571C6CDD" w14:textId="77777777" w:rsidR="00D619B4" w:rsidRPr="007D5748" w:rsidRDefault="00D619B4" w:rsidP="001C13FB">
            <w:pPr>
              <w:rPr>
                <w:lang w:eastAsia="sk-SK"/>
              </w:rPr>
            </w:pPr>
          </w:p>
        </w:tc>
      </w:tr>
      <w:tr w:rsidR="00D619B4" w:rsidRPr="007D5748" w14:paraId="799A0342" w14:textId="77777777" w:rsidTr="001C13FB">
        <w:trPr>
          <w:gridAfter w:val="4"/>
          <w:wAfter w:w="4204" w:type="dxa"/>
          <w:trHeight w:val="255"/>
        </w:trPr>
        <w:tc>
          <w:tcPr>
            <w:tcW w:w="12431" w:type="dxa"/>
            <w:gridSpan w:val="6"/>
            <w:tcBorders>
              <w:top w:val="nil"/>
              <w:left w:val="nil"/>
              <w:bottom w:val="nil"/>
              <w:right w:val="nil"/>
            </w:tcBorders>
            <w:noWrap/>
          </w:tcPr>
          <w:p w14:paraId="45256454" w14:textId="77777777" w:rsidR="00D619B4" w:rsidRPr="007D5748" w:rsidRDefault="00D619B4" w:rsidP="001C13FB">
            <w:pPr>
              <w:tabs>
                <w:tab w:val="num" w:pos="1080"/>
              </w:tabs>
              <w:jc w:val="both"/>
              <w:rPr>
                <w:bCs/>
                <w:szCs w:val="20"/>
                <w:lang w:eastAsia="sk-SK"/>
              </w:rPr>
            </w:pPr>
            <w:r w:rsidRPr="007D5748">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686C1A8" w14:textId="77777777" w:rsidR="00D619B4" w:rsidRPr="007D5748" w:rsidRDefault="00D619B4" w:rsidP="001C13FB">
            <w:pPr>
              <w:rPr>
                <w:lang w:eastAsia="sk-SK"/>
              </w:rPr>
            </w:pPr>
            <w:r w:rsidRPr="007D5748">
              <w:rPr>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3AC02D63" w14:textId="77777777" w:rsidR="00D619B4" w:rsidRPr="007D5748" w:rsidRDefault="00D619B4" w:rsidP="001C13FB">
            <w:pPr>
              <w:rPr>
                <w:lang w:eastAsia="sk-SK"/>
              </w:rPr>
            </w:pPr>
          </w:p>
        </w:tc>
      </w:tr>
      <w:tr w:rsidR="00D619B4" w:rsidRPr="007D5748" w14:paraId="76EC96E1" w14:textId="77777777" w:rsidTr="001C13FB">
        <w:trPr>
          <w:trHeight w:val="255"/>
        </w:trPr>
        <w:tc>
          <w:tcPr>
            <w:tcW w:w="14753" w:type="dxa"/>
            <w:gridSpan w:val="9"/>
            <w:tcBorders>
              <w:top w:val="nil"/>
              <w:left w:val="nil"/>
              <w:bottom w:val="nil"/>
              <w:right w:val="nil"/>
            </w:tcBorders>
            <w:noWrap/>
            <w:vAlign w:val="bottom"/>
          </w:tcPr>
          <w:p w14:paraId="247BE214" w14:textId="77777777" w:rsidR="00D619B4" w:rsidRDefault="00D619B4" w:rsidP="001C13FB">
            <w:pPr>
              <w:rPr>
                <w:lang w:eastAsia="sk-SK"/>
              </w:rPr>
            </w:pPr>
            <w:r w:rsidRPr="007D5748">
              <w:rPr>
                <w:lang w:eastAsia="sk-SK"/>
              </w:rPr>
              <w:t>Kategórie 610 a 620 sú z tejto prílohy prenášané do príslušných kategórií prílohy „výdavky“.</w:t>
            </w:r>
          </w:p>
          <w:p w14:paraId="3F9CF0B5" w14:textId="77777777" w:rsidR="00D619B4" w:rsidRDefault="00D619B4" w:rsidP="001C13FB">
            <w:pPr>
              <w:rPr>
                <w:lang w:eastAsia="sk-SK"/>
              </w:rPr>
            </w:pPr>
          </w:p>
          <w:p w14:paraId="02CB289F" w14:textId="77777777" w:rsidR="00D619B4" w:rsidRDefault="00D619B4" w:rsidP="001C13FB">
            <w:pPr>
              <w:rPr>
                <w:lang w:eastAsia="sk-SK"/>
              </w:rPr>
            </w:pPr>
          </w:p>
          <w:p w14:paraId="46E21F92" w14:textId="77777777" w:rsidR="00D619B4" w:rsidRDefault="00D619B4" w:rsidP="001C13FB">
            <w:pPr>
              <w:rPr>
                <w:lang w:eastAsia="sk-SK"/>
              </w:rPr>
            </w:pPr>
          </w:p>
          <w:p w14:paraId="6BE20CA4" w14:textId="77777777" w:rsidR="00D619B4" w:rsidRDefault="00D619B4" w:rsidP="001C13FB">
            <w:pPr>
              <w:rPr>
                <w:lang w:eastAsia="sk-SK"/>
              </w:rPr>
            </w:pPr>
          </w:p>
          <w:p w14:paraId="5A0BCFEF" w14:textId="77777777" w:rsidR="00D619B4" w:rsidRDefault="00D619B4" w:rsidP="001C13FB">
            <w:pPr>
              <w:rPr>
                <w:lang w:eastAsia="sk-SK"/>
              </w:rPr>
            </w:pPr>
          </w:p>
          <w:p w14:paraId="1234F472" w14:textId="77777777" w:rsidR="00D619B4" w:rsidRDefault="00D619B4" w:rsidP="001C13FB">
            <w:pPr>
              <w:rPr>
                <w:lang w:eastAsia="sk-SK"/>
              </w:rPr>
            </w:pPr>
          </w:p>
          <w:p w14:paraId="14926D1E" w14:textId="77777777" w:rsidR="00D619B4" w:rsidRDefault="00D619B4" w:rsidP="001C13FB">
            <w:pPr>
              <w:rPr>
                <w:lang w:eastAsia="sk-SK"/>
              </w:rPr>
            </w:pPr>
          </w:p>
          <w:p w14:paraId="5070D81C" w14:textId="77777777" w:rsidR="00D619B4" w:rsidRDefault="00D619B4" w:rsidP="001C13FB">
            <w:pPr>
              <w:tabs>
                <w:tab w:val="num" w:pos="1080"/>
              </w:tabs>
              <w:jc w:val="right"/>
              <w:rPr>
                <w:bCs/>
                <w:lang w:eastAsia="sk-SK"/>
              </w:rPr>
            </w:pPr>
            <w:r w:rsidRPr="007D5748">
              <w:rPr>
                <w:bCs/>
                <w:lang w:eastAsia="sk-SK"/>
              </w:rPr>
              <w:t xml:space="preserve">                 </w:t>
            </w:r>
          </w:p>
          <w:p w14:paraId="141F9D90" w14:textId="77777777" w:rsidR="00D619B4" w:rsidRDefault="00D619B4" w:rsidP="001C13FB">
            <w:pPr>
              <w:tabs>
                <w:tab w:val="num" w:pos="1080"/>
              </w:tabs>
              <w:jc w:val="right"/>
              <w:rPr>
                <w:bCs/>
                <w:lang w:eastAsia="sk-SK"/>
              </w:rPr>
            </w:pPr>
          </w:p>
          <w:p w14:paraId="1BEC6CAA" w14:textId="77777777" w:rsidR="00D619B4" w:rsidRDefault="00D619B4" w:rsidP="001C13FB">
            <w:pPr>
              <w:tabs>
                <w:tab w:val="num" w:pos="1080"/>
              </w:tabs>
              <w:jc w:val="right"/>
              <w:rPr>
                <w:bCs/>
                <w:lang w:eastAsia="sk-SK"/>
              </w:rPr>
            </w:pPr>
            <w:r w:rsidRPr="007D5748">
              <w:rPr>
                <w:bCs/>
                <w:lang w:eastAsia="sk-SK"/>
              </w:rPr>
              <w:t xml:space="preserve">Tabuľka č. </w:t>
            </w:r>
            <w:r>
              <w:rPr>
                <w:bCs/>
                <w:lang w:eastAsia="sk-SK"/>
              </w:rPr>
              <w:t>8</w:t>
            </w:r>
            <w:r w:rsidRPr="007D5748">
              <w:rPr>
                <w:bCs/>
                <w:lang w:eastAsia="sk-SK"/>
              </w:rPr>
              <w:t xml:space="preserve"> </w:t>
            </w:r>
          </w:p>
          <w:p w14:paraId="581176F2" w14:textId="77777777" w:rsidR="00D619B4" w:rsidRDefault="00D619B4" w:rsidP="001C13FB">
            <w:pPr>
              <w:tabs>
                <w:tab w:val="num" w:pos="1080"/>
              </w:tabs>
              <w:jc w:val="right"/>
              <w:rPr>
                <w:bCs/>
                <w:lang w:eastAsia="sk-SK"/>
              </w:rPr>
            </w:pPr>
            <w:r>
              <w:rPr>
                <w:bCs/>
                <w:lang w:eastAsia="sk-SK"/>
              </w:rPr>
              <w:t>Ministerstvo dopravy SR</w:t>
            </w:r>
          </w:p>
          <w:tbl>
            <w:tblPr>
              <w:tblW w:w="14592" w:type="dxa"/>
              <w:tblCellMar>
                <w:left w:w="70" w:type="dxa"/>
                <w:right w:w="70" w:type="dxa"/>
              </w:tblCellMar>
              <w:tblLook w:val="04A0" w:firstRow="1" w:lastRow="0" w:firstColumn="1" w:lastColumn="0" w:noHBand="0" w:noVBand="1"/>
            </w:tblPr>
            <w:tblGrid>
              <w:gridCol w:w="3961"/>
              <w:gridCol w:w="2126"/>
              <w:gridCol w:w="2126"/>
              <w:gridCol w:w="2268"/>
              <w:gridCol w:w="2268"/>
              <w:gridCol w:w="1843"/>
            </w:tblGrid>
            <w:tr w:rsidR="00D619B4" w:rsidRPr="00CB6DD9" w14:paraId="2A5C5136" w14:textId="77777777" w:rsidTr="001C13FB">
              <w:trPr>
                <w:trHeight w:val="330"/>
              </w:trPr>
              <w:tc>
                <w:tcPr>
                  <w:tcW w:w="39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10CFCCE" w14:textId="77777777" w:rsidR="00D619B4" w:rsidRPr="00CB6DD9" w:rsidRDefault="00D619B4" w:rsidP="001C13FB">
                  <w:pPr>
                    <w:jc w:val="center"/>
                    <w:rPr>
                      <w:b/>
                      <w:bCs/>
                      <w:color w:val="000000"/>
                      <w:lang w:eastAsia="sk-SK"/>
                    </w:rPr>
                  </w:pPr>
                  <w:r w:rsidRPr="00CB6DD9">
                    <w:rPr>
                      <w:b/>
                      <w:bCs/>
                      <w:color w:val="000000"/>
                      <w:lang w:eastAsia="sk-SK"/>
                    </w:rPr>
                    <w:t>Zamestnanosť</w:t>
                  </w:r>
                </w:p>
              </w:tc>
              <w:tc>
                <w:tcPr>
                  <w:tcW w:w="8788" w:type="dxa"/>
                  <w:gridSpan w:val="4"/>
                  <w:tcBorders>
                    <w:top w:val="single" w:sz="8" w:space="0" w:color="auto"/>
                    <w:left w:val="nil"/>
                    <w:bottom w:val="single" w:sz="8" w:space="0" w:color="auto"/>
                    <w:right w:val="single" w:sz="8" w:space="0" w:color="000000"/>
                  </w:tcBorders>
                  <w:shd w:val="clear" w:color="000000" w:fill="BFBFBF"/>
                  <w:vAlign w:val="center"/>
                  <w:hideMark/>
                </w:tcPr>
                <w:p w14:paraId="5A4B2AF9" w14:textId="77777777" w:rsidR="00D619B4" w:rsidRPr="00CA1711" w:rsidRDefault="00D619B4" w:rsidP="001C13FB">
                  <w:pPr>
                    <w:jc w:val="center"/>
                    <w:rPr>
                      <w:b/>
                      <w:bCs/>
                      <w:color w:val="000000"/>
                      <w:lang w:eastAsia="sk-SK"/>
                    </w:rPr>
                  </w:pPr>
                  <w:r w:rsidRPr="00CA1711">
                    <w:rPr>
                      <w:b/>
                      <w:bCs/>
                      <w:color w:val="000000"/>
                      <w:lang w:eastAsia="sk-SK"/>
                    </w:rPr>
                    <w:t>Vplyv na rozpočet verejnej správy</w:t>
                  </w:r>
                </w:p>
              </w:tc>
              <w:tc>
                <w:tcPr>
                  <w:tcW w:w="1843" w:type="dxa"/>
                  <w:tcBorders>
                    <w:top w:val="single" w:sz="8" w:space="0" w:color="auto"/>
                    <w:left w:val="nil"/>
                    <w:bottom w:val="single" w:sz="8" w:space="0" w:color="auto"/>
                    <w:right w:val="single" w:sz="8" w:space="0" w:color="000000"/>
                  </w:tcBorders>
                  <w:shd w:val="clear" w:color="000000" w:fill="BFBFBF"/>
                </w:tcPr>
                <w:p w14:paraId="10BC7EE2" w14:textId="77777777" w:rsidR="00D619B4" w:rsidRPr="00CB6DD9" w:rsidRDefault="00D619B4" w:rsidP="001C13FB">
                  <w:pPr>
                    <w:jc w:val="center"/>
                    <w:rPr>
                      <w:b/>
                      <w:bCs/>
                      <w:color w:val="000000"/>
                      <w:lang w:eastAsia="sk-SK"/>
                    </w:rPr>
                  </w:pPr>
                </w:p>
              </w:tc>
            </w:tr>
            <w:tr w:rsidR="00D619B4" w:rsidRPr="00CB6DD9" w14:paraId="64559E15" w14:textId="77777777" w:rsidTr="001C13FB">
              <w:trPr>
                <w:trHeight w:val="315"/>
              </w:trPr>
              <w:tc>
                <w:tcPr>
                  <w:tcW w:w="3961" w:type="dxa"/>
                  <w:vMerge/>
                  <w:tcBorders>
                    <w:top w:val="single" w:sz="8" w:space="0" w:color="auto"/>
                    <w:left w:val="single" w:sz="8" w:space="0" w:color="auto"/>
                    <w:bottom w:val="single" w:sz="8" w:space="0" w:color="000000"/>
                    <w:right w:val="single" w:sz="8" w:space="0" w:color="auto"/>
                  </w:tcBorders>
                  <w:vAlign w:val="center"/>
                  <w:hideMark/>
                </w:tcPr>
                <w:p w14:paraId="32A4456E" w14:textId="77777777" w:rsidR="00D619B4" w:rsidRPr="00CB6DD9" w:rsidRDefault="00D619B4" w:rsidP="001C13FB">
                  <w:pPr>
                    <w:rPr>
                      <w:b/>
                      <w:bCs/>
                      <w:color w:val="000000"/>
                      <w:lang w:eastAsia="sk-SK"/>
                    </w:rPr>
                  </w:pPr>
                </w:p>
              </w:tc>
              <w:tc>
                <w:tcPr>
                  <w:tcW w:w="2126" w:type="dxa"/>
                  <w:tcBorders>
                    <w:top w:val="nil"/>
                    <w:left w:val="nil"/>
                    <w:bottom w:val="single" w:sz="8" w:space="0" w:color="auto"/>
                    <w:right w:val="single" w:sz="8" w:space="0" w:color="auto"/>
                  </w:tcBorders>
                  <w:shd w:val="clear" w:color="000000" w:fill="BFBFBF"/>
                  <w:vAlign w:val="center"/>
                  <w:hideMark/>
                </w:tcPr>
                <w:p w14:paraId="63086B5E"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2023</w:t>
                  </w:r>
                </w:p>
              </w:tc>
              <w:tc>
                <w:tcPr>
                  <w:tcW w:w="2126" w:type="dxa"/>
                  <w:tcBorders>
                    <w:top w:val="nil"/>
                    <w:left w:val="nil"/>
                    <w:bottom w:val="single" w:sz="8" w:space="0" w:color="auto"/>
                    <w:right w:val="single" w:sz="8" w:space="0" w:color="auto"/>
                  </w:tcBorders>
                  <w:shd w:val="clear" w:color="000000" w:fill="BFBFBF"/>
                  <w:vAlign w:val="center"/>
                  <w:hideMark/>
                </w:tcPr>
                <w:p w14:paraId="550BF041"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2024</w:t>
                  </w:r>
                </w:p>
              </w:tc>
              <w:tc>
                <w:tcPr>
                  <w:tcW w:w="2268" w:type="dxa"/>
                  <w:tcBorders>
                    <w:top w:val="nil"/>
                    <w:left w:val="nil"/>
                    <w:bottom w:val="single" w:sz="8" w:space="0" w:color="auto"/>
                    <w:right w:val="single" w:sz="8" w:space="0" w:color="auto"/>
                  </w:tcBorders>
                  <w:shd w:val="clear" w:color="000000" w:fill="BFBFBF"/>
                  <w:vAlign w:val="center"/>
                  <w:hideMark/>
                </w:tcPr>
                <w:p w14:paraId="460CD829"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2025</w:t>
                  </w:r>
                </w:p>
              </w:tc>
              <w:tc>
                <w:tcPr>
                  <w:tcW w:w="2268" w:type="dxa"/>
                  <w:tcBorders>
                    <w:top w:val="nil"/>
                    <w:left w:val="nil"/>
                    <w:bottom w:val="single" w:sz="8" w:space="0" w:color="auto"/>
                    <w:right w:val="single" w:sz="8" w:space="0" w:color="auto"/>
                  </w:tcBorders>
                  <w:shd w:val="clear" w:color="000000" w:fill="BFBFBF"/>
                  <w:vAlign w:val="center"/>
                  <w:hideMark/>
                </w:tcPr>
                <w:p w14:paraId="75CD81F8"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2026</w:t>
                  </w:r>
                </w:p>
              </w:tc>
              <w:tc>
                <w:tcPr>
                  <w:tcW w:w="1843" w:type="dxa"/>
                  <w:tcBorders>
                    <w:top w:val="nil"/>
                    <w:left w:val="nil"/>
                    <w:bottom w:val="single" w:sz="8" w:space="0" w:color="auto"/>
                    <w:right w:val="single" w:sz="8" w:space="0" w:color="auto"/>
                  </w:tcBorders>
                  <w:shd w:val="clear" w:color="000000" w:fill="BFBFBF"/>
                </w:tcPr>
                <w:p w14:paraId="68000891" w14:textId="77777777" w:rsidR="00D619B4" w:rsidRPr="00CB6DD9" w:rsidRDefault="00D619B4" w:rsidP="001C13FB">
                  <w:pPr>
                    <w:jc w:val="center"/>
                    <w:rPr>
                      <w:b/>
                      <w:bCs/>
                      <w:color w:val="000000"/>
                      <w:sz w:val="20"/>
                      <w:szCs w:val="20"/>
                      <w:lang w:eastAsia="sk-SK"/>
                    </w:rPr>
                  </w:pPr>
                  <w:r>
                    <w:rPr>
                      <w:b/>
                      <w:bCs/>
                      <w:color w:val="000000"/>
                      <w:sz w:val="20"/>
                      <w:szCs w:val="20"/>
                      <w:lang w:eastAsia="sk-SK"/>
                    </w:rPr>
                    <w:t>Poznámka</w:t>
                  </w:r>
                </w:p>
              </w:tc>
            </w:tr>
            <w:tr w:rsidR="00D619B4" w:rsidRPr="00CB6DD9" w14:paraId="37CEBDC9" w14:textId="77777777" w:rsidTr="001C13FB">
              <w:trPr>
                <w:trHeight w:val="33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439E6BB0" w14:textId="77777777" w:rsidR="00D619B4" w:rsidRPr="00CB6DD9" w:rsidRDefault="00D619B4" w:rsidP="001C13FB">
                  <w:pPr>
                    <w:rPr>
                      <w:b/>
                      <w:bCs/>
                      <w:color w:val="000000"/>
                      <w:lang w:eastAsia="sk-SK"/>
                    </w:rPr>
                  </w:pPr>
                  <w:r w:rsidRPr="00CB6DD9">
                    <w:rPr>
                      <w:b/>
                      <w:bCs/>
                      <w:color w:val="000000"/>
                      <w:lang w:eastAsia="sk-SK"/>
                    </w:rPr>
                    <w:t>Počet zamestnancov celkom</w:t>
                  </w:r>
                </w:p>
              </w:tc>
              <w:tc>
                <w:tcPr>
                  <w:tcW w:w="2126" w:type="dxa"/>
                  <w:tcBorders>
                    <w:top w:val="nil"/>
                    <w:left w:val="nil"/>
                    <w:bottom w:val="single" w:sz="8" w:space="0" w:color="auto"/>
                    <w:right w:val="single" w:sz="8" w:space="0" w:color="auto"/>
                  </w:tcBorders>
                  <w:shd w:val="clear" w:color="auto" w:fill="auto"/>
                  <w:vAlign w:val="center"/>
                  <w:hideMark/>
                </w:tcPr>
                <w:p w14:paraId="2F961388" w14:textId="77777777" w:rsidR="00D619B4" w:rsidRPr="00CA1711" w:rsidRDefault="00D619B4" w:rsidP="001C13FB">
                  <w:pPr>
                    <w:jc w:val="center"/>
                    <w:rPr>
                      <w:bCs/>
                      <w:color w:val="000000"/>
                      <w:lang w:eastAsia="sk-SK"/>
                    </w:rPr>
                  </w:pPr>
                  <w:r w:rsidRPr="00CA1711">
                    <w:rPr>
                      <w:bCs/>
                      <w:color w:val="000000"/>
                      <w:lang w:eastAsia="sk-SK"/>
                    </w:rPr>
                    <w:t>6</w:t>
                  </w:r>
                </w:p>
              </w:tc>
              <w:tc>
                <w:tcPr>
                  <w:tcW w:w="2126" w:type="dxa"/>
                  <w:tcBorders>
                    <w:top w:val="nil"/>
                    <w:left w:val="nil"/>
                    <w:bottom w:val="single" w:sz="8" w:space="0" w:color="auto"/>
                    <w:right w:val="single" w:sz="8" w:space="0" w:color="auto"/>
                  </w:tcBorders>
                  <w:shd w:val="clear" w:color="auto" w:fill="auto"/>
                  <w:vAlign w:val="center"/>
                  <w:hideMark/>
                </w:tcPr>
                <w:p w14:paraId="2B782505" w14:textId="77777777" w:rsidR="00D619B4" w:rsidRPr="00CA1711" w:rsidRDefault="00D619B4" w:rsidP="001C13FB">
                  <w:pPr>
                    <w:jc w:val="center"/>
                    <w:rPr>
                      <w:bCs/>
                      <w:color w:val="000000"/>
                      <w:lang w:eastAsia="sk-SK"/>
                    </w:rPr>
                  </w:pPr>
                  <w:r w:rsidRPr="00CA1711">
                    <w:rPr>
                      <w:bCs/>
                      <w:color w:val="000000"/>
                      <w:lang w:eastAsia="sk-SK"/>
                    </w:rPr>
                    <w:t>6</w:t>
                  </w:r>
                </w:p>
              </w:tc>
              <w:tc>
                <w:tcPr>
                  <w:tcW w:w="2268" w:type="dxa"/>
                  <w:tcBorders>
                    <w:top w:val="nil"/>
                    <w:left w:val="nil"/>
                    <w:bottom w:val="single" w:sz="8" w:space="0" w:color="auto"/>
                    <w:right w:val="single" w:sz="8" w:space="0" w:color="auto"/>
                  </w:tcBorders>
                  <w:shd w:val="clear" w:color="auto" w:fill="auto"/>
                  <w:vAlign w:val="center"/>
                  <w:hideMark/>
                </w:tcPr>
                <w:p w14:paraId="3B30F7C6" w14:textId="77777777" w:rsidR="00D619B4" w:rsidRPr="00CA1711" w:rsidRDefault="00D619B4" w:rsidP="001C13FB">
                  <w:pPr>
                    <w:jc w:val="center"/>
                    <w:rPr>
                      <w:bCs/>
                      <w:color w:val="000000"/>
                      <w:lang w:eastAsia="sk-SK"/>
                    </w:rPr>
                  </w:pPr>
                  <w:r w:rsidRPr="00CA1711">
                    <w:rPr>
                      <w:bCs/>
                      <w:color w:val="000000"/>
                      <w:lang w:eastAsia="sk-SK"/>
                    </w:rPr>
                    <w:t>6</w:t>
                  </w:r>
                </w:p>
              </w:tc>
              <w:tc>
                <w:tcPr>
                  <w:tcW w:w="2268" w:type="dxa"/>
                  <w:tcBorders>
                    <w:top w:val="nil"/>
                    <w:left w:val="nil"/>
                    <w:bottom w:val="single" w:sz="8" w:space="0" w:color="auto"/>
                    <w:right w:val="single" w:sz="8" w:space="0" w:color="auto"/>
                  </w:tcBorders>
                  <w:shd w:val="clear" w:color="auto" w:fill="auto"/>
                  <w:vAlign w:val="center"/>
                  <w:hideMark/>
                </w:tcPr>
                <w:p w14:paraId="609E414B" w14:textId="77777777" w:rsidR="00D619B4" w:rsidRPr="00CA1711" w:rsidRDefault="00D619B4" w:rsidP="001C13FB">
                  <w:pPr>
                    <w:jc w:val="center"/>
                    <w:rPr>
                      <w:bCs/>
                      <w:color w:val="000000"/>
                      <w:lang w:eastAsia="sk-SK"/>
                    </w:rPr>
                  </w:pPr>
                  <w:r w:rsidRPr="00CA1711">
                    <w:rPr>
                      <w:bCs/>
                      <w:color w:val="000000"/>
                      <w:lang w:eastAsia="sk-SK"/>
                    </w:rPr>
                    <w:t>6</w:t>
                  </w:r>
                </w:p>
              </w:tc>
              <w:tc>
                <w:tcPr>
                  <w:tcW w:w="1843" w:type="dxa"/>
                  <w:tcBorders>
                    <w:top w:val="nil"/>
                    <w:left w:val="nil"/>
                    <w:bottom w:val="single" w:sz="8" w:space="0" w:color="auto"/>
                    <w:right w:val="single" w:sz="8" w:space="0" w:color="auto"/>
                  </w:tcBorders>
                </w:tcPr>
                <w:p w14:paraId="323BB656" w14:textId="77777777" w:rsidR="00D619B4" w:rsidRPr="003A1A5E" w:rsidRDefault="00D619B4" w:rsidP="001C13FB">
                  <w:pPr>
                    <w:jc w:val="center"/>
                    <w:rPr>
                      <w:bCs/>
                      <w:color w:val="000000"/>
                      <w:lang w:eastAsia="sk-SK"/>
                    </w:rPr>
                  </w:pPr>
                </w:p>
              </w:tc>
            </w:tr>
            <w:tr w:rsidR="00D619B4" w:rsidRPr="00CB6DD9" w14:paraId="06128433" w14:textId="77777777" w:rsidTr="001C13FB">
              <w:trPr>
                <w:trHeight w:val="330"/>
              </w:trPr>
              <w:tc>
                <w:tcPr>
                  <w:tcW w:w="396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15398DF"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4F1C561D" w14:textId="77777777" w:rsidR="00D619B4" w:rsidRPr="00CA1711" w:rsidRDefault="00D619B4" w:rsidP="001C13FB">
                  <w:pPr>
                    <w:jc w:val="center"/>
                    <w:rPr>
                      <w:bCs/>
                      <w:color w:val="000000"/>
                      <w:lang w:eastAsia="sk-SK"/>
                    </w:rPr>
                  </w:pPr>
                  <w:r w:rsidRPr="00CA1711">
                    <w:rPr>
                      <w:bCs/>
                      <w:color w:val="000000"/>
                      <w:lang w:eastAsia="sk-SK"/>
                    </w:rPr>
                    <w:t>6</w:t>
                  </w:r>
                </w:p>
              </w:tc>
              <w:tc>
                <w:tcPr>
                  <w:tcW w:w="2126" w:type="dxa"/>
                  <w:tcBorders>
                    <w:top w:val="nil"/>
                    <w:left w:val="nil"/>
                    <w:bottom w:val="single" w:sz="8" w:space="0" w:color="auto"/>
                    <w:right w:val="single" w:sz="8" w:space="0" w:color="auto"/>
                  </w:tcBorders>
                  <w:shd w:val="clear" w:color="auto" w:fill="auto"/>
                  <w:vAlign w:val="center"/>
                  <w:hideMark/>
                </w:tcPr>
                <w:p w14:paraId="0D206BBB" w14:textId="77777777" w:rsidR="00D619B4" w:rsidRPr="00CA1711" w:rsidRDefault="00D619B4" w:rsidP="001C13FB">
                  <w:pPr>
                    <w:jc w:val="center"/>
                    <w:rPr>
                      <w:bCs/>
                      <w:color w:val="000000"/>
                      <w:lang w:eastAsia="sk-SK"/>
                    </w:rPr>
                  </w:pPr>
                  <w:r w:rsidRPr="00CA1711">
                    <w:rPr>
                      <w:bCs/>
                      <w:color w:val="000000"/>
                      <w:lang w:eastAsia="sk-SK"/>
                    </w:rPr>
                    <w:t>6</w:t>
                  </w:r>
                </w:p>
              </w:tc>
              <w:tc>
                <w:tcPr>
                  <w:tcW w:w="2268" w:type="dxa"/>
                  <w:tcBorders>
                    <w:top w:val="nil"/>
                    <w:left w:val="nil"/>
                    <w:bottom w:val="single" w:sz="8" w:space="0" w:color="auto"/>
                    <w:right w:val="single" w:sz="8" w:space="0" w:color="auto"/>
                  </w:tcBorders>
                  <w:shd w:val="clear" w:color="auto" w:fill="auto"/>
                  <w:vAlign w:val="center"/>
                  <w:hideMark/>
                </w:tcPr>
                <w:p w14:paraId="2FD1AC91" w14:textId="77777777" w:rsidR="00D619B4" w:rsidRPr="00CA1711" w:rsidRDefault="00D619B4" w:rsidP="001C13FB">
                  <w:pPr>
                    <w:jc w:val="center"/>
                    <w:rPr>
                      <w:bCs/>
                      <w:color w:val="000000"/>
                      <w:lang w:eastAsia="sk-SK"/>
                    </w:rPr>
                  </w:pPr>
                  <w:r w:rsidRPr="00CA1711">
                    <w:rPr>
                      <w:bCs/>
                      <w:color w:val="000000"/>
                      <w:lang w:eastAsia="sk-SK"/>
                    </w:rPr>
                    <w:t>6</w:t>
                  </w:r>
                </w:p>
              </w:tc>
              <w:tc>
                <w:tcPr>
                  <w:tcW w:w="2268" w:type="dxa"/>
                  <w:tcBorders>
                    <w:top w:val="nil"/>
                    <w:left w:val="nil"/>
                    <w:bottom w:val="single" w:sz="8" w:space="0" w:color="auto"/>
                    <w:right w:val="single" w:sz="8" w:space="0" w:color="auto"/>
                  </w:tcBorders>
                  <w:shd w:val="clear" w:color="auto" w:fill="auto"/>
                  <w:vAlign w:val="center"/>
                  <w:hideMark/>
                </w:tcPr>
                <w:p w14:paraId="19D60308" w14:textId="77777777" w:rsidR="00D619B4" w:rsidRPr="00CA1711" w:rsidRDefault="00D619B4" w:rsidP="001C13FB">
                  <w:pPr>
                    <w:jc w:val="center"/>
                    <w:rPr>
                      <w:bCs/>
                      <w:color w:val="000000"/>
                      <w:lang w:eastAsia="sk-SK"/>
                    </w:rPr>
                  </w:pPr>
                  <w:r w:rsidRPr="00CA1711">
                    <w:rPr>
                      <w:bCs/>
                      <w:color w:val="000000"/>
                      <w:lang w:eastAsia="sk-SK"/>
                    </w:rPr>
                    <w:t>6</w:t>
                  </w:r>
                </w:p>
              </w:tc>
              <w:tc>
                <w:tcPr>
                  <w:tcW w:w="1843" w:type="dxa"/>
                  <w:tcBorders>
                    <w:top w:val="nil"/>
                    <w:left w:val="nil"/>
                    <w:bottom w:val="single" w:sz="8" w:space="0" w:color="auto"/>
                    <w:right w:val="single" w:sz="8" w:space="0" w:color="auto"/>
                  </w:tcBorders>
                </w:tcPr>
                <w:p w14:paraId="423F00E7" w14:textId="77777777" w:rsidR="00D619B4" w:rsidRPr="003A1A5E" w:rsidRDefault="00D619B4" w:rsidP="001C13FB">
                  <w:pPr>
                    <w:jc w:val="center"/>
                    <w:rPr>
                      <w:bCs/>
                      <w:color w:val="000000"/>
                      <w:lang w:eastAsia="sk-SK"/>
                    </w:rPr>
                  </w:pPr>
                </w:p>
              </w:tc>
            </w:tr>
            <w:tr w:rsidR="00D619B4" w:rsidRPr="00CB6DD9" w14:paraId="4162C7DF" w14:textId="77777777" w:rsidTr="001C13FB">
              <w:trPr>
                <w:trHeight w:val="645"/>
              </w:trPr>
              <w:tc>
                <w:tcPr>
                  <w:tcW w:w="396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F6649AF" w14:textId="77777777" w:rsidR="00D619B4" w:rsidRPr="00CB6DD9" w:rsidRDefault="00D619B4" w:rsidP="001C13FB">
                  <w:pPr>
                    <w:rPr>
                      <w:b/>
                      <w:bCs/>
                      <w:color w:val="000000"/>
                      <w:lang w:eastAsia="sk-SK"/>
                    </w:rPr>
                  </w:pPr>
                  <w:r w:rsidRPr="00CB6DD9">
                    <w:rPr>
                      <w:b/>
                      <w:bCs/>
                      <w:color w:val="000000"/>
                      <w:lang w:eastAsia="sk-SK"/>
                    </w:rPr>
                    <w:t>Priemerný mzdový výdavok (v eurách)</w:t>
                  </w:r>
                </w:p>
              </w:tc>
              <w:tc>
                <w:tcPr>
                  <w:tcW w:w="2126" w:type="dxa"/>
                  <w:tcBorders>
                    <w:top w:val="nil"/>
                    <w:left w:val="nil"/>
                    <w:bottom w:val="single" w:sz="8" w:space="0" w:color="auto"/>
                    <w:right w:val="single" w:sz="8" w:space="0" w:color="auto"/>
                  </w:tcBorders>
                  <w:shd w:val="clear" w:color="auto" w:fill="auto"/>
                  <w:vAlign w:val="center"/>
                  <w:hideMark/>
                </w:tcPr>
                <w:p w14:paraId="6225780B"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2126" w:type="dxa"/>
                  <w:tcBorders>
                    <w:top w:val="nil"/>
                    <w:left w:val="nil"/>
                    <w:bottom w:val="single" w:sz="8" w:space="0" w:color="auto"/>
                    <w:right w:val="single" w:sz="8" w:space="0" w:color="auto"/>
                  </w:tcBorders>
                  <w:shd w:val="clear" w:color="auto" w:fill="auto"/>
                  <w:vAlign w:val="center"/>
                  <w:hideMark/>
                </w:tcPr>
                <w:p w14:paraId="527B240C"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5922C955"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2692AE14"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1843" w:type="dxa"/>
                  <w:tcBorders>
                    <w:top w:val="nil"/>
                    <w:left w:val="nil"/>
                    <w:bottom w:val="single" w:sz="8" w:space="0" w:color="auto"/>
                    <w:right w:val="single" w:sz="8" w:space="0" w:color="auto"/>
                  </w:tcBorders>
                </w:tcPr>
                <w:p w14:paraId="642CF3D4" w14:textId="77777777" w:rsidR="00D619B4" w:rsidRPr="003A1A5E" w:rsidRDefault="00D619B4" w:rsidP="001C13FB">
                  <w:pPr>
                    <w:jc w:val="center"/>
                    <w:rPr>
                      <w:bCs/>
                      <w:color w:val="000000"/>
                      <w:lang w:eastAsia="sk-SK"/>
                    </w:rPr>
                  </w:pPr>
                </w:p>
                <w:p w14:paraId="2B92FF8E" w14:textId="77777777" w:rsidR="00D619B4" w:rsidRPr="003A1A5E" w:rsidRDefault="00D619B4" w:rsidP="001C13FB">
                  <w:pPr>
                    <w:jc w:val="center"/>
                    <w:rPr>
                      <w:bCs/>
                      <w:color w:val="000000"/>
                      <w:lang w:eastAsia="sk-SK"/>
                    </w:rPr>
                  </w:pPr>
                  <w:r w:rsidRPr="003A1A5E">
                    <w:rPr>
                      <w:bCs/>
                      <w:color w:val="000000"/>
                      <w:lang w:eastAsia="sk-SK"/>
                    </w:rPr>
                    <w:t>(brutto mesačne)</w:t>
                  </w:r>
                </w:p>
              </w:tc>
            </w:tr>
            <w:tr w:rsidR="00D619B4" w:rsidRPr="00CB6DD9" w14:paraId="59F8FFCF" w14:textId="77777777" w:rsidTr="001C13FB">
              <w:trPr>
                <w:trHeight w:val="330"/>
              </w:trPr>
              <w:tc>
                <w:tcPr>
                  <w:tcW w:w="396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59A9553"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165F466E"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2126" w:type="dxa"/>
                  <w:tcBorders>
                    <w:top w:val="nil"/>
                    <w:left w:val="nil"/>
                    <w:bottom w:val="single" w:sz="8" w:space="0" w:color="auto"/>
                    <w:right w:val="single" w:sz="8" w:space="0" w:color="auto"/>
                  </w:tcBorders>
                  <w:shd w:val="clear" w:color="auto" w:fill="auto"/>
                  <w:vAlign w:val="center"/>
                  <w:hideMark/>
                </w:tcPr>
                <w:p w14:paraId="601DA30E"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6C0539A8"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1F81DF9D"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1843" w:type="dxa"/>
                  <w:tcBorders>
                    <w:top w:val="nil"/>
                    <w:left w:val="nil"/>
                    <w:bottom w:val="single" w:sz="8" w:space="0" w:color="auto"/>
                    <w:right w:val="single" w:sz="8" w:space="0" w:color="auto"/>
                  </w:tcBorders>
                </w:tcPr>
                <w:p w14:paraId="546C4DFF" w14:textId="77777777" w:rsidR="00D619B4" w:rsidRPr="00B52963" w:rsidRDefault="00D619B4" w:rsidP="001C13FB">
                  <w:pPr>
                    <w:jc w:val="center"/>
                    <w:rPr>
                      <w:color w:val="000000"/>
                      <w:lang w:eastAsia="sk-SK"/>
                    </w:rPr>
                  </w:pPr>
                  <w:r w:rsidRPr="003A1A5E">
                    <w:rPr>
                      <w:bCs/>
                      <w:color w:val="000000"/>
                      <w:lang w:eastAsia="sk-SK"/>
                    </w:rPr>
                    <w:t>(brutto mesačne)</w:t>
                  </w:r>
                </w:p>
              </w:tc>
            </w:tr>
            <w:tr w:rsidR="00D619B4" w:rsidRPr="00CB6DD9" w14:paraId="09647756" w14:textId="77777777" w:rsidTr="001C13FB">
              <w:trPr>
                <w:trHeight w:val="960"/>
              </w:trPr>
              <w:tc>
                <w:tcPr>
                  <w:tcW w:w="3961" w:type="dxa"/>
                  <w:tcBorders>
                    <w:top w:val="nil"/>
                    <w:left w:val="single" w:sz="8" w:space="0" w:color="auto"/>
                    <w:bottom w:val="single" w:sz="8" w:space="0" w:color="000000"/>
                    <w:right w:val="single" w:sz="8" w:space="0" w:color="auto"/>
                  </w:tcBorders>
                  <w:shd w:val="clear" w:color="000000" w:fill="BFBFBF"/>
                  <w:vAlign w:val="center"/>
                  <w:hideMark/>
                </w:tcPr>
                <w:p w14:paraId="407A8FAD" w14:textId="77777777" w:rsidR="00D619B4" w:rsidRPr="00CB6DD9" w:rsidRDefault="00D619B4" w:rsidP="001C13FB">
                  <w:pPr>
                    <w:rPr>
                      <w:b/>
                      <w:bCs/>
                      <w:color w:val="000000"/>
                      <w:lang w:eastAsia="sk-SK"/>
                    </w:rPr>
                  </w:pPr>
                  <w:r w:rsidRPr="00CB6DD9">
                    <w:rPr>
                      <w:b/>
                      <w:bCs/>
                      <w:color w:val="000000"/>
                      <w:lang w:eastAsia="sk-SK"/>
                    </w:rPr>
                    <w:t>Osobné výdavky celkom (v eurách)</w:t>
                  </w:r>
                </w:p>
              </w:tc>
              <w:tc>
                <w:tcPr>
                  <w:tcW w:w="2126" w:type="dxa"/>
                  <w:tcBorders>
                    <w:top w:val="nil"/>
                    <w:left w:val="single" w:sz="8" w:space="0" w:color="auto"/>
                    <w:bottom w:val="single" w:sz="8" w:space="0" w:color="000000"/>
                    <w:right w:val="single" w:sz="8" w:space="0" w:color="auto"/>
                  </w:tcBorders>
                  <w:shd w:val="clear" w:color="000000" w:fill="BFBFBF"/>
                  <w:vAlign w:val="center"/>
                  <w:hideMark/>
                </w:tcPr>
                <w:p w14:paraId="38E6B3C5" w14:textId="77777777" w:rsidR="00D619B4" w:rsidRPr="00CA1711" w:rsidRDefault="00D619B4" w:rsidP="001C13FB">
                  <w:pPr>
                    <w:jc w:val="center"/>
                    <w:rPr>
                      <w:bCs/>
                      <w:color w:val="000000"/>
                      <w:lang w:eastAsia="sk-SK"/>
                    </w:rPr>
                  </w:pPr>
                  <w:r w:rsidRPr="00CA1711">
                    <w:rPr>
                      <w:bCs/>
                      <w:color w:val="000000"/>
                      <w:lang w:eastAsia="sk-SK"/>
                    </w:rPr>
                    <w:t xml:space="preserve">            110 726,50 € </w:t>
                  </w:r>
                </w:p>
              </w:tc>
              <w:tc>
                <w:tcPr>
                  <w:tcW w:w="2126" w:type="dxa"/>
                  <w:tcBorders>
                    <w:top w:val="nil"/>
                    <w:left w:val="single" w:sz="8" w:space="0" w:color="auto"/>
                    <w:bottom w:val="single" w:sz="8" w:space="0" w:color="000000"/>
                    <w:right w:val="single" w:sz="8" w:space="0" w:color="auto"/>
                  </w:tcBorders>
                  <w:shd w:val="clear" w:color="000000" w:fill="BFBFBF"/>
                  <w:vAlign w:val="center"/>
                  <w:hideMark/>
                </w:tcPr>
                <w:p w14:paraId="058B50D4" w14:textId="77777777" w:rsidR="00D619B4" w:rsidRPr="00CA1711" w:rsidRDefault="00D619B4" w:rsidP="001C13FB">
                  <w:pPr>
                    <w:jc w:val="center"/>
                    <w:rPr>
                      <w:bCs/>
                      <w:color w:val="000000"/>
                      <w:lang w:eastAsia="sk-SK"/>
                    </w:rPr>
                  </w:pPr>
                  <w:r w:rsidRPr="00CA1711">
                    <w:rPr>
                      <w:bCs/>
                      <w:color w:val="000000"/>
                      <w:lang w:eastAsia="sk-SK"/>
                    </w:rPr>
                    <w:t xml:space="preserve">          265 743,54 € </w:t>
                  </w:r>
                </w:p>
              </w:tc>
              <w:tc>
                <w:tcPr>
                  <w:tcW w:w="2268" w:type="dxa"/>
                  <w:tcBorders>
                    <w:top w:val="nil"/>
                    <w:left w:val="single" w:sz="8" w:space="0" w:color="auto"/>
                    <w:bottom w:val="single" w:sz="8" w:space="0" w:color="000000"/>
                    <w:right w:val="single" w:sz="8" w:space="0" w:color="auto"/>
                  </w:tcBorders>
                  <w:shd w:val="clear" w:color="000000" w:fill="BFBFBF"/>
                  <w:vAlign w:val="center"/>
                  <w:hideMark/>
                </w:tcPr>
                <w:p w14:paraId="4CA89AB3" w14:textId="77777777" w:rsidR="00D619B4" w:rsidRPr="00CA1711" w:rsidRDefault="00D619B4" w:rsidP="001C13FB">
                  <w:pPr>
                    <w:jc w:val="center"/>
                    <w:rPr>
                      <w:bCs/>
                      <w:color w:val="000000"/>
                      <w:lang w:eastAsia="sk-SK"/>
                    </w:rPr>
                  </w:pPr>
                  <w:r w:rsidRPr="00CA1711">
                    <w:rPr>
                      <w:bCs/>
                      <w:color w:val="000000"/>
                      <w:lang w:eastAsia="sk-SK"/>
                    </w:rPr>
                    <w:t xml:space="preserve">          265 743,54 € </w:t>
                  </w:r>
                </w:p>
              </w:tc>
              <w:tc>
                <w:tcPr>
                  <w:tcW w:w="2268" w:type="dxa"/>
                  <w:tcBorders>
                    <w:top w:val="nil"/>
                    <w:left w:val="single" w:sz="8" w:space="0" w:color="auto"/>
                    <w:bottom w:val="single" w:sz="8" w:space="0" w:color="000000"/>
                    <w:right w:val="single" w:sz="8" w:space="0" w:color="auto"/>
                  </w:tcBorders>
                  <w:shd w:val="clear" w:color="000000" w:fill="BFBFBF"/>
                  <w:vAlign w:val="center"/>
                  <w:hideMark/>
                </w:tcPr>
                <w:p w14:paraId="7B439C04" w14:textId="77777777" w:rsidR="00D619B4" w:rsidRPr="00CA1711" w:rsidRDefault="00D619B4" w:rsidP="001C13FB">
                  <w:pPr>
                    <w:jc w:val="center"/>
                    <w:rPr>
                      <w:bCs/>
                      <w:color w:val="000000"/>
                      <w:lang w:eastAsia="sk-SK"/>
                    </w:rPr>
                  </w:pPr>
                  <w:r w:rsidRPr="00CA1711">
                    <w:rPr>
                      <w:bCs/>
                      <w:color w:val="000000"/>
                      <w:lang w:eastAsia="sk-SK"/>
                    </w:rPr>
                    <w:t xml:space="preserve">          265 743,54 € </w:t>
                  </w:r>
                </w:p>
              </w:tc>
              <w:tc>
                <w:tcPr>
                  <w:tcW w:w="1843" w:type="dxa"/>
                  <w:tcBorders>
                    <w:top w:val="single" w:sz="8" w:space="0" w:color="auto"/>
                    <w:left w:val="single" w:sz="8" w:space="0" w:color="auto"/>
                    <w:bottom w:val="single" w:sz="4" w:space="0" w:color="auto"/>
                    <w:right w:val="single" w:sz="8" w:space="0" w:color="auto"/>
                  </w:tcBorders>
                  <w:shd w:val="clear" w:color="000000" w:fill="BFBFBF"/>
                </w:tcPr>
                <w:p w14:paraId="6BC5413B" w14:textId="77777777" w:rsidR="00D619B4" w:rsidRPr="003A1A5E" w:rsidRDefault="00D619B4" w:rsidP="001C13FB">
                  <w:pPr>
                    <w:jc w:val="center"/>
                    <w:rPr>
                      <w:bCs/>
                      <w:color w:val="000000"/>
                      <w:lang w:eastAsia="sk-SK"/>
                    </w:rPr>
                  </w:pPr>
                </w:p>
              </w:tc>
            </w:tr>
            <w:tr w:rsidR="00D619B4" w:rsidRPr="00CB6DD9" w14:paraId="2236CBE7" w14:textId="77777777" w:rsidTr="001C13FB">
              <w:trPr>
                <w:trHeight w:val="96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6E42DE4E" w14:textId="77777777" w:rsidR="00D619B4" w:rsidRPr="00CB6DD9" w:rsidRDefault="00D619B4" w:rsidP="001C13FB">
                  <w:pPr>
                    <w:rPr>
                      <w:b/>
                      <w:bCs/>
                      <w:color w:val="000000"/>
                      <w:lang w:eastAsia="sk-SK"/>
                    </w:rPr>
                  </w:pPr>
                  <w:r w:rsidRPr="00CB6DD9">
                    <w:rPr>
                      <w:b/>
                      <w:bCs/>
                      <w:color w:val="000000"/>
                      <w:lang w:eastAsia="sk-SK"/>
                    </w:rPr>
                    <w:t>Mzdy, platy, služobné príjmy a ostatné osobné vyrovnania (610)</w:t>
                  </w:r>
                </w:p>
              </w:tc>
              <w:tc>
                <w:tcPr>
                  <w:tcW w:w="2126" w:type="dxa"/>
                  <w:tcBorders>
                    <w:top w:val="nil"/>
                    <w:left w:val="nil"/>
                    <w:bottom w:val="single" w:sz="8" w:space="0" w:color="auto"/>
                    <w:right w:val="single" w:sz="8" w:space="0" w:color="auto"/>
                  </w:tcBorders>
                  <w:shd w:val="clear" w:color="auto" w:fill="auto"/>
                  <w:vAlign w:val="center"/>
                  <w:hideMark/>
                </w:tcPr>
                <w:p w14:paraId="16573BCB" w14:textId="77777777" w:rsidR="00D619B4" w:rsidRPr="00CA1711" w:rsidRDefault="00D619B4" w:rsidP="001C13FB">
                  <w:pPr>
                    <w:jc w:val="center"/>
                    <w:rPr>
                      <w:bCs/>
                      <w:color w:val="000000"/>
                      <w:lang w:eastAsia="sk-SK"/>
                    </w:rPr>
                  </w:pPr>
                  <w:r w:rsidRPr="00CA1711">
                    <w:rPr>
                      <w:bCs/>
                      <w:color w:val="000000"/>
                      <w:lang w:eastAsia="sk-SK"/>
                    </w:rPr>
                    <w:t xml:space="preserve">            82 050,00 € </w:t>
                  </w:r>
                </w:p>
              </w:tc>
              <w:tc>
                <w:tcPr>
                  <w:tcW w:w="2126" w:type="dxa"/>
                  <w:tcBorders>
                    <w:top w:val="nil"/>
                    <w:left w:val="nil"/>
                    <w:bottom w:val="single" w:sz="8" w:space="0" w:color="auto"/>
                    <w:right w:val="single" w:sz="8" w:space="0" w:color="auto"/>
                  </w:tcBorders>
                  <w:shd w:val="clear" w:color="auto" w:fill="auto"/>
                  <w:vAlign w:val="center"/>
                  <w:hideMark/>
                </w:tcPr>
                <w:p w14:paraId="2B9D8C20" w14:textId="77777777" w:rsidR="00D619B4" w:rsidRPr="00CA1711" w:rsidRDefault="00D619B4" w:rsidP="001C13FB">
                  <w:pPr>
                    <w:jc w:val="center"/>
                    <w:rPr>
                      <w:bCs/>
                      <w:color w:val="000000"/>
                      <w:lang w:eastAsia="sk-SK"/>
                    </w:rPr>
                  </w:pPr>
                  <w:r w:rsidRPr="00CA1711">
                    <w:rPr>
                      <w:bCs/>
                      <w:color w:val="000000"/>
                      <w:lang w:eastAsia="sk-SK"/>
                    </w:rPr>
                    <w:t xml:space="preserve">          196 920,00 € </w:t>
                  </w:r>
                </w:p>
              </w:tc>
              <w:tc>
                <w:tcPr>
                  <w:tcW w:w="2268" w:type="dxa"/>
                  <w:tcBorders>
                    <w:top w:val="nil"/>
                    <w:left w:val="nil"/>
                    <w:bottom w:val="single" w:sz="8" w:space="0" w:color="auto"/>
                    <w:right w:val="single" w:sz="8" w:space="0" w:color="auto"/>
                  </w:tcBorders>
                  <w:shd w:val="clear" w:color="auto" w:fill="auto"/>
                  <w:vAlign w:val="center"/>
                  <w:hideMark/>
                </w:tcPr>
                <w:p w14:paraId="56157600" w14:textId="77777777" w:rsidR="00D619B4" w:rsidRPr="00CA1711" w:rsidRDefault="00D619B4" w:rsidP="001C13FB">
                  <w:pPr>
                    <w:jc w:val="center"/>
                    <w:rPr>
                      <w:bCs/>
                      <w:color w:val="000000"/>
                      <w:lang w:eastAsia="sk-SK"/>
                    </w:rPr>
                  </w:pPr>
                  <w:r w:rsidRPr="00CA1711">
                    <w:rPr>
                      <w:bCs/>
                      <w:color w:val="000000"/>
                      <w:lang w:eastAsia="sk-SK"/>
                    </w:rPr>
                    <w:t xml:space="preserve">          196 920,00 € </w:t>
                  </w:r>
                </w:p>
              </w:tc>
              <w:tc>
                <w:tcPr>
                  <w:tcW w:w="2268" w:type="dxa"/>
                  <w:tcBorders>
                    <w:top w:val="nil"/>
                    <w:left w:val="nil"/>
                    <w:bottom w:val="single" w:sz="8" w:space="0" w:color="auto"/>
                    <w:right w:val="single" w:sz="8" w:space="0" w:color="auto"/>
                  </w:tcBorders>
                  <w:shd w:val="clear" w:color="auto" w:fill="auto"/>
                  <w:vAlign w:val="center"/>
                  <w:hideMark/>
                </w:tcPr>
                <w:p w14:paraId="105CB7B1" w14:textId="77777777" w:rsidR="00D619B4" w:rsidRPr="00CA1711" w:rsidRDefault="00D619B4" w:rsidP="001C13FB">
                  <w:pPr>
                    <w:jc w:val="center"/>
                    <w:rPr>
                      <w:bCs/>
                      <w:color w:val="000000"/>
                      <w:lang w:eastAsia="sk-SK"/>
                    </w:rPr>
                  </w:pPr>
                  <w:r w:rsidRPr="00CA1711">
                    <w:rPr>
                      <w:bCs/>
                      <w:color w:val="000000"/>
                      <w:lang w:eastAsia="sk-SK"/>
                    </w:rPr>
                    <w:t xml:space="preserve">          196 920,00 € </w:t>
                  </w:r>
                </w:p>
              </w:tc>
              <w:tc>
                <w:tcPr>
                  <w:tcW w:w="1843" w:type="dxa"/>
                  <w:tcBorders>
                    <w:top w:val="single" w:sz="4" w:space="0" w:color="auto"/>
                    <w:left w:val="nil"/>
                    <w:bottom w:val="single" w:sz="8" w:space="0" w:color="auto"/>
                    <w:right w:val="single" w:sz="8" w:space="0" w:color="auto"/>
                  </w:tcBorders>
                </w:tcPr>
                <w:p w14:paraId="4FFFC509" w14:textId="77777777" w:rsidR="00D619B4" w:rsidRPr="003A1A5E" w:rsidRDefault="00D619B4" w:rsidP="001C13FB">
                  <w:pPr>
                    <w:jc w:val="center"/>
                    <w:rPr>
                      <w:bCs/>
                      <w:color w:val="000000"/>
                      <w:lang w:eastAsia="sk-SK"/>
                    </w:rPr>
                  </w:pPr>
                </w:p>
              </w:tc>
            </w:tr>
            <w:tr w:rsidR="00D619B4" w:rsidRPr="00CB6DD9" w14:paraId="1756E773" w14:textId="77777777" w:rsidTr="001C13FB">
              <w:trPr>
                <w:trHeight w:val="33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2B392A65"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4B1C377D" w14:textId="77777777" w:rsidR="00D619B4" w:rsidRPr="00CA1711" w:rsidRDefault="00D619B4" w:rsidP="001C13FB">
                  <w:pPr>
                    <w:jc w:val="center"/>
                    <w:rPr>
                      <w:color w:val="000000"/>
                      <w:lang w:eastAsia="sk-SK"/>
                    </w:rPr>
                  </w:pPr>
                  <w:r w:rsidRPr="00CA1711">
                    <w:rPr>
                      <w:bCs/>
                      <w:color w:val="000000"/>
                      <w:lang w:eastAsia="sk-SK"/>
                    </w:rPr>
                    <w:t xml:space="preserve">            82 050,00 € </w:t>
                  </w:r>
                </w:p>
              </w:tc>
              <w:tc>
                <w:tcPr>
                  <w:tcW w:w="2126" w:type="dxa"/>
                  <w:tcBorders>
                    <w:top w:val="nil"/>
                    <w:left w:val="nil"/>
                    <w:bottom w:val="single" w:sz="8" w:space="0" w:color="auto"/>
                    <w:right w:val="single" w:sz="8" w:space="0" w:color="auto"/>
                  </w:tcBorders>
                  <w:shd w:val="clear" w:color="auto" w:fill="auto"/>
                  <w:vAlign w:val="center"/>
                  <w:hideMark/>
                </w:tcPr>
                <w:p w14:paraId="1489853D" w14:textId="77777777" w:rsidR="00D619B4" w:rsidRPr="00CA1711" w:rsidRDefault="00D619B4" w:rsidP="001C13FB">
                  <w:pPr>
                    <w:jc w:val="center"/>
                    <w:rPr>
                      <w:color w:val="000000"/>
                      <w:lang w:eastAsia="sk-SK"/>
                    </w:rPr>
                  </w:pPr>
                  <w:r w:rsidRPr="00CA1711">
                    <w:rPr>
                      <w:bCs/>
                      <w:color w:val="000000"/>
                      <w:lang w:eastAsia="sk-SK"/>
                    </w:rPr>
                    <w:t xml:space="preserve">          196 920,00 € </w:t>
                  </w:r>
                </w:p>
              </w:tc>
              <w:tc>
                <w:tcPr>
                  <w:tcW w:w="2268" w:type="dxa"/>
                  <w:tcBorders>
                    <w:top w:val="nil"/>
                    <w:left w:val="nil"/>
                    <w:bottom w:val="single" w:sz="8" w:space="0" w:color="auto"/>
                    <w:right w:val="single" w:sz="8" w:space="0" w:color="auto"/>
                  </w:tcBorders>
                  <w:shd w:val="clear" w:color="auto" w:fill="auto"/>
                  <w:vAlign w:val="center"/>
                  <w:hideMark/>
                </w:tcPr>
                <w:p w14:paraId="7AC92BEE" w14:textId="77777777" w:rsidR="00D619B4" w:rsidRPr="00CA1711" w:rsidRDefault="00D619B4" w:rsidP="001C13FB">
                  <w:pPr>
                    <w:jc w:val="center"/>
                    <w:rPr>
                      <w:color w:val="000000"/>
                      <w:lang w:eastAsia="sk-SK"/>
                    </w:rPr>
                  </w:pPr>
                  <w:r w:rsidRPr="00CA1711">
                    <w:rPr>
                      <w:bCs/>
                      <w:color w:val="000000"/>
                      <w:lang w:eastAsia="sk-SK"/>
                    </w:rPr>
                    <w:t xml:space="preserve">          196 920,00 € </w:t>
                  </w:r>
                </w:p>
              </w:tc>
              <w:tc>
                <w:tcPr>
                  <w:tcW w:w="2268" w:type="dxa"/>
                  <w:tcBorders>
                    <w:top w:val="nil"/>
                    <w:left w:val="nil"/>
                    <w:bottom w:val="single" w:sz="8" w:space="0" w:color="auto"/>
                    <w:right w:val="single" w:sz="8" w:space="0" w:color="auto"/>
                  </w:tcBorders>
                  <w:shd w:val="clear" w:color="auto" w:fill="auto"/>
                  <w:vAlign w:val="center"/>
                  <w:hideMark/>
                </w:tcPr>
                <w:p w14:paraId="12A74133" w14:textId="77777777" w:rsidR="00D619B4" w:rsidRPr="00CA1711" w:rsidRDefault="00D619B4" w:rsidP="001C13FB">
                  <w:pPr>
                    <w:jc w:val="center"/>
                    <w:rPr>
                      <w:color w:val="000000"/>
                      <w:lang w:eastAsia="sk-SK"/>
                    </w:rPr>
                  </w:pPr>
                  <w:r w:rsidRPr="00CA1711">
                    <w:rPr>
                      <w:bCs/>
                      <w:color w:val="000000"/>
                      <w:lang w:eastAsia="sk-SK"/>
                    </w:rPr>
                    <w:t xml:space="preserve">          196 920,00 € </w:t>
                  </w:r>
                </w:p>
              </w:tc>
              <w:tc>
                <w:tcPr>
                  <w:tcW w:w="1843" w:type="dxa"/>
                  <w:tcBorders>
                    <w:top w:val="nil"/>
                    <w:left w:val="nil"/>
                    <w:bottom w:val="single" w:sz="8" w:space="0" w:color="auto"/>
                    <w:right w:val="single" w:sz="8" w:space="0" w:color="auto"/>
                  </w:tcBorders>
                </w:tcPr>
                <w:p w14:paraId="357CFF32" w14:textId="77777777" w:rsidR="00D619B4" w:rsidRPr="00DD1075" w:rsidRDefault="00D619B4" w:rsidP="001C13FB">
                  <w:pPr>
                    <w:jc w:val="center"/>
                    <w:rPr>
                      <w:color w:val="000000"/>
                      <w:lang w:eastAsia="sk-SK"/>
                    </w:rPr>
                  </w:pPr>
                </w:p>
              </w:tc>
            </w:tr>
            <w:tr w:rsidR="00D619B4" w:rsidRPr="00CB6DD9" w14:paraId="3E0CC68F" w14:textId="77777777" w:rsidTr="001C13FB">
              <w:trPr>
                <w:trHeight w:val="645"/>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7BF9E8C9" w14:textId="77777777" w:rsidR="00D619B4" w:rsidRPr="00CB6DD9" w:rsidRDefault="00D619B4" w:rsidP="001C13FB">
                  <w:pPr>
                    <w:rPr>
                      <w:b/>
                      <w:bCs/>
                      <w:color w:val="000000"/>
                      <w:lang w:eastAsia="sk-SK"/>
                    </w:rPr>
                  </w:pPr>
                  <w:r w:rsidRPr="00CB6DD9">
                    <w:rPr>
                      <w:b/>
                      <w:bCs/>
                      <w:color w:val="000000"/>
                      <w:lang w:eastAsia="sk-SK"/>
                    </w:rPr>
                    <w:t>Poistné a príspevok do poisťovní (620)</w:t>
                  </w:r>
                </w:p>
              </w:tc>
              <w:tc>
                <w:tcPr>
                  <w:tcW w:w="2126" w:type="dxa"/>
                  <w:tcBorders>
                    <w:top w:val="nil"/>
                    <w:left w:val="nil"/>
                    <w:bottom w:val="single" w:sz="8" w:space="0" w:color="auto"/>
                    <w:right w:val="single" w:sz="8" w:space="0" w:color="auto"/>
                  </w:tcBorders>
                  <w:shd w:val="clear" w:color="auto" w:fill="auto"/>
                  <w:vAlign w:val="center"/>
                  <w:hideMark/>
                </w:tcPr>
                <w:p w14:paraId="3D646832" w14:textId="77777777" w:rsidR="00D619B4" w:rsidRPr="00CA1711" w:rsidRDefault="00D619B4" w:rsidP="001C13FB">
                  <w:pPr>
                    <w:jc w:val="center"/>
                    <w:rPr>
                      <w:bCs/>
                      <w:color w:val="000000"/>
                      <w:lang w:eastAsia="sk-SK"/>
                    </w:rPr>
                  </w:pPr>
                  <w:r w:rsidRPr="00CA1711">
                    <w:rPr>
                      <w:bCs/>
                      <w:color w:val="000000"/>
                      <w:lang w:eastAsia="sk-SK"/>
                    </w:rPr>
                    <w:t xml:space="preserve">            28 676,48 € </w:t>
                  </w:r>
                </w:p>
              </w:tc>
              <w:tc>
                <w:tcPr>
                  <w:tcW w:w="2126" w:type="dxa"/>
                  <w:tcBorders>
                    <w:top w:val="nil"/>
                    <w:left w:val="nil"/>
                    <w:bottom w:val="single" w:sz="8" w:space="0" w:color="auto"/>
                    <w:right w:val="single" w:sz="8" w:space="0" w:color="auto"/>
                  </w:tcBorders>
                  <w:shd w:val="clear" w:color="auto" w:fill="auto"/>
                  <w:vAlign w:val="center"/>
                  <w:hideMark/>
                </w:tcPr>
                <w:p w14:paraId="4FFE25B2" w14:textId="77777777" w:rsidR="00D619B4" w:rsidRPr="00CA1711" w:rsidRDefault="00D619B4" w:rsidP="001C13FB">
                  <w:pPr>
                    <w:jc w:val="center"/>
                    <w:rPr>
                      <w:bCs/>
                      <w:color w:val="000000"/>
                      <w:lang w:eastAsia="sk-SK"/>
                    </w:rPr>
                  </w:pPr>
                  <w:r w:rsidRPr="00CA1711">
                    <w:rPr>
                      <w:bCs/>
                      <w:color w:val="000000"/>
                      <w:lang w:eastAsia="sk-SK"/>
                    </w:rPr>
                    <w:t xml:space="preserve">            68 823,54 € </w:t>
                  </w:r>
                </w:p>
              </w:tc>
              <w:tc>
                <w:tcPr>
                  <w:tcW w:w="2268" w:type="dxa"/>
                  <w:tcBorders>
                    <w:top w:val="nil"/>
                    <w:left w:val="nil"/>
                    <w:bottom w:val="single" w:sz="8" w:space="0" w:color="auto"/>
                    <w:right w:val="single" w:sz="8" w:space="0" w:color="auto"/>
                  </w:tcBorders>
                  <w:shd w:val="clear" w:color="auto" w:fill="auto"/>
                  <w:vAlign w:val="center"/>
                  <w:hideMark/>
                </w:tcPr>
                <w:p w14:paraId="63F90E34" w14:textId="77777777" w:rsidR="00D619B4" w:rsidRPr="00CA1711" w:rsidRDefault="00D619B4" w:rsidP="001C13FB">
                  <w:pPr>
                    <w:jc w:val="center"/>
                    <w:rPr>
                      <w:bCs/>
                      <w:color w:val="000000"/>
                      <w:lang w:eastAsia="sk-SK"/>
                    </w:rPr>
                  </w:pPr>
                  <w:r w:rsidRPr="00CA1711">
                    <w:rPr>
                      <w:bCs/>
                      <w:color w:val="000000"/>
                      <w:lang w:eastAsia="sk-SK"/>
                    </w:rPr>
                    <w:t xml:space="preserve">            68 823,54 € </w:t>
                  </w:r>
                </w:p>
              </w:tc>
              <w:tc>
                <w:tcPr>
                  <w:tcW w:w="2268" w:type="dxa"/>
                  <w:tcBorders>
                    <w:top w:val="nil"/>
                    <w:left w:val="nil"/>
                    <w:bottom w:val="single" w:sz="8" w:space="0" w:color="auto"/>
                    <w:right w:val="single" w:sz="8" w:space="0" w:color="auto"/>
                  </w:tcBorders>
                  <w:shd w:val="clear" w:color="auto" w:fill="auto"/>
                  <w:vAlign w:val="center"/>
                  <w:hideMark/>
                </w:tcPr>
                <w:p w14:paraId="64A2DA59" w14:textId="77777777" w:rsidR="00D619B4" w:rsidRPr="00CA1711" w:rsidRDefault="00D619B4" w:rsidP="001C13FB">
                  <w:pPr>
                    <w:jc w:val="center"/>
                    <w:rPr>
                      <w:bCs/>
                      <w:color w:val="000000"/>
                      <w:lang w:eastAsia="sk-SK"/>
                    </w:rPr>
                  </w:pPr>
                  <w:r w:rsidRPr="00CA1711">
                    <w:rPr>
                      <w:bCs/>
                      <w:color w:val="000000"/>
                      <w:lang w:eastAsia="sk-SK"/>
                    </w:rPr>
                    <w:t xml:space="preserve">            68 823,54 € </w:t>
                  </w:r>
                </w:p>
              </w:tc>
              <w:tc>
                <w:tcPr>
                  <w:tcW w:w="1843" w:type="dxa"/>
                  <w:tcBorders>
                    <w:top w:val="nil"/>
                    <w:left w:val="nil"/>
                    <w:bottom w:val="single" w:sz="8" w:space="0" w:color="auto"/>
                    <w:right w:val="single" w:sz="8" w:space="0" w:color="auto"/>
                  </w:tcBorders>
                </w:tcPr>
                <w:p w14:paraId="569F7307" w14:textId="77777777" w:rsidR="00D619B4" w:rsidRPr="003A1A5E" w:rsidRDefault="00D619B4" w:rsidP="001C13FB">
                  <w:pPr>
                    <w:jc w:val="center"/>
                    <w:rPr>
                      <w:bCs/>
                      <w:color w:val="000000"/>
                      <w:lang w:eastAsia="sk-SK"/>
                    </w:rPr>
                  </w:pPr>
                </w:p>
              </w:tc>
            </w:tr>
            <w:tr w:rsidR="00D619B4" w:rsidRPr="00CB6DD9" w14:paraId="420E9A9C" w14:textId="77777777" w:rsidTr="001C13FB">
              <w:trPr>
                <w:trHeight w:val="33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0B2A2ED3"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6C530414" w14:textId="77777777" w:rsidR="00D619B4" w:rsidRPr="00CA1711" w:rsidRDefault="00D619B4" w:rsidP="001C13FB">
                  <w:pPr>
                    <w:jc w:val="center"/>
                    <w:rPr>
                      <w:color w:val="000000"/>
                      <w:lang w:eastAsia="sk-SK"/>
                    </w:rPr>
                  </w:pPr>
                  <w:r w:rsidRPr="00CA1711">
                    <w:rPr>
                      <w:bCs/>
                      <w:color w:val="000000"/>
                      <w:lang w:eastAsia="sk-SK"/>
                    </w:rPr>
                    <w:t xml:space="preserve">            28 676,48 € </w:t>
                  </w:r>
                </w:p>
              </w:tc>
              <w:tc>
                <w:tcPr>
                  <w:tcW w:w="2126" w:type="dxa"/>
                  <w:tcBorders>
                    <w:top w:val="nil"/>
                    <w:left w:val="nil"/>
                    <w:bottom w:val="single" w:sz="8" w:space="0" w:color="auto"/>
                    <w:right w:val="single" w:sz="8" w:space="0" w:color="auto"/>
                  </w:tcBorders>
                  <w:shd w:val="clear" w:color="auto" w:fill="auto"/>
                  <w:vAlign w:val="center"/>
                  <w:hideMark/>
                </w:tcPr>
                <w:p w14:paraId="47D072A5" w14:textId="77777777" w:rsidR="00D619B4" w:rsidRPr="00CA1711" w:rsidRDefault="00D619B4" w:rsidP="001C13FB">
                  <w:pPr>
                    <w:jc w:val="center"/>
                    <w:rPr>
                      <w:color w:val="000000"/>
                      <w:lang w:eastAsia="sk-SK"/>
                    </w:rPr>
                  </w:pPr>
                  <w:r w:rsidRPr="00CA1711">
                    <w:rPr>
                      <w:bCs/>
                      <w:color w:val="000000"/>
                      <w:lang w:eastAsia="sk-SK"/>
                    </w:rPr>
                    <w:t xml:space="preserve">            68 823,54 € </w:t>
                  </w:r>
                </w:p>
              </w:tc>
              <w:tc>
                <w:tcPr>
                  <w:tcW w:w="2268" w:type="dxa"/>
                  <w:tcBorders>
                    <w:top w:val="nil"/>
                    <w:left w:val="nil"/>
                    <w:bottom w:val="single" w:sz="8" w:space="0" w:color="auto"/>
                    <w:right w:val="single" w:sz="8" w:space="0" w:color="auto"/>
                  </w:tcBorders>
                  <w:shd w:val="clear" w:color="auto" w:fill="auto"/>
                  <w:vAlign w:val="center"/>
                  <w:hideMark/>
                </w:tcPr>
                <w:p w14:paraId="22CAF5B1" w14:textId="77777777" w:rsidR="00D619B4" w:rsidRPr="00CA1711" w:rsidRDefault="00D619B4" w:rsidP="001C13FB">
                  <w:pPr>
                    <w:jc w:val="center"/>
                    <w:rPr>
                      <w:color w:val="000000"/>
                      <w:lang w:eastAsia="sk-SK"/>
                    </w:rPr>
                  </w:pPr>
                  <w:r w:rsidRPr="00CA1711">
                    <w:rPr>
                      <w:bCs/>
                      <w:color w:val="000000"/>
                      <w:lang w:eastAsia="sk-SK"/>
                    </w:rPr>
                    <w:t xml:space="preserve">            68 823,54 € </w:t>
                  </w:r>
                </w:p>
              </w:tc>
              <w:tc>
                <w:tcPr>
                  <w:tcW w:w="2268" w:type="dxa"/>
                  <w:tcBorders>
                    <w:top w:val="nil"/>
                    <w:left w:val="nil"/>
                    <w:bottom w:val="single" w:sz="8" w:space="0" w:color="auto"/>
                    <w:right w:val="single" w:sz="8" w:space="0" w:color="auto"/>
                  </w:tcBorders>
                  <w:shd w:val="clear" w:color="auto" w:fill="auto"/>
                  <w:vAlign w:val="center"/>
                  <w:hideMark/>
                </w:tcPr>
                <w:p w14:paraId="5F40414B" w14:textId="77777777" w:rsidR="00D619B4" w:rsidRPr="00CA1711" w:rsidRDefault="00D619B4" w:rsidP="001C13FB">
                  <w:pPr>
                    <w:jc w:val="center"/>
                    <w:rPr>
                      <w:color w:val="000000"/>
                      <w:lang w:eastAsia="sk-SK"/>
                    </w:rPr>
                  </w:pPr>
                  <w:r w:rsidRPr="00CA1711">
                    <w:rPr>
                      <w:bCs/>
                      <w:color w:val="000000"/>
                      <w:lang w:eastAsia="sk-SK"/>
                    </w:rPr>
                    <w:t xml:space="preserve">            68 823,54 € </w:t>
                  </w:r>
                </w:p>
              </w:tc>
              <w:tc>
                <w:tcPr>
                  <w:tcW w:w="1843" w:type="dxa"/>
                  <w:tcBorders>
                    <w:top w:val="nil"/>
                    <w:left w:val="nil"/>
                    <w:bottom w:val="single" w:sz="8" w:space="0" w:color="auto"/>
                    <w:right w:val="single" w:sz="8" w:space="0" w:color="auto"/>
                  </w:tcBorders>
                </w:tcPr>
                <w:p w14:paraId="3F15CAB7" w14:textId="77777777" w:rsidR="00D619B4" w:rsidRPr="00CB6DD9" w:rsidRDefault="00D619B4" w:rsidP="001C13FB">
                  <w:pPr>
                    <w:jc w:val="center"/>
                    <w:rPr>
                      <w:color w:val="000000"/>
                      <w:lang w:eastAsia="sk-SK"/>
                    </w:rPr>
                  </w:pPr>
                </w:p>
              </w:tc>
            </w:tr>
          </w:tbl>
          <w:p w14:paraId="454E1B21" w14:textId="77777777" w:rsidR="00D619B4" w:rsidRDefault="00D619B4" w:rsidP="001C13FB">
            <w:pPr>
              <w:tabs>
                <w:tab w:val="num" w:pos="1080"/>
              </w:tabs>
              <w:jc w:val="right"/>
              <w:rPr>
                <w:bCs/>
                <w:lang w:eastAsia="sk-SK"/>
              </w:rPr>
            </w:pPr>
          </w:p>
          <w:p w14:paraId="60738D43" w14:textId="77777777" w:rsidR="00D619B4" w:rsidRDefault="00D619B4" w:rsidP="001C13FB">
            <w:pPr>
              <w:tabs>
                <w:tab w:val="num" w:pos="1080"/>
              </w:tabs>
              <w:jc w:val="right"/>
              <w:rPr>
                <w:bCs/>
                <w:lang w:eastAsia="sk-SK"/>
              </w:rPr>
            </w:pPr>
          </w:p>
          <w:p w14:paraId="4BFF4018" w14:textId="77777777" w:rsidR="00D619B4" w:rsidRDefault="00D619B4" w:rsidP="001C13FB">
            <w:pPr>
              <w:tabs>
                <w:tab w:val="num" w:pos="1080"/>
              </w:tabs>
              <w:jc w:val="right"/>
              <w:rPr>
                <w:bCs/>
                <w:lang w:eastAsia="sk-SK"/>
              </w:rPr>
            </w:pPr>
          </w:p>
          <w:p w14:paraId="1A4AC31F" w14:textId="77777777" w:rsidR="00D619B4" w:rsidRDefault="00D619B4" w:rsidP="001C13FB">
            <w:pPr>
              <w:tabs>
                <w:tab w:val="num" w:pos="1080"/>
              </w:tabs>
              <w:jc w:val="right"/>
              <w:rPr>
                <w:bCs/>
                <w:lang w:eastAsia="sk-SK"/>
              </w:rPr>
            </w:pPr>
          </w:p>
          <w:p w14:paraId="412C2D0A" w14:textId="77777777" w:rsidR="00D619B4" w:rsidRDefault="00D619B4" w:rsidP="001C13FB">
            <w:pPr>
              <w:tabs>
                <w:tab w:val="num" w:pos="1080"/>
              </w:tabs>
              <w:jc w:val="right"/>
              <w:rPr>
                <w:bCs/>
                <w:lang w:eastAsia="sk-SK"/>
              </w:rPr>
            </w:pPr>
          </w:p>
          <w:p w14:paraId="56C8BBFD" w14:textId="77777777" w:rsidR="00D619B4" w:rsidRDefault="00D619B4" w:rsidP="001C13FB">
            <w:pPr>
              <w:tabs>
                <w:tab w:val="num" w:pos="1080"/>
              </w:tabs>
              <w:jc w:val="right"/>
              <w:rPr>
                <w:bCs/>
                <w:lang w:eastAsia="sk-SK"/>
              </w:rPr>
            </w:pPr>
          </w:p>
          <w:p w14:paraId="6DE0AD34" w14:textId="77777777" w:rsidR="00D619B4" w:rsidRDefault="00D619B4" w:rsidP="001C13FB">
            <w:pPr>
              <w:tabs>
                <w:tab w:val="num" w:pos="1080"/>
              </w:tabs>
              <w:jc w:val="right"/>
              <w:rPr>
                <w:bCs/>
                <w:lang w:eastAsia="sk-SK"/>
              </w:rPr>
            </w:pPr>
          </w:p>
          <w:p w14:paraId="5F618AFE" w14:textId="77777777" w:rsidR="00D619B4" w:rsidRDefault="00D619B4" w:rsidP="001C13FB">
            <w:pPr>
              <w:tabs>
                <w:tab w:val="num" w:pos="1080"/>
              </w:tabs>
              <w:jc w:val="right"/>
              <w:rPr>
                <w:bCs/>
                <w:lang w:eastAsia="sk-SK"/>
              </w:rPr>
            </w:pPr>
            <w:r w:rsidRPr="007D5748">
              <w:rPr>
                <w:bCs/>
                <w:lang w:eastAsia="sk-SK"/>
              </w:rPr>
              <w:t xml:space="preserve">Tabuľka č. </w:t>
            </w:r>
            <w:r>
              <w:rPr>
                <w:bCs/>
                <w:lang w:eastAsia="sk-SK"/>
              </w:rPr>
              <w:t>9</w:t>
            </w:r>
            <w:r w:rsidRPr="007D5748">
              <w:rPr>
                <w:bCs/>
                <w:lang w:eastAsia="sk-SK"/>
              </w:rPr>
              <w:t xml:space="preserve"> </w:t>
            </w:r>
          </w:p>
          <w:p w14:paraId="3C1E09B7" w14:textId="77777777" w:rsidR="00D619B4" w:rsidRDefault="00D619B4" w:rsidP="001C13FB">
            <w:pPr>
              <w:tabs>
                <w:tab w:val="num" w:pos="1080"/>
              </w:tabs>
              <w:jc w:val="right"/>
              <w:rPr>
                <w:bCs/>
                <w:lang w:eastAsia="sk-SK"/>
              </w:rPr>
            </w:pPr>
            <w:r>
              <w:rPr>
                <w:bCs/>
                <w:lang w:eastAsia="sk-SK"/>
              </w:rPr>
              <w:t>Ministerstvo vnútra SR</w:t>
            </w:r>
          </w:p>
          <w:tbl>
            <w:tblPr>
              <w:tblW w:w="14592" w:type="dxa"/>
              <w:tblCellMar>
                <w:left w:w="70" w:type="dxa"/>
                <w:right w:w="70" w:type="dxa"/>
              </w:tblCellMar>
              <w:tblLook w:val="04A0" w:firstRow="1" w:lastRow="0" w:firstColumn="1" w:lastColumn="0" w:noHBand="0" w:noVBand="1"/>
            </w:tblPr>
            <w:tblGrid>
              <w:gridCol w:w="3961"/>
              <w:gridCol w:w="2126"/>
              <w:gridCol w:w="2126"/>
              <w:gridCol w:w="2268"/>
              <w:gridCol w:w="2268"/>
              <w:gridCol w:w="1843"/>
            </w:tblGrid>
            <w:tr w:rsidR="00D619B4" w:rsidRPr="00CB6DD9" w14:paraId="41C0F191" w14:textId="77777777" w:rsidTr="001C13FB">
              <w:trPr>
                <w:trHeight w:val="330"/>
              </w:trPr>
              <w:tc>
                <w:tcPr>
                  <w:tcW w:w="396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7678A58" w14:textId="77777777" w:rsidR="00D619B4" w:rsidRPr="00CB6DD9" w:rsidRDefault="00D619B4" w:rsidP="001C13FB">
                  <w:pPr>
                    <w:jc w:val="center"/>
                    <w:rPr>
                      <w:b/>
                      <w:bCs/>
                      <w:color w:val="000000"/>
                      <w:lang w:eastAsia="sk-SK"/>
                    </w:rPr>
                  </w:pPr>
                  <w:r w:rsidRPr="00CB6DD9">
                    <w:rPr>
                      <w:b/>
                      <w:bCs/>
                      <w:color w:val="000000"/>
                      <w:lang w:eastAsia="sk-SK"/>
                    </w:rPr>
                    <w:t>Zamestnanosť</w:t>
                  </w:r>
                </w:p>
              </w:tc>
              <w:tc>
                <w:tcPr>
                  <w:tcW w:w="8788" w:type="dxa"/>
                  <w:gridSpan w:val="4"/>
                  <w:tcBorders>
                    <w:top w:val="single" w:sz="8" w:space="0" w:color="auto"/>
                    <w:left w:val="nil"/>
                    <w:bottom w:val="single" w:sz="8" w:space="0" w:color="auto"/>
                    <w:right w:val="single" w:sz="8" w:space="0" w:color="000000"/>
                  </w:tcBorders>
                  <w:shd w:val="clear" w:color="000000" w:fill="BFBFBF"/>
                  <w:vAlign w:val="center"/>
                  <w:hideMark/>
                </w:tcPr>
                <w:p w14:paraId="0A333C25" w14:textId="77777777" w:rsidR="00D619B4" w:rsidRPr="00CA1711" w:rsidRDefault="00D619B4" w:rsidP="001C13FB">
                  <w:pPr>
                    <w:jc w:val="center"/>
                    <w:rPr>
                      <w:b/>
                      <w:bCs/>
                      <w:color w:val="000000"/>
                      <w:lang w:eastAsia="sk-SK"/>
                    </w:rPr>
                  </w:pPr>
                  <w:r w:rsidRPr="00CA1711">
                    <w:rPr>
                      <w:b/>
                      <w:bCs/>
                      <w:color w:val="000000"/>
                      <w:lang w:eastAsia="sk-SK"/>
                    </w:rPr>
                    <w:t>Vplyv na rozpočet verejnej správy</w:t>
                  </w:r>
                </w:p>
              </w:tc>
              <w:tc>
                <w:tcPr>
                  <w:tcW w:w="1843" w:type="dxa"/>
                  <w:tcBorders>
                    <w:top w:val="single" w:sz="8" w:space="0" w:color="auto"/>
                    <w:left w:val="nil"/>
                    <w:bottom w:val="single" w:sz="8" w:space="0" w:color="auto"/>
                    <w:right w:val="single" w:sz="8" w:space="0" w:color="000000"/>
                  </w:tcBorders>
                  <w:shd w:val="clear" w:color="000000" w:fill="BFBFBF"/>
                </w:tcPr>
                <w:p w14:paraId="6A9719AD" w14:textId="77777777" w:rsidR="00D619B4" w:rsidRPr="00CB6DD9" w:rsidRDefault="00D619B4" w:rsidP="001C13FB">
                  <w:pPr>
                    <w:jc w:val="center"/>
                    <w:rPr>
                      <w:b/>
                      <w:bCs/>
                      <w:color w:val="000000"/>
                      <w:lang w:eastAsia="sk-SK"/>
                    </w:rPr>
                  </w:pPr>
                </w:p>
              </w:tc>
            </w:tr>
            <w:tr w:rsidR="00D619B4" w:rsidRPr="00CB6DD9" w14:paraId="686EC076" w14:textId="77777777" w:rsidTr="001C13FB">
              <w:trPr>
                <w:trHeight w:val="315"/>
              </w:trPr>
              <w:tc>
                <w:tcPr>
                  <w:tcW w:w="3961" w:type="dxa"/>
                  <w:vMerge/>
                  <w:tcBorders>
                    <w:top w:val="single" w:sz="8" w:space="0" w:color="auto"/>
                    <w:left w:val="single" w:sz="8" w:space="0" w:color="auto"/>
                    <w:bottom w:val="single" w:sz="8" w:space="0" w:color="000000"/>
                    <w:right w:val="single" w:sz="8" w:space="0" w:color="auto"/>
                  </w:tcBorders>
                  <w:vAlign w:val="center"/>
                  <w:hideMark/>
                </w:tcPr>
                <w:p w14:paraId="22001AD9" w14:textId="77777777" w:rsidR="00D619B4" w:rsidRPr="00CB6DD9" w:rsidRDefault="00D619B4" w:rsidP="001C13FB">
                  <w:pPr>
                    <w:rPr>
                      <w:b/>
                      <w:bCs/>
                      <w:color w:val="000000"/>
                      <w:lang w:eastAsia="sk-SK"/>
                    </w:rPr>
                  </w:pPr>
                </w:p>
              </w:tc>
              <w:tc>
                <w:tcPr>
                  <w:tcW w:w="2126" w:type="dxa"/>
                  <w:tcBorders>
                    <w:top w:val="nil"/>
                    <w:left w:val="nil"/>
                    <w:bottom w:val="single" w:sz="8" w:space="0" w:color="auto"/>
                    <w:right w:val="single" w:sz="8" w:space="0" w:color="auto"/>
                  </w:tcBorders>
                  <w:shd w:val="clear" w:color="000000" w:fill="BFBFBF"/>
                  <w:vAlign w:val="center"/>
                  <w:hideMark/>
                </w:tcPr>
                <w:p w14:paraId="7912C222"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2023</w:t>
                  </w:r>
                </w:p>
              </w:tc>
              <w:tc>
                <w:tcPr>
                  <w:tcW w:w="2126" w:type="dxa"/>
                  <w:tcBorders>
                    <w:top w:val="nil"/>
                    <w:left w:val="nil"/>
                    <w:bottom w:val="single" w:sz="8" w:space="0" w:color="auto"/>
                    <w:right w:val="single" w:sz="8" w:space="0" w:color="auto"/>
                  </w:tcBorders>
                  <w:shd w:val="clear" w:color="000000" w:fill="BFBFBF"/>
                  <w:vAlign w:val="center"/>
                  <w:hideMark/>
                </w:tcPr>
                <w:p w14:paraId="5FAE813E"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2024</w:t>
                  </w:r>
                </w:p>
              </w:tc>
              <w:tc>
                <w:tcPr>
                  <w:tcW w:w="2268" w:type="dxa"/>
                  <w:tcBorders>
                    <w:top w:val="nil"/>
                    <w:left w:val="nil"/>
                    <w:bottom w:val="single" w:sz="8" w:space="0" w:color="auto"/>
                    <w:right w:val="single" w:sz="8" w:space="0" w:color="auto"/>
                  </w:tcBorders>
                  <w:shd w:val="clear" w:color="000000" w:fill="BFBFBF"/>
                  <w:vAlign w:val="center"/>
                  <w:hideMark/>
                </w:tcPr>
                <w:p w14:paraId="44A12122"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2025</w:t>
                  </w:r>
                </w:p>
              </w:tc>
              <w:tc>
                <w:tcPr>
                  <w:tcW w:w="2268" w:type="dxa"/>
                  <w:tcBorders>
                    <w:top w:val="nil"/>
                    <w:left w:val="nil"/>
                    <w:bottom w:val="single" w:sz="8" w:space="0" w:color="auto"/>
                    <w:right w:val="single" w:sz="8" w:space="0" w:color="auto"/>
                  </w:tcBorders>
                  <w:shd w:val="clear" w:color="000000" w:fill="BFBFBF"/>
                  <w:vAlign w:val="center"/>
                  <w:hideMark/>
                </w:tcPr>
                <w:p w14:paraId="7480E79F" w14:textId="77777777" w:rsidR="00D619B4" w:rsidRPr="00CA1711" w:rsidRDefault="00D619B4" w:rsidP="001C13FB">
                  <w:pPr>
                    <w:jc w:val="center"/>
                    <w:rPr>
                      <w:b/>
                      <w:bCs/>
                      <w:color w:val="000000"/>
                      <w:sz w:val="20"/>
                      <w:szCs w:val="20"/>
                      <w:lang w:eastAsia="sk-SK"/>
                    </w:rPr>
                  </w:pPr>
                  <w:r w:rsidRPr="00CA1711">
                    <w:rPr>
                      <w:b/>
                      <w:bCs/>
                      <w:color w:val="000000"/>
                      <w:sz w:val="20"/>
                      <w:szCs w:val="20"/>
                      <w:lang w:eastAsia="sk-SK"/>
                    </w:rPr>
                    <w:t>2026</w:t>
                  </w:r>
                </w:p>
              </w:tc>
              <w:tc>
                <w:tcPr>
                  <w:tcW w:w="1843" w:type="dxa"/>
                  <w:tcBorders>
                    <w:top w:val="nil"/>
                    <w:left w:val="nil"/>
                    <w:bottom w:val="single" w:sz="8" w:space="0" w:color="auto"/>
                    <w:right w:val="single" w:sz="8" w:space="0" w:color="auto"/>
                  </w:tcBorders>
                  <w:shd w:val="clear" w:color="000000" w:fill="BFBFBF"/>
                </w:tcPr>
                <w:p w14:paraId="1042A98A" w14:textId="77777777" w:rsidR="00D619B4" w:rsidRPr="00CB6DD9" w:rsidRDefault="00D619B4" w:rsidP="001C13FB">
                  <w:pPr>
                    <w:jc w:val="center"/>
                    <w:rPr>
                      <w:b/>
                      <w:bCs/>
                      <w:color w:val="000000"/>
                      <w:sz w:val="20"/>
                      <w:szCs w:val="20"/>
                      <w:lang w:eastAsia="sk-SK"/>
                    </w:rPr>
                  </w:pPr>
                  <w:r>
                    <w:rPr>
                      <w:b/>
                      <w:bCs/>
                      <w:color w:val="000000"/>
                      <w:sz w:val="20"/>
                      <w:szCs w:val="20"/>
                      <w:lang w:eastAsia="sk-SK"/>
                    </w:rPr>
                    <w:t>Poznámka</w:t>
                  </w:r>
                </w:p>
              </w:tc>
            </w:tr>
            <w:tr w:rsidR="00D619B4" w:rsidRPr="00CB6DD9" w14:paraId="5FEC0FE0" w14:textId="77777777" w:rsidTr="001C13FB">
              <w:trPr>
                <w:trHeight w:val="33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7BDA6AF2" w14:textId="77777777" w:rsidR="00D619B4" w:rsidRPr="00CB6DD9" w:rsidRDefault="00D619B4" w:rsidP="001C13FB">
                  <w:pPr>
                    <w:rPr>
                      <w:b/>
                      <w:bCs/>
                      <w:color w:val="000000"/>
                      <w:lang w:eastAsia="sk-SK"/>
                    </w:rPr>
                  </w:pPr>
                  <w:r w:rsidRPr="00CB6DD9">
                    <w:rPr>
                      <w:b/>
                      <w:bCs/>
                      <w:color w:val="000000"/>
                      <w:lang w:eastAsia="sk-SK"/>
                    </w:rPr>
                    <w:t>Počet zamestnancov celkom</w:t>
                  </w:r>
                </w:p>
              </w:tc>
              <w:tc>
                <w:tcPr>
                  <w:tcW w:w="2126" w:type="dxa"/>
                  <w:tcBorders>
                    <w:top w:val="nil"/>
                    <w:left w:val="nil"/>
                    <w:bottom w:val="single" w:sz="8" w:space="0" w:color="auto"/>
                    <w:right w:val="single" w:sz="8" w:space="0" w:color="auto"/>
                  </w:tcBorders>
                  <w:shd w:val="clear" w:color="auto" w:fill="auto"/>
                  <w:vAlign w:val="center"/>
                  <w:hideMark/>
                </w:tcPr>
                <w:p w14:paraId="0545BE54" w14:textId="77777777" w:rsidR="00D619B4" w:rsidRPr="00CA1711" w:rsidRDefault="00D619B4" w:rsidP="001C13FB">
                  <w:pPr>
                    <w:jc w:val="center"/>
                    <w:rPr>
                      <w:bCs/>
                      <w:color w:val="000000"/>
                      <w:lang w:eastAsia="sk-SK"/>
                    </w:rPr>
                  </w:pPr>
                  <w:r>
                    <w:rPr>
                      <w:bCs/>
                      <w:color w:val="000000"/>
                      <w:lang w:eastAsia="sk-SK"/>
                    </w:rPr>
                    <w:t>15</w:t>
                  </w:r>
                </w:p>
              </w:tc>
              <w:tc>
                <w:tcPr>
                  <w:tcW w:w="2126" w:type="dxa"/>
                  <w:tcBorders>
                    <w:top w:val="nil"/>
                    <w:left w:val="nil"/>
                    <w:bottom w:val="single" w:sz="8" w:space="0" w:color="auto"/>
                    <w:right w:val="single" w:sz="8" w:space="0" w:color="auto"/>
                  </w:tcBorders>
                  <w:shd w:val="clear" w:color="auto" w:fill="auto"/>
                  <w:vAlign w:val="center"/>
                  <w:hideMark/>
                </w:tcPr>
                <w:p w14:paraId="5FA34C18" w14:textId="77777777" w:rsidR="00D619B4" w:rsidRPr="00CA1711" w:rsidRDefault="00D619B4" w:rsidP="001C13FB">
                  <w:pPr>
                    <w:jc w:val="center"/>
                    <w:rPr>
                      <w:bCs/>
                      <w:color w:val="000000"/>
                      <w:lang w:eastAsia="sk-SK"/>
                    </w:rPr>
                  </w:pPr>
                  <w:r>
                    <w:rPr>
                      <w:bCs/>
                      <w:color w:val="000000"/>
                      <w:lang w:eastAsia="sk-SK"/>
                    </w:rPr>
                    <w:t>15</w:t>
                  </w:r>
                </w:p>
              </w:tc>
              <w:tc>
                <w:tcPr>
                  <w:tcW w:w="2268" w:type="dxa"/>
                  <w:tcBorders>
                    <w:top w:val="nil"/>
                    <w:left w:val="nil"/>
                    <w:bottom w:val="single" w:sz="8" w:space="0" w:color="auto"/>
                    <w:right w:val="single" w:sz="8" w:space="0" w:color="auto"/>
                  </w:tcBorders>
                  <w:shd w:val="clear" w:color="auto" w:fill="auto"/>
                  <w:vAlign w:val="center"/>
                  <w:hideMark/>
                </w:tcPr>
                <w:p w14:paraId="16AB1BAC" w14:textId="77777777" w:rsidR="00D619B4" w:rsidRPr="00CA1711" w:rsidRDefault="00D619B4" w:rsidP="001C13FB">
                  <w:pPr>
                    <w:jc w:val="center"/>
                    <w:rPr>
                      <w:bCs/>
                      <w:color w:val="000000"/>
                      <w:lang w:eastAsia="sk-SK"/>
                    </w:rPr>
                  </w:pPr>
                  <w:r>
                    <w:rPr>
                      <w:bCs/>
                      <w:color w:val="000000"/>
                      <w:lang w:eastAsia="sk-SK"/>
                    </w:rPr>
                    <w:t>15</w:t>
                  </w:r>
                </w:p>
              </w:tc>
              <w:tc>
                <w:tcPr>
                  <w:tcW w:w="2268" w:type="dxa"/>
                  <w:tcBorders>
                    <w:top w:val="nil"/>
                    <w:left w:val="nil"/>
                    <w:bottom w:val="single" w:sz="8" w:space="0" w:color="auto"/>
                    <w:right w:val="single" w:sz="8" w:space="0" w:color="auto"/>
                  </w:tcBorders>
                  <w:shd w:val="clear" w:color="auto" w:fill="auto"/>
                  <w:vAlign w:val="center"/>
                  <w:hideMark/>
                </w:tcPr>
                <w:p w14:paraId="3D515EFD" w14:textId="77777777" w:rsidR="00D619B4" w:rsidRPr="00CA1711" w:rsidRDefault="00D619B4" w:rsidP="001C13FB">
                  <w:pPr>
                    <w:jc w:val="center"/>
                    <w:rPr>
                      <w:bCs/>
                      <w:color w:val="000000"/>
                      <w:lang w:eastAsia="sk-SK"/>
                    </w:rPr>
                  </w:pPr>
                  <w:r>
                    <w:rPr>
                      <w:bCs/>
                      <w:color w:val="000000"/>
                      <w:lang w:eastAsia="sk-SK"/>
                    </w:rPr>
                    <w:t>15</w:t>
                  </w:r>
                </w:p>
              </w:tc>
              <w:tc>
                <w:tcPr>
                  <w:tcW w:w="1843" w:type="dxa"/>
                  <w:tcBorders>
                    <w:top w:val="nil"/>
                    <w:left w:val="nil"/>
                    <w:bottom w:val="single" w:sz="8" w:space="0" w:color="auto"/>
                    <w:right w:val="single" w:sz="8" w:space="0" w:color="auto"/>
                  </w:tcBorders>
                </w:tcPr>
                <w:p w14:paraId="75B5F104" w14:textId="77777777" w:rsidR="00D619B4" w:rsidRPr="003A1A5E" w:rsidRDefault="00D619B4" w:rsidP="001C13FB">
                  <w:pPr>
                    <w:jc w:val="center"/>
                    <w:rPr>
                      <w:bCs/>
                      <w:color w:val="000000"/>
                      <w:lang w:eastAsia="sk-SK"/>
                    </w:rPr>
                  </w:pPr>
                </w:p>
              </w:tc>
            </w:tr>
            <w:tr w:rsidR="00D619B4" w:rsidRPr="00CB6DD9" w14:paraId="168326C7" w14:textId="77777777" w:rsidTr="001C13FB">
              <w:trPr>
                <w:trHeight w:val="330"/>
              </w:trPr>
              <w:tc>
                <w:tcPr>
                  <w:tcW w:w="396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E29F417"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2A860FE4" w14:textId="77777777" w:rsidR="00D619B4" w:rsidRPr="00CA1711" w:rsidRDefault="00D619B4" w:rsidP="001C13FB">
                  <w:pPr>
                    <w:jc w:val="center"/>
                    <w:rPr>
                      <w:bCs/>
                      <w:color w:val="000000"/>
                      <w:lang w:eastAsia="sk-SK"/>
                    </w:rPr>
                  </w:pPr>
                  <w:r>
                    <w:rPr>
                      <w:bCs/>
                      <w:color w:val="000000"/>
                      <w:lang w:eastAsia="sk-SK"/>
                    </w:rPr>
                    <w:t>15</w:t>
                  </w:r>
                </w:p>
              </w:tc>
              <w:tc>
                <w:tcPr>
                  <w:tcW w:w="2126" w:type="dxa"/>
                  <w:tcBorders>
                    <w:top w:val="nil"/>
                    <w:left w:val="nil"/>
                    <w:bottom w:val="single" w:sz="8" w:space="0" w:color="auto"/>
                    <w:right w:val="single" w:sz="8" w:space="0" w:color="auto"/>
                  </w:tcBorders>
                  <w:shd w:val="clear" w:color="auto" w:fill="auto"/>
                  <w:vAlign w:val="center"/>
                  <w:hideMark/>
                </w:tcPr>
                <w:p w14:paraId="741C6947" w14:textId="77777777" w:rsidR="00D619B4" w:rsidRPr="00CA1711" w:rsidRDefault="00D619B4" w:rsidP="001C13FB">
                  <w:pPr>
                    <w:jc w:val="center"/>
                    <w:rPr>
                      <w:bCs/>
                      <w:color w:val="000000"/>
                      <w:lang w:eastAsia="sk-SK"/>
                    </w:rPr>
                  </w:pPr>
                  <w:r>
                    <w:rPr>
                      <w:bCs/>
                      <w:color w:val="000000"/>
                      <w:lang w:eastAsia="sk-SK"/>
                    </w:rPr>
                    <w:t>15</w:t>
                  </w:r>
                </w:p>
              </w:tc>
              <w:tc>
                <w:tcPr>
                  <w:tcW w:w="2268" w:type="dxa"/>
                  <w:tcBorders>
                    <w:top w:val="nil"/>
                    <w:left w:val="nil"/>
                    <w:bottom w:val="single" w:sz="8" w:space="0" w:color="auto"/>
                    <w:right w:val="single" w:sz="8" w:space="0" w:color="auto"/>
                  </w:tcBorders>
                  <w:shd w:val="clear" w:color="auto" w:fill="auto"/>
                  <w:vAlign w:val="center"/>
                  <w:hideMark/>
                </w:tcPr>
                <w:p w14:paraId="00FFC5A1" w14:textId="77777777" w:rsidR="00D619B4" w:rsidRPr="00CA1711" w:rsidRDefault="00D619B4" w:rsidP="001C13FB">
                  <w:pPr>
                    <w:jc w:val="center"/>
                    <w:rPr>
                      <w:bCs/>
                      <w:color w:val="000000"/>
                      <w:lang w:eastAsia="sk-SK"/>
                    </w:rPr>
                  </w:pPr>
                  <w:r>
                    <w:rPr>
                      <w:bCs/>
                      <w:color w:val="000000"/>
                      <w:lang w:eastAsia="sk-SK"/>
                    </w:rPr>
                    <w:t>15</w:t>
                  </w:r>
                </w:p>
              </w:tc>
              <w:tc>
                <w:tcPr>
                  <w:tcW w:w="2268" w:type="dxa"/>
                  <w:tcBorders>
                    <w:top w:val="nil"/>
                    <w:left w:val="nil"/>
                    <w:bottom w:val="single" w:sz="8" w:space="0" w:color="auto"/>
                    <w:right w:val="single" w:sz="8" w:space="0" w:color="auto"/>
                  </w:tcBorders>
                  <w:shd w:val="clear" w:color="auto" w:fill="auto"/>
                  <w:vAlign w:val="center"/>
                  <w:hideMark/>
                </w:tcPr>
                <w:p w14:paraId="6F4D5647" w14:textId="77777777" w:rsidR="00D619B4" w:rsidRPr="00CA1711" w:rsidRDefault="00D619B4" w:rsidP="001C13FB">
                  <w:pPr>
                    <w:jc w:val="center"/>
                    <w:rPr>
                      <w:bCs/>
                      <w:color w:val="000000"/>
                      <w:lang w:eastAsia="sk-SK"/>
                    </w:rPr>
                  </w:pPr>
                  <w:r>
                    <w:rPr>
                      <w:bCs/>
                      <w:color w:val="000000"/>
                      <w:lang w:eastAsia="sk-SK"/>
                    </w:rPr>
                    <w:t>15</w:t>
                  </w:r>
                </w:p>
              </w:tc>
              <w:tc>
                <w:tcPr>
                  <w:tcW w:w="1843" w:type="dxa"/>
                  <w:tcBorders>
                    <w:top w:val="nil"/>
                    <w:left w:val="nil"/>
                    <w:bottom w:val="single" w:sz="8" w:space="0" w:color="auto"/>
                    <w:right w:val="single" w:sz="8" w:space="0" w:color="auto"/>
                  </w:tcBorders>
                </w:tcPr>
                <w:p w14:paraId="04F3C2C1" w14:textId="77777777" w:rsidR="00D619B4" w:rsidRPr="003A1A5E" w:rsidRDefault="00D619B4" w:rsidP="001C13FB">
                  <w:pPr>
                    <w:jc w:val="center"/>
                    <w:rPr>
                      <w:bCs/>
                      <w:color w:val="000000"/>
                      <w:lang w:eastAsia="sk-SK"/>
                    </w:rPr>
                  </w:pPr>
                </w:p>
              </w:tc>
            </w:tr>
            <w:tr w:rsidR="00D619B4" w:rsidRPr="00CB6DD9" w14:paraId="7F01F475" w14:textId="77777777" w:rsidTr="001C13FB">
              <w:trPr>
                <w:trHeight w:val="645"/>
              </w:trPr>
              <w:tc>
                <w:tcPr>
                  <w:tcW w:w="396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07370C4" w14:textId="77777777" w:rsidR="00D619B4" w:rsidRPr="00CB6DD9" w:rsidRDefault="00D619B4" w:rsidP="001C13FB">
                  <w:pPr>
                    <w:rPr>
                      <w:b/>
                      <w:bCs/>
                      <w:color w:val="000000"/>
                      <w:lang w:eastAsia="sk-SK"/>
                    </w:rPr>
                  </w:pPr>
                  <w:r w:rsidRPr="00CB6DD9">
                    <w:rPr>
                      <w:b/>
                      <w:bCs/>
                      <w:color w:val="000000"/>
                      <w:lang w:eastAsia="sk-SK"/>
                    </w:rPr>
                    <w:t>Priemerný mzdový výdavok (v eurách)</w:t>
                  </w:r>
                </w:p>
              </w:tc>
              <w:tc>
                <w:tcPr>
                  <w:tcW w:w="2126" w:type="dxa"/>
                  <w:tcBorders>
                    <w:top w:val="nil"/>
                    <w:left w:val="nil"/>
                    <w:bottom w:val="single" w:sz="8" w:space="0" w:color="auto"/>
                    <w:right w:val="single" w:sz="8" w:space="0" w:color="auto"/>
                  </w:tcBorders>
                  <w:shd w:val="clear" w:color="auto" w:fill="auto"/>
                  <w:vAlign w:val="center"/>
                  <w:hideMark/>
                </w:tcPr>
                <w:p w14:paraId="27B9EC31"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2126" w:type="dxa"/>
                  <w:tcBorders>
                    <w:top w:val="nil"/>
                    <w:left w:val="nil"/>
                    <w:bottom w:val="single" w:sz="8" w:space="0" w:color="auto"/>
                    <w:right w:val="single" w:sz="8" w:space="0" w:color="auto"/>
                  </w:tcBorders>
                  <w:shd w:val="clear" w:color="auto" w:fill="auto"/>
                  <w:vAlign w:val="center"/>
                  <w:hideMark/>
                </w:tcPr>
                <w:p w14:paraId="22A6D73D"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759C04EA"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7D758954" w14:textId="77777777" w:rsidR="00D619B4" w:rsidRPr="00CA1711" w:rsidRDefault="00D619B4" w:rsidP="001C13FB">
                  <w:pPr>
                    <w:jc w:val="center"/>
                    <w:rPr>
                      <w:bCs/>
                      <w:color w:val="000000"/>
                      <w:lang w:eastAsia="sk-SK"/>
                    </w:rPr>
                  </w:pPr>
                  <w:r w:rsidRPr="00CA1711">
                    <w:rPr>
                      <w:bCs/>
                      <w:color w:val="000000"/>
                      <w:lang w:eastAsia="sk-SK"/>
                    </w:rPr>
                    <w:t xml:space="preserve">              2 735,00 € </w:t>
                  </w:r>
                </w:p>
              </w:tc>
              <w:tc>
                <w:tcPr>
                  <w:tcW w:w="1843" w:type="dxa"/>
                  <w:tcBorders>
                    <w:top w:val="nil"/>
                    <w:left w:val="nil"/>
                    <w:bottom w:val="single" w:sz="8" w:space="0" w:color="auto"/>
                    <w:right w:val="single" w:sz="8" w:space="0" w:color="auto"/>
                  </w:tcBorders>
                </w:tcPr>
                <w:p w14:paraId="21225354" w14:textId="77777777" w:rsidR="00D619B4" w:rsidRPr="003A1A5E" w:rsidRDefault="00D619B4" w:rsidP="001C13FB">
                  <w:pPr>
                    <w:jc w:val="center"/>
                    <w:rPr>
                      <w:bCs/>
                      <w:color w:val="000000"/>
                      <w:lang w:eastAsia="sk-SK"/>
                    </w:rPr>
                  </w:pPr>
                </w:p>
                <w:p w14:paraId="3CE38213" w14:textId="77777777" w:rsidR="00D619B4" w:rsidRPr="003A1A5E" w:rsidRDefault="00D619B4" w:rsidP="001C13FB">
                  <w:pPr>
                    <w:jc w:val="center"/>
                    <w:rPr>
                      <w:bCs/>
                      <w:color w:val="000000"/>
                      <w:lang w:eastAsia="sk-SK"/>
                    </w:rPr>
                  </w:pPr>
                  <w:r w:rsidRPr="003A1A5E">
                    <w:rPr>
                      <w:bCs/>
                      <w:color w:val="000000"/>
                      <w:lang w:eastAsia="sk-SK"/>
                    </w:rPr>
                    <w:t>(brutto mesačne)</w:t>
                  </w:r>
                </w:p>
              </w:tc>
            </w:tr>
            <w:tr w:rsidR="00D619B4" w:rsidRPr="00CB6DD9" w14:paraId="25E1D0B9" w14:textId="77777777" w:rsidTr="001C13FB">
              <w:trPr>
                <w:trHeight w:val="330"/>
              </w:trPr>
              <w:tc>
                <w:tcPr>
                  <w:tcW w:w="396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90C1961"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30364EDE"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2126" w:type="dxa"/>
                  <w:tcBorders>
                    <w:top w:val="nil"/>
                    <w:left w:val="nil"/>
                    <w:bottom w:val="single" w:sz="8" w:space="0" w:color="auto"/>
                    <w:right w:val="single" w:sz="8" w:space="0" w:color="auto"/>
                  </w:tcBorders>
                  <w:shd w:val="clear" w:color="auto" w:fill="auto"/>
                  <w:vAlign w:val="center"/>
                  <w:hideMark/>
                </w:tcPr>
                <w:p w14:paraId="2E7C7011"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76E418B6"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2268" w:type="dxa"/>
                  <w:tcBorders>
                    <w:top w:val="nil"/>
                    <w:left w:val="nil"/>
                    <w:bottom w:val="single" w:sz="8" w:space="0" w:color="auto"/>
                    <w:right w:val="single" w:sz="8" w:space="0" w:color="auto"/>
                  </w:tcBorders>
                  <w:shd w:val="clear" w:color="auto" w:fill="auto"/>
                  <w:vAlign w:val="center"/>
                  <w:hideMark/>
                </w:tcPr>
                <w:p w14:paraId="2794E479" w14:textId="77777777" w:rsidR="00D619B4" w:rsidRPr="00CA1711" w:rsidRDefault="00D619B4" w:rsidP="001C13FB">
                  <w:pPr>
                    <w:jc w:val="center"/>
                    <w:rPr>
                      <w:color w:val="000000"/>
                      <w:lang w:eastAsia="sk-SK"/>
                    </w:rPr>
                  </w:pPr>
                  <w:r w:rsidRPr="00CA1711">
                    <w:rPr>
                      <w:bCs/>
                      <w:color w:val="000000"/>
                      <w:lang w:eastAsia="sk-SK"/>
                    </w:rPr>
                    <w:t xml:space="preserve">              2 735,00 € </w:t>
                  </w:r>
                </w:p>
              </w:tc>
              <w:tc>
                <w:tcPr>
                  <w:tcW w:w="1843" w:type="dxa"/>
                  <w:tcBorders>
                    <w:top w:val="nil"/>
                    <w:left w:val="nil"/>
                    <w:bottom w:val="single" w:sz="8" w:space="0" w:color="auto"/>
                    <w:right w:val="single" w:sz="8" w:space="0" w:color="auto"/>
                  </w:tcBorders>
                </w:tcPr>
                <w:p w14:paraId="160DAE3B" w14:textId="77777777" w:rsidR="00D619B4" w:rsidRPr="00B52963" w:rsidRDefault="00D619B4" w:rsidP="001C13FB">
                  <w:pPr>
                    <w:jc w:val="center"/>
                    <w:rPr>
                      <w:color w:val="000000"/>
                      <w:lang w:eastAsia="sk-SK"/>
                    </w:rPr>
                  </w:pPr>
                  <w:r w:rsidRPr="003A1A5E">
                    <w:rPr>
                      <w:bCs/>
                      <w:color w:val="000000"/>
                      <w:lang w:eastAsia="sk-SK"/>
                    </w:rPr>
                    <w:t>(brutto mesačne)</w:t>
                  </w:r>
                </w:p>
              </w:tc>
            </w:tr>
            <w:tr w:rsidR="00D619B4" w:rsidRPr="00CB6DD9" w14:paraId="43686E4B" w14:textId="77777777" w:rsidTr="001C13FB">
              <w:trPr>
                <w:trHeight w:val="960"/>
              </w:trPr>
              <w:tc>
                <w:tcPr>
                  <w:tcW w:w="3961" w:type="dxa"/>
                  <w:tcBorders>
                    <w:top w:val="nil"/>
                    <w:left w:val="single" w:sz="8" w:space="0" w:color="auto"/>
                    <w:bottom w:val="single" w:sz="8" w:space="0" w:color="000000"/>
                    <w:right w:val="single" w:sz="8" w:space="0" w:color="auto"/>
                  </w:tcBorders>
                  <w:shd w:val="clear" w:color="000000" w:fill="BFBFBF"/>
                  <w:vAlign w:val="center"/>
                  <w:hideMark/>
                </w:tcPr>
                <w:p w14:paraId="63110107" w14:textId="77777777" w:rsidR="00D619B4" w:rsidRPr="00CB6DD9" w:rsidRDefault="00D619B4" w:rsidP="001C13FB">
                  <w:pPr>
                    <w:rPr>
                      <w:b/>
                      <w:bCs/>
                      <w:color w:val="000000"/>
                      <w:lang w:eastAsia="sk-SK"/>
                    </w:rPr>
                  </w:pPr>
                  <w:r w:rsidRPr="00CB6DD9">
                    <w:rPr>
                      <w:b/>
                      <w:bCs/>
                      <w:color w:val="000000"/>
                      <w:lang w:eastAsia="sk-SK"/>
                    </w:rPr>
                    <w:t>Osobné výdavky celkom (v eurách)</w:t>
                  </w:r>
                </w:p>
              </w:tc>
              <w:tc>
                <w:tcPr>
                  <w:tcW w:w="2126" w:type="dxa"/>
                  <w:tcBorders>
                    <w:top w:val="nil"/>
                    <w:left w:val="single" w:sz="8" w:space="0" w:color="auto"/>
                    <w:bottom w:val="single" w:sz="8" w:space="0" w:color="000000"/>
                    <w:right w:val="single" w:sz="8" w:space="0" w:color="auto"/>
                  </w:tcBorders>
                  <w:shd w:val="clear" w:color="000000" w:fill="BFBFBF"/>
                  <w:vAlign w:val="center"/>
                  <w:hideMark/>
                </w:tcPr>
                <w:p w14:paraId="1E614FBF"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276 818</w:t>
                  </w:r>
                  <w:r w:rsidRPr="00CA1711">
                    <w:rPr>
                      <w:bCs/>
                      <w:color w:val="000000"/>
                      <w:lang w:eastAsia="sk-SK"/>
                    </w:rPr>
                    <w:t xml:space="preserve"> € </w:t>
                  </w:r>
                </w:p>
              </w:tc>
              <w:tc>
                <w:tcPr>
                  <w:tcW w:w="2126" w:type="dxa"/>
                  <w:tcBorders>
                    <w:top w:val="nil"/>
                    <w:left w:val="single" w:sz="8" w:space="0" w:color="auto"/>
                    <w:bottom w:val="single" w:sz="8" w:space="0" w:color="000000"/>
                    <w:right w:val="single" w:sz="8" w:space="0" w:color="auto"/>
                  </w:tcBorders>
                  <w:shd w:val="clear" w:color="000000" w:fill="BFBFBF"/>
                  <w:vAlign w:val="center"/>
                  <w:hideMark/>
                </w:tcPr>
                <w:p w14:paraId="163D22F0"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664 360</w:t>
                  </w:r>
                  <w:r w:rsidRPr="00CA1711">
                    <w:rPr>
                      <w:bCs/>
                      <w:color w:val="000000"/>
                      <w:lang w:eastAsia="sk-SK"/>
                    </w:rPr>
                    <w:t xml:space="preserve"> € </w:t>
                  </w:r>
                </w:p>
              </w:tc>
              <w:tc>
                <w:tcPr>
                  <w:tcW w:w="2268" w:type="dxa"/>
                  <w:tcBorders>
                    <w:top w:val="nil"/>
                    <w:left w:val="single" w:sz="8" w:space="0" w:color="auto"/>
                    <w:bottom w:val="single" w:sz="8" w:space="0" w:color="000000"/>
                    <w:right w:val="single" w:sz="8" w:space="0" w:color="auto"/>
                  </w:tcBorders>
                  <w:shd w:val="clear" w:color="000000" w:fill="BFBFBF"/>
                  <w:vAlign w:val="center"/>
                  <w:hideMark/>
                </w:tcPr>
                <w:p w14:paraId="42720EC7"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664 360</w:t>
                  </w:r>
                  <w:r w:rsidRPr="00CA1711">
                    <w:rPr>
                      <w:bCs/>
                      <w:color w:val="000000"/>
                      <w:lang w:eastAsia="sk-SK"/>
                    </w:rPr>
                    <w:t xml:space="preserve"> € </w:t>
                  </w:r>
                </w:p>
              </w:tc>
              <w:tc>
                <w:tcPr>
                  <w:tcW w:w="2268" w:type="dxa"/>
                  <w:tcBorders>
                    <w:top w:val="nil"/>
                    <w:left w:val="single" w:sz="8" w:space="0" w:color="auto"/>
                    <w:bottom w:val="single" w:sz="8" w:space="0" w:color="000000"/>
                    <w:right w:val="single" w:sz="8" w:space="0" w:color="auto"/>
                  </w:tcBorders>
                  <w:shd w:val="clear" w:color="000000" w:fill="BFBFBF"/>
                  <w:vAlign w:val="center"/>
                  <w:hideMark/>
                </w:tcPr>
                <w:p w14:paraId="2CADCDF9"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664 360</w:t>
                  </w:r>
                  <w:r w:rsidRPr="00CA1711">
                    <w:rPr>
                      <w:bCs/>
                      <w:color w:val="000000"/>
                      <w:lang w:eastAsia="sk-SK"/>
                    </w:rPr>
                    <w:t xml:space="preserve"> € </w:t>
                  </w:r>
                </w:p>
              </w:tc>
              <w:tc>
                <w:tcPr>
                  <w:tcW w:w="1843" w:type="dxa"/>
                  <w:tcBorders>
                    <w:top w:val="single" w:sz="8" w:space="0" w:color="auto"/>
                    <w:left w:val="single" w:sz="8" w:space="0" w:color="auto"/>
                    <w:bottom w:val="single" w:sz="4" w:space="0" w:color="auto"/>
                    <w:right w:val="single" w:sz="8" w:space="0" w:color="auto"/>
                  </w:tcBorders>
                  <w:shd w:val="clear" w:color="000000" w:fill="BFBFBF"/>
                </w:tcPr>
                <w:p w14:paraId="22C38F98" w14:textId="77777777" w:rsidR="00D619B4" w:rsidRPr="003A1A5E" w:rsidRDefault="00D619B4" w:rsidP="001C13FB">
                  <w:pPr>
                    <w:jc w:val="center"/>
                    <w:rPr>
                      <w:bCs/>
                      <w:color w:val="000000"/>
                      <w:lang w:eastAsia="sk-SK"/>
                    </w:rPr>
                  </w:pPr>
                </w:p>
              </w:tc>
            </w:tr>
            <w:tr w:rsidR="00D619B4" w:rsidRPr="00CB6DD9" w14:paraId="4ED88277" w14:textId="77777777" w:rsidTr="001C13FB">
              <w:trPr>
                <w:trHeight w:val="96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185C164E" w14:textId="77777777" w:rsidR="00D619B4" w:rsidRPr="00CB6DD9" w:rsidRDefault="00D619B4" w:rsidP="001C13FB">
                  <w:pPr>
                    <w:rPr>
                      <w:b/>
                      <w:bCs/>
                      <w:color w:val="000000"/>
                      <w:lang w:eastAsia="sk-SK"/>
                    </w:rPr>
                  </w:pPr>
                  <w:r w:rsidRPr="00CB6DD9">
                    <w:rPr>
                      <w:b/>
                      <w:bCs/>
                      <w:color w:val="000000"/>
                      <w:lang w:eastAsia="sk-SK"/>
                    </w:rPr>
                    <w:t>Mzdy, platy, služobné príjmy a ostatné osobné vyrovnania (610)</w:t>
                  </w:r>
                </w:p>
              </w:tc>
              <w:tc>
                <w:tcPr>
                  <w:tcW w:w="2126" w:type="dxa"/>
                  <w:tcBorders>
                    <w:top w:val="nil"/>
                    <w:left w:val="nil"/>
                    <w:bottom w:val="single" w:sz="8" w:space="0" w:color="auto"/>
                    <w:right w:val="single" w:sz="8" w:space="0" w:color="auto"/>
                  </w:tcBorders>
                  <w:shd w:val="clear" w:color="auto" w:fill="auto"/>
                  <w:vAlign w:val="center"/>
                  <w:hideMark/>
                </w:tcPr>
                <w:p w14:paraId="1FD066C2"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205 125</w:t>
                  </w:r>
                  <w:r w:rsidRPr="00CA1711">
                    <w:rPr>
                      <w:bCs/>
                      <w:color w:val="000000"/>
                      <w:lang w:eastAsia="sk-SK"/>
                    </w:rPr>
                    <w:t xml:space="preserve"> € </w:t>
                  </w:r>
                </w:p>
              </w:tc>
              <w:tc>
                <w:tcPr>
                  <w:tcW w:w="2126" w:type="dxa"/>
                  <w:tcBorders>
                    <w:top w:val="nil"/>
                    <w:left w:val="nil"/>
                    <w:bottom w:val="single" w:sz="8" w:space="0" w:color="auto"/>
                    <w:right w:val="single" w:sz="8" w:space="0" w:color="auto"/>
                  </w:tcBorders>
                  <w:shd w:val="clear" w:color="auto" w:fill="auto"/>
                  <w:vAlign w:val="center"/>
                  <w:hideMark/>
                </w:tcPr>
                <w:p w14:paraId="1902F1B4"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492 300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20FF35F9"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492 300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79C6520B"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492 300</w:t>
                  </w:r>
                  <w:r w:rsidRPr="00CA1711">
                    <w:rPr>
                      <w:bCs/>
                      <w:color w:val="000000"/>
                      <w:lang w:eastAsia="sk-SK"/>
                    </w:rPr>
                    <w:t xml:space="preserve"> € </w:t>
                  </w:r>
                </w:p>
              </w:tc>
              <w:tc>
                <w:tcPr>
                  <w:tcW w:w="1843" w:type="dxa"/>
                  <w:tcBorders>
                    <w:top w:val="single" w:sz="4" w:space="0" w:color="auto"/>
                    <w:left w:val="nil"/>
                    <w:bottom w:val="single" w:sz="8" w:space="0" w:color="auto"/>
                    <w:right w:val="single" w:sz="8" w:space="0" w:color="auto"/>
                  </w:tcBorders>
                </w:tcPr>
                <w:p w14:paraId="48465FDD" w14:textId="77777777" w:rsidR="00D619B4" w:rsidRPr="003A1A5E" w:rsidRDefault="00D619B4" w:rsidP="001C13FB">
                  <w:pPr>
                    <w:jc w:val="center"/>
                    <w:rPr>
                      <w:bCs/>
                      <w:color w:val="000000"/>
                      <w:lang w:eastAsia="sk-SK"/>
                    </w:rPr>
                  </w:pPr>
                </w:p>
              </w:tc>
            </w:tr>
            <w:tr w:rsidR="00D619B4" w:rsidRPr="00CB6DD9" w14:paraId="0BB15980" w14:textId="77777777" w:rsidTr="001C13FB">
              <w:trPr>
                <w:trHeight w:val="33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6311FF9F"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44886249"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205 125</w:t>
                  </w:r>
                  <w:r w:rsidRPr="00CA1711">
                    <w:rPr>
                      <w:bCs/>
                      <w:color w:val="000000"/>
                      <w:lang w:eastAsia="sk-SK"/>
                    </w:rPr>
                    <w:t xml:space="preserve"> € </w:t>
                  </w:r>
                </w:p>
              </w:tc>
              <w:tc>
                <w:tcPr>
                  <w:tcW w:w="2126" w:type="dxa"/>
                  <w:tcBorders>
                    <w:top w:val="nil"/>
                    <w:left w:val="nil"/>
                    <w:bottom w:val="single" w:sz="8" w:space="0" w:color="auto"/>
                    <w:right w:val="single" w:sz="8" w:space="0" w:color="auto"/>
                  </w:tcBorders>
                  <w:shd w:val="clear" w:color="auto" w:fill="auto"/>
                  <w:vAlign w:val="center"/>
                  <w:hideMark/>
                </w:tcPr>
                <w:p w14:paraId="3F2F5719"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492 300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162D25FD"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492 300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5D170E76"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492 300</w:t>
                  </w:r>
                  <w:r w:rsidRPr="00CA1711">
                    <w:rPr>
                      <w:bCs/>
                      <w:color w:val="000000"/>
                      <w:lang w:eastAsia="sk-SK"/>
                    </w:rPr>
                    <w:t xml:space="preserve"> € </w:t>
                  </w:r>
                </w:p>
              </w:tc>
              <w:tc>
                <w:tcPr>
                  <w:tcW w:w="1843" w:type="dxa"/>
                  <w:tcBorders>
                    <w:top w:val="nil"/>
                    <w:left w:val="nil"/>
                    <w:bottom w:val="single" w:sz="8" w:space="0" w:color="auto"/>
                    <w:right w:val="single" w:sz="8" w:space="0" w:color="auto"/>
                  </w:tcBorders>
                </w:tcPr>
                <w:p w14:paraId="58929D82" w14:textId="77777777" w:rsidR="00D619B4" w:rsidRPr="00DD1075" w:rsidRDefault="00D619B4" w:rsidP="001C13FB">
                  <w:pPr>
                    <w:jc w:val="center"/>
                    <w:rPr>
                      <w:color w:val="000000"/>
                      <w:lang w:eastAsia="sk-SK"/>
                    </w:rPr>
                  </w:pPr>
                </w:p>
              </w:tc>
            </w:tr>
            <w:tr w:rsidR="00D619B4" w:rsidRPr="00CB6DD9" w14:paraId="6A47EF7D" w14:textId="77777777" w:rsidTr="001C13FB">
              <w:trPr>
                <w:trHeight w:val="645"/>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2DC32BBD" w14:textId="77777777" w:rsidR="00D619B4" w:rsidRPr="00CB6DD9" w:rsidRDefault="00D619B4" w:rsidP="001C13FB">
                  <w:pPr>
                    <w:rPr>
                      <w:b/>
                      <w:bCs/>
                      <w:color w:val="000000"/>
                      <w:lang w:eastAsia="sk-SK"/>
                    </w:rPr>
                  </w:pPr>
                  <w:r w:rsidRPr="00CB6DD9">
                    <w:rPr>
                      <w:b/>
                      <w:bCs/>
                      <w:color w:val="000000"/>
                      <w:lang w:eastAsia="sk-SK"/>
                    </w:rPr>
                    <w:t>Poistné a príspevok do poisťovní (620)</w:t>
                  </w:r>
                </w:p>
              </w:tc>
              <w:tc>
                <w:tcPr>
                  <w:tcW w:w="2126" w:type="dxa"/>
                  <w:tcBorders>
                    <w:top w:val="nil"/>
                    <w:left w:val="nil"/>
                    <w:bottom w:val="single" w:sz="8" w:space="0" w:color="auto"/>
                    <w:right w:val="single" w:sz="8" w:space="0" w:color="auto"/>
                  </w:tcBorders>
                  <w:shd w:val="clear" w:color="auto" w:fill="auto"/>
                  <w:vAlign w:val="center"/>
                  <w:hideMark/>
                </w:tcPr>
                <w:p w14:paraId="3371B9E4"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71 693</w:t>
                  </w:r>
                  <w:r w:rsidRPr="00CA1711">
                    <w:rPr>
                      <w:bCs/>
                      <w:color w:val="000000"/>
                      <w:lang w:eastAsia="sk-SK"/>
                    </w:rPr>
                    <w:t xml:space="preserve"> € </w:t>
                  </w:r>
                </w:p>
              </w:tc>
              <w:tc>
                <w:tcPr>
                  <w:tcW w:w="2126" w:type="dxa"/>
                  <w:tcBorders>
                    <w:top w:val="nil"/>
                    <w:left w:val="nil"/>
                    <w:bottom w:val="single" w:sz="8" w:space="0" w:color="auto"/>
                    <w:right w:val="single" w:sz="8" w:space="0" w:color="auto"/>
                  </w:tcBorders>
                  <w:shd w:val="clear" w:color="auto" w:fill="auto"/>
                  <w:vAlign w:val="center"/>
                  <w:hideMark/>
                </w:tcPr>
                <w:p w14:paraId="2CF53D91"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172 060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5747A011"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172 060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71D49573" w14:textId="77777777" w:rsidR="00D619B4" w:rsidRPr="00CA1711" w:rsidRDefault="00D619B4" w:rsidP="001C13FB">
                  <w:pPr>
                    <w:jc w:val="center"/>
                    <w:rPr>
                      <w:bCs/>
                      <w:color w:val="000000"/>
                      <w:lang w:eastAsia="sk-SK"/>
                    </w:rPr>
                  </w:pPr>
                  <w:r w:rsidRPr="00CA1711">
                    <w:rPr>
                      <w:bCs/>
                      <w:color w:val="000000"/>
                      <w:lang w:eastAsia="sk-SK"/>
                    </w:rPr>
                    <w:t xml:space="preserve">            </w:t>
                  </w:r>
                  <w:r>
                    <w:rPr>
                      <w:bCs/>
                      <w:color w:val="000000"/>
                      <w:lang w:eastAsia="sk-SK"/>
                    </w:rPr>
                    <w:t>172 060</w:t>
                  </w:r>
                  <w:r w:rsidRPr="00CA1711">
                    <w:rPr>
                      <w:bCs/>
                      <w:color w:val="000000"/>
                      <w:lang w:eastAsia="sk-SK"/>
                    </w:rPr>
                    <w:t xml:space="preserve"> € </w:t>
                  </w:r>
                </w:p>
              </w:tc>
              <w:tc>
                <w:tcPr>
                  <w:tcW w:w="1843" w:type="dxa"/>
                  <w:tcBorders>
                    <w:top w:val="nil"/>
                    <w:left w:val="nil"/>
                    <w:bottom w:val="single" w:sz="8" w:space="0" w:color="auto"/>
                    <w:right w:val="single" w:sz="8" w:space="0" w:color="auto"/>
                  </w:tcBorders>
                </w:tcPr>
                <w:p w14:paraId="03763E7D" w14:textId="77777777" w:rsidR="00D619B4" w:rsidRPr="003A1A5E" w:rsidRDefault="00D619B4" w:rsidP="001C13FB">
                  <w:pPr>
                    <w:jc w:val="center"/>
                    <w:rPr>
                      <w:bCs/>
                      <w:color w:val="000000"/>
                      <w:lang w:eastAsia="sk-SK"/>
                    </w:rPr>
                  </w:pPr>
                </w:p>
              </w:tc>
            </w:tr>
            <w:tr w:rsidR="00D619B4" w:rsidRPr="00CB6DD9" w14:paraId="7680AE8F" w14:textId="77777777" w:rsidTr="001C13FB">
              <w:trPr>
                <w:trHeight w:val="330"/>
              </w:trPr>
              <w:tc>
                <w:tcPr>
                  <w:tcW w:w="3961" w:type="dxa"/>
                  <w:tcBorders>
                    <w:top w:val="nil"/>
                    <w:left w:val="single" w:sz="8" w:space="0" w:color="auto"/>
                    <w:bottom w:val="single" w:sz="8" w:space="0" w:color="auto"/>
                    <w:right w:val="single" w:sz="8" w:space="0" w:color="auto"/>
                  </w:tcBorders>
                  <w:shd w:val="clear" w:color="auto" w:fill="auto"/>
                  <w:vAlign w:val="center"/>
                  <w:hideMark/>
                </w:tcPr>
                <w:p w14:paraId="64BB8372" w14:textId="77777777" w:rsidR="00D619B4" w:rsidRPr="00CB6DD9" w:rsidRDefault="00D619B4" w:rsidP="001C13FB">
                  <w:pPr>
                    <w:rPr>
                      <w:b/>
                      <w:bCs/>
                      <w:color w:val="000000"/>
                      <w:lang w:eastAsia="sk-SK"/>
                    </w:rPr>
                  </w:pPr>
                  <w:r w:rsidRPr="00CB6DD9">
                    <w:rPr>
                      <w:b/>
                      <w:bCs/>
                      <w:color w:val="000000"/>
                      <w:lang w:eastAsia="sk-SK"/>
                    </w:rPr>
                    <w:t xml:space="preserve">   z toho vplyv na ŠR</w:t>
                  </w:r>
                </w:p>
              </w:tc>
              <w:tc>
                <w:tcPr>
                  <w:tcW w:w="2126" w:type="dxa"/>
                  <w:tcBorders>
                    <w:top w:val="nil"/>
                    <w:left w:val="nil"/>
                    <w:bottom w:val="single" w:sz="8" w:space="0" w:color="auto"/>
                    <w:right w:val="single" w:sz="8" w:space="0" w:color="auto"/>
                  </w:tcBorders>
                  <w:shd w:val="clear" w:color="auto" w:fill="auto"/>
                  <w:vAlign w:val="center"/>
                  <w:hideMark/>
                </w:tcPr>
                <w:p w14:paraId="08AEA1FB"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71 693</w:t>
                  </w:r>
                  <w:r w:rsidRPr="00CA1711">
                    <w:rPr>
                      <w:bCs/>
                      <w:color w:val="000000"/>
                      <w:lang w:eastAsia="sk-SK"/>
                    </w:rPr>
                    <w:t xml:space="preserve"> € </w:t>
                  </w:r>
                </w:p>
              </w:tc>
              <w:tc>
                <w:tcPr>
                  <w:tcW w:w="2126" w:type="dxa"/>
                  <w:tcBorders>
                    <w:top w:val="nil"/>
                    <w:left w:val="nil"/>
                    <w:bottom w:val="single" w:sz="8" w:space="0" w:color="auto"/>
                    <w:right w:val="single" w:sz="8" w:space="0" w:color="auto"/>
                  </w:tcBorders>
                  <w:shd w:val="clear" w:color="auto" w:fill="auto"/>
                  <w:vAlign w:val="center"/>
                  <w:hideMark/>
                </w:tcPr>
                <w:p w14:paraId="2E88CD70"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172 060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513DFE74"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172 060</w:t>
                  </w:r>
                  <w:r w:rsidRPr="00CA1711">
                    <w:rPr>
                      <w:bCs/>
                      <w:color w:val="000000"/>
                      <w:lang w:eastAsia="sk-SK"/>
                    </w:rPr>
                    <w:t xml:space="preserve"> € </w:t>
                  </w:r>
                </w:p>
              </w:tc>
              <w:tc>
                <w:tcPr>
                  <w:tcW w:w="2268" w:type="dxa"/>
                  <w:tcBorders>
                    <w:top w:val="nil"/>
                    <w:left w:val="nil"/>
                    <w:bottom w:val="single" w:sz="8" w:space="0" w:color="auto"/>
                    <w:right w:val="single" w:sz="8" w:space="0" w:color="auto"/>
                  </w:tcBorders>
                  <w:shd w:val="clear" w:color="auto" w:fill="auto"/>
                  <w:vAlign w:val="center"/>
                  <w:hideMark/>
                </w:tcPr>
                <w:p w14:paraId="52578DE4" w14:textId="77777777" w:rsidR="00D619B4" w:rsidRPr="00CA1711" w:rsidRDefault="00D619B4" w:rsidP="001C13FB">
                  <w:pPr>
                    <w:jc w:val="center"/>
                    <w:rPr>
                      <w:color w:val="000000"/>
                      <w:lang w:eastAsia="sk-SK"/>
                    </w:rPr>
                  </w:pPr>
                  <w:r w:rsidRPr="00CA1711">
                    <w:rPr>
                      <w:bCs/>
                      <w:color w:val="000000"/>
                      <w:lang w:eastAsia="sk-SK"/>
                    </w:rPr>
                    <w:t xml:space="preserve">    </w:t>
                  </w:r>
                  <w:r>
                    <w:rPr>
                      <w:bCs/>
                      <w:color w:val="000000"/>
                      <w:lang w:eastAsia="sk-SK"/>
                    </w:rPr>
                    <w:t xml:space="preserve">       </w:t>
                  </w:r>
                  <w:r w:rsidRPr="00CA1711">
                    <w:rPr>
                      <w:bCs/>
                      <w:color w:val="000000"/>
                      <w:lang w:eastAsia="sk-SK"/>
                    </w:rPr>
                    <w:t xml:space="preserve"> </w:t>
                  </w:r>
                  <w:r>
                    <w:rPr>
                      <w:bCs/>
                      <w:color w:val="000000"/>
                      <w:lang w:eastAsia="sk-SK"/>
                    </w:rPr>
                    <w:t>172 060</w:t>
                  </w:r>
                  <w:r w:rsidRPr="00CA1711">
                    <w:rPr>
                      <w:bCs/>
                      <w:color w:val="000000"/>
                      <w:lang w:eastAsia="sk-SK"/>
                    </w:rPr>
                    <w:t xml:space="preserve"> € </w:t>
                  </w:r>
                </w:p>
              </w:tc>
              <w:tc>
                <w:tcPr>
                  <w:tcW w:w="1843" w:type="dxa"/>
                  <w:tcBorders>
                    <w:top w:val="nil"/>
                    <w:left w:val="nil"/>
                    <w:bottom w:val="single" w:sz="8" w:space="0" w:color="auto"/>
                    <w:right w:val="single" w:sz="8" w:space="0" w:color="auto"/>
                  </w:tcBorders>
                </w:tcPr>
                <w:p w14:paraId="03EB574C" w14:textId="77777777" w:rsidR="00D619B4" w:rsidRPr="00CB6DD9" w:rsidRDefault="00D619B4" w:rsidP="001C13FB">
                  <w:pPr>
                    <w:jc w:val="center"/>
                    <w:rPr>
                      <w:color w:val="000000"/>
                      <w:lang w:eastAsia="sk-SK"/>
                    </w:rPr>
                  </w:pPr>
                </w:p>
              </w:tc>
            </w:tr>
          </w:tbl>
          <w:p w14:paraId="41B5ADBE" w14:textId="77777777" w:rsidR="00D619B4" w:rsidRDefault="00D619B4" w:rsidP="001C13FB">
            <w:pPr>
              <w:tabs>
                <w:tab w:val="num" w:pos="1080"/>
              </w:tabs>
              <w:jc w:val="right"/>
              <w:rPr>
                <w:bCs/>
                <w:lang w:eastAsia="sk-SK"/>
              </w:rPr>
            </w:pPr>
          </w:p>
          <w:p w14:paraId="71D72D5C" w14:textId="77777777" w:rsidR="00D619B4" w:rsidRDefault="00D619B4" w:rsidP="001C13FB">
            <w:pPr>
              <w:tabs>
                <w:tab w:val="num" w:pos="1080"/>
              </w:tabs>
              <w:jc w:val="right"/>
              <w:rPr>
                <w:bCs/>
                <w:lang w:eastAsia="sk-SK"/>
              </w:rPr>
            </w:pPr>
          </w:p>
          <w:p w14:paraId="66F40C5E" w14:textId="77777777" w:rsidR="00D619B4" w:rsidRDefault="00D619B4" w:rsidP="001C13FB">
            <w:pPr>
              <w:tabs>
                <w:tab w:val="num" w:pos="1080"/>
              </w:tabs>
              <w:jc w:val="right"/>
              <w:rPr>
                <w:bCs/>
                <w:lang w:eastAsia="sk-SK"/>
              </w:rPr>
            </w:pPr>
          </w:p>
          <w:p w14:paraId="3B8B6C5B" w14:textId="77777777" w:rsidR="00D619B4" w:rsidRDefault="00D619B4" w:rsidP="001C13FB">
            <w:pPr>
              <w:tabs>
                <w:tab w:val="num" w:pos="1080"/>
              </w:tabs>
              <w:jc w:val="right"/>
              <w:rPr>
                <w:bCs/>
                <w:lang w:eastAsia="sk-SK"/>
              </w:rPr>
            </w:pPr>
          </w:p>
          <w:p w14:paraId="6EC8C2B6" w14:textId="77777777" w:rsidR="00D619B4" w:rsidRDefault="00D619B4" w:rsidP="001C13FB">
            <w:pPr>
              <w:tabs>
                <w:tab w:val="num" w:pos="1080"/>
              </w:tabs>
              <w:rPr>
                <w:bCs/>
                <w:lang w:eastAsia="sk-SK"/>
              </w:rPr>
            </w:pPr>
          </w:p>
          <w:p w14:paraId="26E2B049" w14:textId="77777777" w:rsidR="00D619B4" w:rsidRPr="007D5748" w:rsidRDefault="00D619B4" w:rsidP="001C13FB">
            <w:pPr>
              <w:rPr>
                <w:lang w:eastAsia="sk-SK"/>
              </w:rPr>
            </w:pPr>
          </w:p>
        </w:tc>
        <w:tc>
          <w:tcPr>
            <w:tcW w:w="160" w:type="dxa"/>
            <w:tcBorders>
              <w:top w:val="nil"/>
              <w:left w:val="nil"/>
              <w:bottom w:val="nil"/>
              <w:right w:val="nil"/>
            </w:tcBorders>
            <w:noWrap/>
            <w:vAlign w:val="bottom"/>
          </w:tcPr>
          <w:p w14:paraId="6191B736" w14:textId="77777777" w:rsidR="00D619B4" w:rsidRPr="007D5748" w:rsidRDefault="00D619B4" w:rsidP="001C13FB">
            <w:pPr>
              <w:rPr>
                <w:lang w:eastAsia="sk-SK"/>
              </w:rPr>
            </w:pPr>
          </w:p>
        </w:tc>
        <w:tc>
          <w:tcPr>
            <w:tcW w:w="2352" w:type="dxa"/>
            <w:tcBorders>
              <w:top w:val="nil"/>
              <w:left w:val="nil"/>
              <w:bottom w:val="nil"/>
              <w:right w:val="nil"/>
            </w:tcBorders>
            <w:noWrap/>
            <w:vAlign w:val="bottom"/>
          </w:tcPr>
          <w:p w14:paraId="2E2E7287" w14:textId="77777777" w:rsidR="00D619B4" w:rsidRPr="007D5748" w:rsidRDefault="00D619B4" w:rsidP="001C13FB">
            <w:pPr>
              <w:rPr>
                <w:lang w:eastAsia="sk-SK"/>
              </w:rPr>
            </w:pPr>
          </w:p>
        </w:tc>
        <w:tc>
          <w:tcPr>
            <w:tcW w:w="990" w:type="dxa"/>
            <w:tcBorders>
              <w:top w:val="nil"/>
              <w:left w:val="nil"/>
              <w:bottom w:val="nil"/>
              <w:right w:val="nil"/>
            </w:tcBorders>
            <w:noWrap/>
            <w:vAlign w:val="bottom"/>
          </w:tcPr>
          <w:p w14:paraId="46EC6BB3" w14:textId="77777777" w:rsidR="00D619B4" w:rsidRPr="007D5748" w:rsidRDefault="00D619B4" w:rsidP="001C13FB">
            <w:pPr>
              <w:rPr>
                <w:lang w:eastAsia="sk-SK"/>
              </w:rPr>
            </w:pPr>
          </w:p>
        </w:tc>
      </w:tr>
    </w:tbl>
    <w:p w14:paraId="6D65224F" w14:textId="77777777" w:rsidR="00D619B4" w:rsidRPr="007D5748" w:rsidRDefault="00D619B4" w:rsidP="00D619B4">
      <w:pPr>
        <w:rPr>
          <w:b/>
          <w:bCs/>
          <w:lang w:eastAsia="sk-SK"/>
        </w:rPr>
        <w:sectPr w:rsidR="00D619B4" w:rsidRPr="007D5748">
          <w:pgSz w:w="16838" w:h="11906" w:orient="landscape"/>
          <w:pgMar w:top="1418" w:right="1418" w:bottom="1418" w:left="1418" w:header="709" w:footer="709" w:gutter="0"/>
          <w:cols w:space="708"/>
          <w:docGrid w:linePitch="360"/>
        </w:sectPr>
      </w:pPr>
    </w:p>
    <w:p w14:paraId="5BE2122E" w14:textId="77777777" w:rsidR="00D619B4" w:rsidRPr="007D5748" w:rsidRDefault="00D619B4" w:rsidP="00D619B4">
      <w:pPr>
        <w:jc w:val="center"/>
        <w:rPr>
          <w:b/>
          <w:sz w:val="28"/>
          <w:szCs w:val="28"/>
          <w:lang w:eastAsia="sk-SK"/>
        </w:rPr>
      </w:pPr>
      <w:r w:rsidRPr="007D5748">
        <w:rPr>
          <w:b/>
          <w:sz w:val="28"/>
          <w:szCs w:val="28"/>
          <w:lang w:eastAsia="sk-SK"/>
        </w:rPr>
        <w:t>Metodický postup pre analýzu vplyvov na rozpočet verejnej správy,</w:t>
      </w:r>
      <w:r w:rsidRPr="007D5748">
        <w:rPr>
          <w:b/>
          <w:sz w:val="28"/>
          <w:szCs w:val="28"/>
          <w:lang w:eastAsia="sk-SK"/>
        </w:rPr>
        <w:br/>
        <w:t>na zamestnanosť vo verejnej správe a financovanie návrhu</w:t>
      </w:r>
    </w:p>
    <w:p w14:paraId="0AE054B1" w14:textId="77777777" w:rsidR="00D619B4" w:rsidRPr="007D5748" w:rsidRDefault="00D619B4" w:rsidP="00D619B4">
      <w:pPr>
        <w:ind w:firstLine="720"/>
        <w:jc w:val="center"/>
        <w:rPr>
          <w:lang w:eastAsia="sk-SK"/>
        </w:rPr>
      </w:pPr>
    </w:p>
    <w:p w14:paraId="5B1DC5F1" w14:textId="77777777" w:rsidR="00D619B4" w:rsidRPr="007D5748" w:rsidRDefault="00D619B4" w:rsidP="00D619B4">
      <w:pPr>
        <w:rPr>
          <w:bCs/>
          <w:lang w:eastAsia="sk-SK"/>
        </w:rPr>
      </w:pPr>
    </w:p>
    <w:p w14:paraId="203F9EDF" w14:textId="77777777" w:rsidR="00D619B4" w:rsidRDefault="00D619B4" w:rsidP="00D619B4">
      <w:pPr>
        <w:rPr>
          <w:b/>
          <w:bCs/>
          <w:iCs/>
          <w:sz w:val="28"/>
          <w:u w:val="single"/>
          <w:lang w:eastAsia="sk-SK"/>
        </w:rPr>
      </w:pPr>
      <w:r w:rsidRPr="007D5748">
        <w:rPr>
          <w:b/>
          <w:bCs/>
          <w:iCs/>
          <w:sz w:val="28"/>
          <w:u w:val="single"/>
          <w:lang w:eastAsia="sk-SK"/>
        </w:rPr>
        <w:t>2.1. Zhrnutie vplyvov na rozpočet verejnej správy v</w:t>
      </w:r>
      <w:r>
        <w:rPr>
          <w:b/>
          <w:bCs/>
          <w:iCs/>
          <w:sz w:val="28"/>
          <w:u w:val="single"/>
          <w:lang w:eastAsia="sk-SK"/>
        </w:rPr>
        <w:t> </w:t>
      </w:r>
      <w:r w:rsidRPr="007D5748">
        <w:rPr>
          <w:b/>
          <w:bCs/>
          <w:iCs/>
          <w:sz w:val="28"/>
          <w:u w:val="single"/>
          <w:lang w:eastAsia="sk-SK"/>
        </w:rPr>
        <w:t>návrhu</w:t>
      </w:r>
    </w:p>
    <w:p w14:paraId="43BE8F34" w14:textId="77777777" w:rsidR="00D619B4" w:rsidRPr="007D5748" w:rsidRDefault="00D619B4" w:rsidP="00D619B4">
      <w:pPr>
        <w:rPr>
          <w:b/>
          <w:bCs/>
          <w:iCs/>
          <w:sz w:val="28"/>
          <w:u w:val="single"/>
          <w:lang w:eastAsia="sk-SK"/>
        </w:rPr>
      </w:pPr>
      <w:r w:rsidRPr="007D5748">
        <w:rPr>
          <w:b/>
          <w:bCs/>
          <w:iCs/>
          <w:sz w:val="28"/>
          <w:u w:val="single"/>
          <w:lang w:eastAsia="sk-SK"/>
        </w:rPr>
        <w:t xml:space="preserve"> </w:t>
      </w:r>
    </w:p>
    <w:p w14:paraId="00888E98" w14:textId="77777777" w:rsidR="00D619B4" w:rsidRPr="00200898" w:rsidRDefault="00D619B4" w:rsidP="00D619B4">
      <w:pPr>
        <w:rPr>
          <w:b/>
          <w:bCs/>
          <w:iCs/>
          <w:lang w:eastAsia="sk-SK"/>
        </w:rPr>
      </w:pPr>
      <w:r w:rsidRPr="00200898">
        <w:rPr>
          <w:b/>
          <w:bCs/>
          <w:iCs/>
          <w:lang w:eastAsia="sk-SK"/>
        </w:rPr>
        <w:t>2.1.1. Financovanie návrhu</w:t>
      </w:r>
    </w:p>
    <w:p w14:paraId="11D30263" w14:textId="77777777" w:rsidR="00D619B4" w:rsidRPr="007D5748" w:rsidRDefault="00D619B4" w:rsidP="00D619B4">
      <w:pPr>
        <w:rPr>
          <w:lang w:eastAsia="sk-SK"/>
        </w:rPr>
      </w:pPr>
    </w:p>
    <w:p w14:paraId="670F4709" w14:textId="77777777" w:rsidR="00D619B4" w:rsidRPr="007D5748" w:rsidRDefault="00D619B4" w:rsidP="00D619B4">
      <w:pPr>
        <w:ind w:firstLine="708"/>
        <w:jc w:val="both"/>
        <w:rPr>
          <w:lang w:eastAsia="sk-SK"/>
        </w:rPr>
      </w:pPr>
      <w:r w:rsidRPr="007D5748">
        <w:rPr>
          <w:bCs/>
          <w:iCs/>
          <w:lang w:eastAsia="sk-SK"/>
        </w:rPr>
        <w:t>Predkladateľ:</w:t>
      </w:r>
      <w:r w:rsidRPr="007D5748">
        <w:rPr>
          <w:lang w:eastAsia="sk-SK"/>
        </w:rPr>
        <w:t xml:space="preserve"> Vypĺňa informácie v tabuľke č. 1 na základe detailných informácií o príjmoch, výdavkoch a financovaní uvedených v tabuľkách č. 3 až č. 5. V prípade potreby je možné vložiť ďalšie riadky do tabuľky č. 1,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w:t>
      </w:r>
      <w:r>
        <w:rPr>
          <w:lang w:eastAsia="sk-SK"/>
        </w:rPr>
        <w:t xml:space="preserve"> </w:t>
      </w:r>
      <w:r w:rsidRPr="00943733">
        <w:rPr>
          <w:lang w:eastAsia="sk-SK"/>
        </w:rPr>
        <w:t>Vplyv na obce a VÚC v riadku „z toho vplyv nových úloh v zmysle ods. 2 Čl. 6 ústavného zákona č. 493/2011 Z. z. o rozpočtovej zodpovednosti“ sa vypĺňa v prípade zavedenia nových úloh pri úprave pôsobnosti pre obce alebo vyššie územné celky, pričom štát na ich plnenie súčasne zabezpečí obci alebo vyššiemu územnému celku zodpovedajúce finančné prostriedky.</w:t>
      </w:r>
      <w:r w:rsidRPr="00D200BE">
        <w:rPr>
          <w:lang w:eastAsia="sk-SK"/>
        </w:rPr>
        <w:t xml:space="preserve"> </w:t>
      </w:r>
      <w:r w:rsidRPr="007D5748">
        <w:rPr>
          <w:lang w:eastAsia="sk-SK"/>
        </w:rPr>
        <w:t>V prípade, ak materiál má vplyv na rozpočet verejnej správy vyjadrený v metodike ESA 2010 (pričom na hotovostnom princípe k vplyvu nedochádza), je potrebné, aby predkladateľ v takýchto prípadoch uviedol v komentári aj vplyv na rozpočet vyjadrený v metodike ESA 2010.</w:t>
      </w:r>
      <w:r>
        <w:rPr>
          <w:lang w:eastAsia="sk-SK"/>
        </w:rPr>
        <w:t xml:space="preserve"> </w:t>
      </w:r>
      <w:r>
        <w:t>Ú</w:t>
      </w:r>
      <w:r w:rsidRPr="00104A3D">
        <w:t>daje sa uvádzajú za bežný rok a tri nasledujúce roky</w:t>
      </w:r>
      <w:r>
        <w:t>.</w:t>
      </w:r>
    </w:p>
    <w:p w14:paraId="50251D04" w14:textId="77777777" w:rsidR="00D619B4" w:rsidRPr="007D5748" w:rsidRDefault="00D619B4" w:rsidP="00D619B4">
      <w:pPr>
        <w:ind w:firstLine="708"/>
        <w:jc w:val="both"/>
        <w:rPr>
          <w:u w:val="single"/>
          <w:lang w:eastAsia="sk-SK"/>
        </w:rPr>
      </w:pPr>
    </w:p>
    <w:p w14:paraId="3AD70476" w14:textId="77777777" w:rsidR="00D619B4" w:rsidRPr="007D5748" w:rsidRDefault="00D619B4" w:rsidP="00D619B4">
      <w:pPr>
        <w:ind w:firstLine="708"/>
        <w:jc w:val="both"/>
        <w:rPr>
          <w:lang w:eastAsia="sk-SK"/>
        </w:rPr>
      </w:pPr>
      <w:r w:rsidRPr="007D5748">
        <w:rPr>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65D2ECD2" w14:textId="77777777" w:rsidR="00D619B4" w:rsidRPr="007D5748" w:rsidRDefault="00D619B4" w:rsidP="00D619B4">
      <w:pPr>
        <w:jc w:val="both"/>
        <w:rPr>
          <w:u w:val="single"/>
          <w:lang w:eastAsia="sk-SK"/>
        </w:rPr>
      </w:pPr>
    </w:p>
    <w:p w14:paraId="67D418D7" w14:textId="77777777" w:rsidR="00D619B4" w:rsidRPr="007D5748" w:rsidRDefault="00D619B4" w:rsidP="00D619B4">
      <w:pPr>
        <w:ind w:firstLine="708"/>
        <w:jc w:val="both"/>
        <w:rPr>
          <w:lang w:eastAsia="sk-SK"/>
        </w:rPr>
      </w:pPr>
      <w:r w:rsidRPr="007D5748">
        <w:rPr>
          <w:bCs/>
          <w:iCs/>
          <w:lang w:eastAsia="sk-SK"/>
        </w:rPr>
        <w:t>MF SR:</w:t>
      </w:r>
      <w:r w:rsidRPr="007D5748">
        <w:rPr>
          <w:iCs/>
          <w:lang w:eastAsia="sk-SK"/>
        </w:rPr>
        <w:t xml:space="preserve"> </w:t>
      </w:r>
      <w:r w:rsidRPr="007D5748">
        <w:rPr>
          <w:lang w:eastAsia="sk-SK"/>
        </w:rPr>
        <w:t>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14:paraId="4EC9E72A" w14:textId="77777777" w:rsidR="00D619B4" w:rsidRPr="007D5748" w:rsidRDefault="00D619B4" w:rsidP="00D619B4">
      <w:pPr>
        <w:jc w:val="both"/>
        <w:rPr>
          <w:b/>
          <w:bCs/>
          <w:lang w:eastAsia="sk-SK"/>
        </w:rPr>
      </w:pPr>
    </w:p>
    <w:p w14:paraId="32B62826" w14:textId="77777777" w:rsidR="00D619B4" w:rsidRPr="00200898" w:rsidRDefault="00D619B4" w:rsidP="00D619B4">
      <w:pPr>
        <w:jc w:val="both"/>
        <w:rPr>
          <w:b/>
          <w:bCs/>
          <w:iCs/>
          <w:sz w:val="28"/>
          <w:u w:val="single"/>
          <w:lang w:eastAsia="sk-SK"/>
        </w:rPr>
      </w:pPr>
      <w:r w:rsidRPr="00200898">
        <w:rPr>
          <w:b/>
          <w:bCs/>
          <w:iCs/>
          <w:sz w:val="28"/>
          <w:u w:val="single"/>
          <w:lang w:eastAsia="sk-SK"/>
        </w:rPr>
        <w:t>Vyplnenie časti 2.2. Popis a charakteristika  návrhu</w:t>
      </w:r>
    </w:p>
    <w:p w14:paraId="112F173E" w14:textId="77777777" w:rsidR="00D619B4" w:rsidRPr="007D5748" w:rsidRDefault="00D619B4" w:rsidP="00D619B4">
      <w:pPr>
        <w:rPr>
          <w:b/>
          <w:lang w:eastAsia="sk-SK"/>
        </w:rPr>
      </w:pPr>
    </w:p>
    <w:p w14:paraId="569B6C68" w14:textId="77777777" w:rsidR="00D619B4" w:rsidRPr="007D5748" w:rsidRDefault="00D619B4" w:rsidP="00D619B4">
      <w:pPr>
        <w:rPr>
          <w:b/>
          <w:bCs/>
          <w:iCs/>
          <w:lang w:eastAsia="sk-SK"/>
        </w:rPr>
      </w:pPr>
      <w:r w:rsidRPr="007D5748">
        <w:rPr>
          <w:b/>
          <w:bCs/>
          <w:iCs/>
          <w:lang w:eastAsia="sk-SK"/>
        </w:rPr>
        <w:t>2.2.1. Popis návrhu</w:t>
      </w:r>
    </w:p>
    <w:p w14:paraId="239AA52E" w14:textId="77777777" w:rsidR="00D619B4" w:rsidRPr="007D5748" w:rsidRDefault="00D619B4" w:rsidP="00D619B4">
      <w:pPr>
        <w:rPr>
          <w:lang w:eastAsia="sk-SK"/>
        </w:rPr>
      </w:pPr>
    </w:p>
    <w:p w14:paraId="7EBF8F8D" w14:textId="77777777" w:rsidR="00D619B4" w:rsidRPr="007D5748" w:rsidRDefault="00D619B4" w:rsidP="00D619B4">
      <w:pPr>
        <w:jc w:val="both"/>
        <w:rPr>
          <w:lang w:eastAsia="sk-SK"/>
        </w:rPr>
      </w:pPr>
      <w:r w:rsidRPr="007D5748">
        <w:rPr>
          <w:lang w:eastAsia="sk-SK"/>
        </w:rPr>
        <w:tab/>
        <w:t xml:space="preserve">Pre úplnosť sa táto časť </w:t>
      </w:r>
      <w:r>
        <w:rPr>
          <w:lang w:eastAsia="sk-SK"/>
        </w:rPr>
        <w:t>uvádza</w:t>
      </w:r>
      <w:r w:rsidRPr="007D5748">
        <w:rPr>
          <w:lang w:eastAsia="sk-SK"/>
        </w:rPr>
        <w:t xml:space="preserve"> aj </w:t>
      </w:r>
      <w:r>
        <w:rPr>
          <w:lang w:eastAsia="sk-SK"/>
        </w:rPr>
        <w:t>v</w:t>
      </w:r>
      <w:r w:rsidRPr="007D5748">
        <w:rPr>
          <w:lang w:eastAsia="sk-SK"/>
        </w:rPr>
        <w:t xml:space="preserve"> príloh</w:t>
      </w:r>
      <w:r>
        <w:rPr>
          <w:lang w:eastAsia="sk-SK"/>
        </w:rPr>
        <w:t>e</w:t>
      </w:r>
      <w:r w:rsidRPr="007D5748">
        <w:rPr>
          <w:lang w:eastAsia="sk-SK"/>
        </w:rPr>
        <w:t xml:space="preserve"> č. 2, aj keď proces pripomienkového konania si môže vyžadovať takýto popis uvádzať samostatne v niektorej z iných častí predkladaného návrhu.</w:t>
      </w:r>
      <w:r>
        <w:rPr>
          <w:lang w:eastAsia="sk-SK"/>
        </w:rPr>
        <w:t xml:space="preserve"> </w:t>
      </w:r>
    </w:p>
    <w:p w14:paraId="15F31D1F" w14:textId="77777777" w:rsidR="00D619B4" w:rsidRPr="007D5748" w:rsidRDefault="00D619B4" w:rsidP="00D619B4">
      <w:pPr>
        <w:rPr>
          <w:lang w:eastAsia="sk-SK"/>
        </w:rPr>
      </w:pPr>
    </w:p>
    <w:p w14:paraId="2AB0DC58" w14:textId="77777777" w:rsidR="00D619B4" w:rsidRPr="007D5748" w:rsidRDefault="00D619B4" w:rsidP="00D619B4">
      <w:pPr>
        <w:ind w:firstLine="708"/>
        <w:jc w:val="both"/>
        <w:rPr>
          <w:lang w:eastAsia="sk-SK"/>
        </w:rPr>
      </w:pPr>
      <w:r w:rsidRPr="007D5748">
        <w:rPr>
          <w:bCs/>
          <w:iCs/>
          <w:lang w:eastAsia="sk-SK"/>
        </w:rPr>
        <w:t>Predkladateľ</w:t>
      </w:r>
      <w:r w:rsidRPr="007D5748">
        <w:rPr>
          <w:lang w:eastAsia="sk-SK"/>
        </w:rPr>
        <w:t>: V príslušnej časti popíše predkladateľ svoj návrh. Popis by mal umožniť dotknutým subjektom identifikáciu svojich konkrétnych aktivít a ich vplyvov na vlastný rozpočet</w:t>
      </w:r>
      <w:r>
        <w:rPr>
          <w:lang w:eastAsia="sk-SK"/>
        </w:rPr>
        <w:t xml:space="preserve"> </w:t>
      </w:r>
      <w:r w:rsidRPr="00F40136">
        <w:rPr>
          <w:lang w:eastAsia="sk-SK"/>
        </w:rPr>
        <w:t>a mal by obsahovať najmä</w:t>
      </w:r>
      <w:r w:rsidRPr="007D5748">
        <w:rPr>
          <w:lang w:eastAsia="sk-SK"/>
        </w:rPr>
        <w:t>:</w:t>
      </w:r>
    </w:p>
    <w:p w14:paraId="5E01EAA4" w14:textId="77777777" w:rsidR="00D619B4" w:rsidRPr="007D5748" w:rsidRDefault="00D619B4" w:rsidP="00D619B4">
      <w:pPr>
        <w:rPr>
          <w:bCs/>
          <w:i/>
          <w:iCs/>
          <w:lang w:eastAsia="sk-SK"/>
        </w:rPr>
      </w:pPr>
    </w:p>
    <w:p w14:paraId="0A938B25" w14:textId="77777777" w:rsidR="00D619B4" w:rsidRPr="007D5748" w:rsidRDefault="00D619B4" w:rsidP="00D619B4">
      <w:pPr>
        <w:numPr>
          <w:ilvl w:val="0"/>
          <w:numId w:val="3"/>
        </w:numPr>
        <w:jc w:val="both"/>
        <w:rPr>
          <w:lang w:eastAsia="sk-SK"/>
        </w:rPr>
      </w:pPr>
      <w:r w:rsidRPr="007D5748">
        <w:rPr>
          <w:bCs/>
          <w:i/>
          <w:iCs/>
          <w:lang w:eastAsia="sk-SK"/>
        </w:rPr>
        <w:t>Akú problematiku návrh rieši?</w:t>
      </w:r>
      <w:r w:rsidRPr="007D5748">
        <w:rPr>
          <w:lang w:eastAsia="sk-SK"/>
        </w:rPr>
        <w:t xml:space="preserve"> Jasne definovať problematiku a vysvetliť, ako ju návrh rieši. Uviesť aj iné alternatívy, o ktorých sa uvažovalo a prečo boli vylúčené. </w:t>
      </w:r>
    </w:p>
    <w:p w14:paraId="594DBDB1" w14:textId="77777777" w:rsidR="00D619B4" w:rsidRPr="007D5748" w:rsidRDefault="00D619B4" w:rsidP="00D619B4">
      <w:pPr>
        <w:numPr>
          <w:ilvl w:val="0"/>
          <w:numId w:val="3"/>
        </w:numPr>
        <w:jc w:val="both"/>
        <w:rPr>
          <w:lang w:eastAsia="sk-SK"/>
        </w:rPr>
      </w:pPr>
      <w:r>
        <w:rPr>
          <w:bCs/>
          <w:i/>
          <w:iCs/>
          <w:lang w:eastAsia="sk-SK"/>
        </w:rPr>
        <w:t>Ktoré subjekty</w:t>
      </w:r>
      <w:r w:rsidRPr="007D5748">
        <w:rPr>
          <w:bCs/>
          <w:i/>
          <w:iCs/>
          <w:lang w:eastAsia="sk-SK"/>
        </w:rPr>
        <w:t xml:space="preserve"> bud</w:t>
      </w:r>
      <w:r>
        <w:rPr>
          <w:bCs/>
          <w:i/>
          <w:iCs/>
          <w:lang w:eastAsia="sk-SK"/>
        </w:rPr>
        <w:t>ú</w:t>
      </w:r>
      <w:r w:rsidRPr="007D5748">
        <w:rPr>
          <w:bCs/>
          <w:i/>
          <w:iCs/>
          <w:lang w:eastAsia="sk-SK"/>
        </w:rPr>
        <w:t xml:space="preserve"> implementovať návrh?</w:t>
      </w:r>
      <w:r w:rsidRPr="007D5748">
        <w:rPr>
          <w:lang w:eastAsia="sk-SK"/>
        </w:rPr>
        <w:t xml:space="preserve"> Popíšte jednotlivé úlohy rôznych organizácií.</w:t>
      </w:r>
    </w:p>
    <w:p w14:paraId="1673126F" w14:textId="77777777" w:rsidR="00D619B4" w:rsidRPr="007D5748" w:rsidRDefault="00D619B4" w:rsidP="00D619B4">
      <w:pPr>
        <w:numPr>
          <w:ilvl w:val="0"/>
          <w:numId w:val="3"/>
        </w:numPr>
        <w:jc w:val="both"/>
        <w:rPr>
          <w:lang w:eastAsia="sk-SK"/>
        </w:rPr>
      </w:pPr>
      <w:r>
        <w:rPr>
          <w:bCs/>
          <w:i/>
          <w:iCs/>
          <w:lang w:eastAsia="sk-SK"/>
        </w:rPr>
        <w:t>Na akej úrovni</w:t>
      </w:r>
      <w:r w:rsidRPr="007D5748">
        <w:rPr>
          <w:bCs/>
          <w:i/>
          <w:iCs/>
          <w:lang w:eastAsia="sk-SK"/>
        </w:rPr>
        <w:t xml:space="preserve"> sa budú poskytovať výkony verejnej správy?</w:t>
      </w:r>
      <w:r w:rsidRPr="007D5748">
        <w:rPr>
          <w:lang w:eastAsia="sk-SK"/>
        </w:rPr>
        <w:t xml:space="preserve"> Budú sa poskytovať celonárodne alebo regionálne? Koľko subjektov môže poskytnúť daný tovar / službu?</w:t>
      </w:r>
    </w:p>
    <w:p w14:paraId="5796EBB6" w14:textId="77777777" w:rsidR="00D619B4" w:rsidRPr="007D5748" w:rsidRDefault="00D619B4" w:rsidP="00D619B4">
      <w:pPr>
        <w:rPr>
          <w:lang w:eastAsia="sk-SK"/>
        </w:rPr>
      </w:pPr>
    </w:p>
    <w:p w14:paraId="53DD9895" w14:textId="77777777" w:rsidR="00D619B4" w:rsidRPr="007D5748" w:rsidRDefault="00D619B4" w:rsidP="00D619B4">
      <w:pPr>
        <w:rPr>
          <w:b/>
          <w:bCs/>
          <w:iCs/>
          <w:lang w:eastAsia="sk-SK"/>
        </w:rPr>
      </w:pPr>
      <w:r w:rsidRPr="007D5748">
        <w:rPr>
          <w:b/>
          <w:bCs/>
          <w:iCs/>
          <w:lang w:eastAsia="sk-SK"/>
        </w:rPr>
        <w:t>2.2.2. Charakteristika návrhu</w:t>
      </w:r>
    </w:p>
    <w:p w14:paraId="77336271" w14:textId="77777777" w:rsidR="00D619B4" w:rsidRPr="007D5748" w:rsidRDefault="00D619B4" w:rsidP="00D619B4">
      <w:pPr>
        <w:rPr>
          <w:lang w:eastAsia="sk-SK"/>
        </w:rPr>
      </w:pPr>
    </w:p>
    <w:p w14:paraId="095492D9" w14:textId="77777777" w:rsidR="00D619B4" w:rsidRPr="007D5748" w:rsidRDefault="00D619B4" w:rsidP="00D619B4">
      <w:pPr>
        <w:ind w:firstLine="708"/>
        <w:jc w:val="both"/>
        <w:rPr>
          <w:lang w:eastAsia="sk-SK"/>
        </w:rPr>
      </w:pPr>
      <w:r w:rsidRPr="007D5748">
        <w:rPr>
          <w:bCs/>
          <w:iCs/>
          <w:lang w:eastAsia="sk-SK"/>
        </w:rPr>
        <w:t>Predkladateľ</w:t>
      </w:r>
      <w:r w:rsidRPr="007D5748">
        <w:rPr>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0C9243CF" w14:textId="77777777" w:rsidR="00D619B4" w:rsidRPr="007D5748" w:rsidRDefault="00D619B4" w:rsidP="00D619B4">
      <w:pPr>
        <w:jc w:val="both"/>
        <w:rPr>
          <w:lang w:eastAsia="sk-SK"/>
        </w:rPr>
      </w:pPr>
    </w:p>
    <w:p w14:paraId="62401FC8" w14:textId="77777777" w:rsidR="00D619B4" w:rsidRPr="007D5748" w:rsidRDefault="00D619B4" w:rsidP="00D619B4">
      <w:pPr>
        <w:numPr>
          <w:ilvl w:val="0"/>
          <w:numId w:val="4"/>
        </w:numPr>
        <w:jc w:val="both"/>
        <w:outlineLvl w:val="3"/>
        <w:rPr>
          <w:bCs/>
          <w:lang w:eastAsia="sk-SK"/>
        </w:rPr>
      </w:pPr>
      <w:r w:rsidRPr="007D5748">
        <w:rPr>
          <w:b/>
          <w:i/>
          <w:iCs/>
          <w:kern w:val="20"/>
        </w:rPr>
        <w:t>zmena sadzby</w:t>
      </w:r>
      <w:r w:rsidRPr="007D5748">
        <w:rPr>
          <w:rFonts w:ascii="Verdana" w:hAnsi="Verdana" w:cs="Verdana"/>
          <w:bCs/>
          <w:kern w:val="20"/>
        </w:rPr>
        <w:t xml:space="preserve"> – </w:t>
      </w:r>
      <w:r w:rsidRPr="007D5748">
        <w:rPr>
          <w:bCs/>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511035B7" w14:textId="77777777" w:rsidR="00D619B4" w:rsidRPr="007D5748" w:rsidRDefault="00D619B4" w:rsidP="00D619B4">
      <w:pPr>
        <w:ind w:left="708"/>
        <w:jc w:val="both"/>
        <w:outlineLvl w:val="3"/>
        <w:rPr>
          <w:rFonts w:ascii="Verdana" w:hAnsi="Verdana" w:cs="Verdana"/>
          <w:bCs/>
          <w:kern w:val="20"/>
          <w:u w:val="single"/>
        </w:rPr>
      </w:pPr>
      <w:r w:rsidRPr="007D5748">
        <w:rPr>
          <w:bCs/>
          <w:lang w:eastAsia="sk-SK"/>
        </w:rPr>
        <w:t>Pri výpočte vplyvov zmeny sadzby treba brať do úvahy aj tzv. “elasticitu dopytu”, keď napr. nárast daňovej sadzby napríklad na pohonné hmoty nespôsobí lineárne zvýšenie celkových príjmov z tejto dane.</w:t>
      </w:r>
    </w:p>
    <w:p w14:paraId="75E98332" w14:textId="77777777" w:rsidR="00D619B4" w:rsidRPr="007D5748" w:rsidRDefault="00D619B4" w:rsidP="00D619B4">
      <w:pPr>
        <w:numPr>
          <w:ilvl w:val="0"/>
          <w:numId w:val="4"/>
        </w:numPr>
        <w:jc w:val="both"/>
        <w:outlineLvl w:val="3"/>
        <w:rPr>
          <w:bCs/>
          <w:lang w:eastAsia="sk-SK"/>
        </w:rPr>
      </w:pPr>
      <w:r w:rsidRPr="007D5748">
        <w:rPr>
          <w:b/>
          <w:i/>
          <w:iCs/>
          <w:kern w:val="20"/>
        </w:rPr>
        <w:t>zmena v nároku</w:t>
      </w:r>
      <w:r w:rsidRPr="007D5748">
        <w:rPr>
          <w:b/>
          <w:bCs/>
          <w:sz w:val="28"/>
          <w:szCs w:val="28"/>
          <w:lang w:eastAsia="sk-SK"/>
        </w:rPr>
        <w:t xml:space="preserve"> </w:t>
      </w:r>
      <w:r w:rsidRPr="007D5748">
        <w:rPr>
          <w:bCs/>
          <w:lang w:eastAsia="sk-SK"/>
        </w:rPr>
        <w:t>– návrh upravuje definíciu okruhu osôb, ktoré majú nárok na dávku alebo ktorých sa dotýka určité ustanovenia zákona, t.j.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1A5B0D94" w14:textId="77777777" w:rsidR="00D619B4" w:rsidRPr="007D5748" w:rsidRDefault="00D619B4" w:rsidP="00D619B4">
      <w:pPr>
        <w:numPr>
          <w:ilvl w:val="0"/>
          <w:numId w:val="4"/>
        </w:numPr>
        <w:jc w:val="both"/>
        <w:rPr>
          <w:lang w:eastAsia="sk-SK"/>
        </w:rPr>
      </w:pPr>
      <w:r w:rsidRPr="007D5748">
        <w:rPr>
          <w:b/>
          <w:bCs/>
          <w:i/>
          <w:iCs/>
          <w:lang w:eastAsia="sk-SK"/>
        </w:rPr>
        <w:t>nová služba alebo nariadenie (alebo ich zrušenie)</w:t>
      </w:r>
      <w:r w:rsidRPr="007D5748">
        <w:rPr>
          <w:lang w:eastAsia="sk-SK"/>
        </w:rPr>
        <w:t xml:space="preserve"> – návrh zavádza novú službu alebo nariadenie v oblasti, v ktorej tieto doposiaľ neexistovali, alebo sa navrhuje zníženie rozsahu alebo úplné zrušenie existujúcej služby či nariadenia.</w:t>
      </w:r>
    </w:p>
    <w:p w14:paraId="32249659" w14:textId="77777777" w:rsidR="00D619B4" w:rsidRPr="007D5748" w:rsidRDefault="00D619B4" w:rsidP="00D619B4">
      <w:pPr>
        <w:ind w:left="708"/>
        <w:jc w:val="both"/>
        <w:rPr>
          <w:lang w:eastAsia="sk-SK"/>
        </w:rPr>
      </w:pPr>
      <w:r w:rsidRPr="007D5748">
        <w:rPr>
          <w:lang w:eastAsia="sk-SK"/>
        </w:rPr>
        <w:t>Tento návrh predstavuje veľkú výzvu pri odhadovaní nákladov, nakoľko pre takéto činnosti nemusí byť k dispozícii dostatok údajov. V takom prípade bude dôležité podrobne vysvetliť predpoklady.</w:t>
      </w:r>
    </w:p>
    <w:p w14:paraId="40A894EC" w14:textId="77777777" w:rsidR="00D619B4" w:rsidRPr="007D5748" w:rsidRDefault="00D619B4" w:rsidP="00D619B4">
      <w:pPr>
        <w:numPr>
          <w:ilvl w:val="0"/>
          <w:numId w:val="4"/>
        </w:numPr>
        <w:jc w:val="both"/>
        <w:rPr>
          <w:lang w:eastAsia="sk-SK"/>
        </w:rPr>
      </w:pPr>
      <w:r w:rsidRPr="007D5748">
        <w:rPr>
          <w:b/>
          <w:bCs/>
          <w:i/>
          <w:iCs/>
          <w:lang w:eastAsia="sk-SK"/>
        </w:rPr>
        <w:t>kombinovaný návrh</w:t>
      </w:r>
      <w:r w:rsidRPr="007D5748">
        <w:rPr>
          <w:lang w:eastAsia="sk-SK"/>
        </w:rPr>
        <w:t xml:space="preserve"> – tento druh návrhu môže kombinovať prvky vyššie uvedených druhov, čím sa zvyšuje komplexnosť prípravy návrhu doložky.</w:t>
      </w:r>
    </w:p>
    <w:p w14:paraId="1E65EB3E" w14:textId="77777777" w:rsidR="00D619B4" w:rsidRPr="007D5748" w:rsidRDefault="00D619B4" w:rsidP="00D619B4">
      <w:pPr>
        <w:numPr>
          <w:ilvl w:val="0"/>
          <w:numId w:val="4"/>
        </w:numPr>
        <w:jc w:val="both"/>
        <w:rPr>
          <w:lang w:eastAsia="sk-SK"/>
        </w:rPr>
      </w:pPr>
      <w:r w:rsidRPr="007D5748">
        <w:rPr>
          <w:b/>
          <w:bCs/>
          <w:i/>
          <w:iCs/>
          <w:lang w:eastAsia="sk-SK"/>
        </w:rPr>
        <w:t>iné</w:t>
      </w:r>
      <w:r w:rsidRPr="007D5748">
        <w:rPr>
          <w:b/>
          <w:lang w:eastAsia="sk-SK"/>
        </w:rPr>
        <w:t xml:space="preserve"> </w:t>
      </w:r>
      <w:r w:rsidRPr="007D5748">
        <w:rPr>
          <w:lang w:eastAsia="sk-SK"/>
        </w:rPr>
        <w:t>– používa sa na popis ostatných typov, ktoré nie sú pokryté v </w:t>
      </w:r>
      <w:r>
        <w:rPr>
          <w:lang w:eastAsia="sk-SK"/>
        </w:rPr>
        <w:t>štyroch</w:t>
      </w:r>
      <w:r w:rsidRPr="007D5748">
        <w:rPr>
          <w:lang w:eastAsia="sk-SK"/>
        </w:rPr>
        <w:t xml:space="preserve"> druhoch uvedených vyššie.</w:t>
      </w:r>
    </w:p>
    <w:p w14:paraId="46FE6444" w14:textId="77777777" w:rsidR="00D619B4" w:rsidRPr="007D5748" w:rsidRDefault="00D619B4" w:rsidP="00D619B4">
      <w:pPr>
        <w:jc w:val="both"/>
        <w:rPr>
          <w:lang w:eastAsia="sk-SK"/>
        </w:rPr>
      </w:pPr>
    </w:p>
    <w:p w14:paraId="28596E21" w14:textId="77777777" w:rsidR="00D619B4" w:rsidRPr="007D5748" w:rsidRDefault="00D619B4" w:rsidP="00D619B4">
      <w:pPr>
        <w:rPr>
          <w:b/>
          <w:bCs/>
          <w:iCs/>
          <w:lang w:eastAsia="sk-SK"/>
        </w:rPr>
      </w:pPr>
      <w:r w:rsidRPr="007D5748">
        <w:rPr>
          <w:b/>
          <w:bCs/>
          <w:iCs/>
          <w:lang w:eastAsia="sk-SK"/>
        </w:rPr>
        <w:t>2.2.3. Predpoklady zmien v objeme aktivít</w:t>
      </w:r>
    </w:p>
    <w:p w14:paraId="09E2B146" w14:textId="77777777" w:rsidR="00D619B4" w:rsidRPr="007D5748" w:rsidRDefault="00D619B4" w:rsidP="00D619B4">
      <w:pPr>
        <w:rPr>
          <w:b/>
          <w:lang w:eastAsia="sk-SK"/>
        </w:rPr>
      </w:pPr>
    </w:p>
    <w:p w14:paraId="58B77044" w14:textId="77777777" w:rsidR="00D619B4" w:rsidRPr="007D5748" w:rsidRDefault="00D619B4" w:rsidP="00D619B4">
      <w:pPr>
        <w:ind w:firstLine="708"/>
        <w:jc w:val="both"/>
        <w:rPr>
          <w:lang w:eastAsia="sk-SK"/>
        </w:rPr>
      </w:pPr>
      <w:r w:rsidRPr="007D5748">
        <w:rPr>
          <w:bCs/>
          <w:iCs/>
          <w:lang w:eastAsia="sk-SK"/>
        </w:rPr>
        <w:t>Predkladateľ</w:t>
      </w:r>
      <w:r w:rsidRPr="007D5748">
        <w:rPr>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Pr>
          <w:lang w:eastAsia="sk-SK"/>
        </w:rPr>
        <w:t>štvor</w:t>
      </w:r>
      <w:r w:rsidRPr="007D5748">
        <w:rPr>
          <w:lang w:eastAsia="sk-SK"/>
        </w:rPr>
        <w:t>ročného obdobia. Príloha č. 2 preto obsahuje aj tabuľku č. 2 na ročné odhady objemu aktivít.</w:t>
      </w:r>
    </w:p>
    <w:p w14:paraId="105AD67E" w14:textId="77777777" w:rsidR="00D619B4" w:rsidRPr="007D5748" w:rsidRDefault="00D619B4" w:rsidP="00D619B4">
      <w:pPr>
        <w:ind w:firstLine="708"/>
        <w:jc w:val="both"/>
        <w:rPr>
          <w:lang w:eastAsia="sk-SK"/>
        </w:rPr>
      </w:pPr>
    </w:p>
    <w:p w14:paraId="07E367EF" w14:textId="77777777" w:rsidR="00D619B4" w:rsidRPr="007D5748" w:rsidRDefault="00D619B4" w:rsidP="00D619B4">
      <w:pPr>
        <w:ind w:firstLine="708"/>
        <w:jc w:val="both"/>
        <w:rPr>
          <w:lang w:eastAsia="sk-SK"/>
        </w:rPr>
      </w:pPr>
      <w:r w:rsidRPr="007D5748">
        <w:rPr>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3A16EC3B" w14:textId="77777777" w:rsidR="00D619B4" w:rsidRPr="007D5748" w:rsidRDefault="00D619B4" w:rsidP="00D619B4">
      <w:pPr>
        <w:jc w:val="both"/>
        <w:rPr>
          <w:lang w:eastAsia="sk-SK"/>
        </w:rPr>
      </w:pPr>
      <w:r w:rsidRPr="007D5748">
        <w:rPr>
          <w:lang w:eastAsia="sk-SK"/>
        </w:rPr>
        <w:t>V tomto prípade by mal byť uvedený aj odhad počtu takýchto nákupov ročne. Takáto úprava by obmedzila administratívnu záťaž subjektov verejnej správy a generovala by úspory v ich prevádzkových nákladoch.</w:t>
      </w:r>
    </w:p>
    <w:p w14:paraId="1C7153F3" w14:textId="77777777" w:rsidR="00D619B4" w:rsidRPr="007D5748" w:rsidRDefault="00D619B4" w:rsidP="00D619B4">
      <w:pPr>
        <w:jc w:val="both"/>
        <w:rPr>
          <w:rFonts w:cs="Verdana"/>
          <w:i/>
          <w:iCs/>
          <w:u w:val="single"/>
        </w:rPr>
      </w:pPr>
    </w:p>
    <w:p w14:paraId="42AE53D0" w14:textId="77777777" w:rsidR="00D619B4" w:rsidRPr="007D5748" w:rsidRDefault="00D619B4" w:rsidP="00D619B4">
      <w:pPr>
        <w:ind w:firstLine="708"/>
        <w:jc w:val="both"/>
        <w:rPr>
          <w:rFonts w:cs="Verdana"/>
        </w:rPr>
      </w:pPr>
      <w:r w:rsidRPr="007D5748">
        <w:rPr>
          <w:rFonts w:cs="Verdana"/>
          <w:bCs/>
          <w:iCs/>
        </w:rPr>
        <w:t>MF SR</w:t>
      </w:r>
      <w:r w:rsidRPr="007D5748">
        <w:rPr>
          <w:rFonts w:cs="Verdana"/>
        </w:rPr>
        <w:t xml:space="preserve">: Počas konzultačnej fázy môže zhodnotiť MF SR predpoklady uvedené predkladateľom, t.j. ich vhodnosť a konzistentnosť. </w:t>
      </w:r>
    </w:p>
    <w:p w14:paraId="34D237CB" w14:textId="77777777" w:rsidR="00D619B4" w:rsidRPr="007D5748" w:rsidRDefault="00D619B4" w:rsidP="00D619B4">
      <w:pPr>
        <w:jc w:val="both"/>
        <w:rPr>
          <w:rFonts w:cs="Verdana"/>
        </w:rPr>
      </w:pPr>
    </w:p>
    <w:p w14:paraId="7FB3296E" w14:textId="77777777" w:rsidR="00D619B4" w:rsidRPr="007D5748" w:rsidRDefault="00D619B4" w:rsidP="00D619B4">
      <w:pPr>
        <w:rPr>
          <w:rFonts w:cs="Verdana"/>
          <w:b/>
          <w:bCs/>
          <w:iCs/>
          <w:color w:val="FF0000"/>
        </w:rPr>
      </w:pPr>
      <w:r w:rsidRPr="007D5748">
        <w:rPr>
          <w:rFonts w:cs="Verdana"/>
          <w:b/>
          <w:bCs/>
          <w:iCs/>
        </w:rPr>
        <w:t>2.2.4. Výpočty vplyvov na rozpočet verejnej správy</w:t>
      </w:r>
    </w:p>
    <w:p w14:paraId="17495421" w14:textId="77777777" w:rsidR="00D619B4" w:rsidRPr="007D5748" w:rsidRDefault="00D619B4" w:rsidP="00D619B4">
      <w:pPr>
        <w:rPr>
          <w:lang w:eastAsia="sk-SK"/>
        </w:rPr>
      </w:pPr>
    </w:p>
    <w:p w14:paraId="732D3081" w14:textId="77777777" w:rsidR="00D619B4" w:rsidRPr="007D5748" w:rsidRDefault="00D619B4" w:rsidP="00D619B4">
      <w:pPr>
        <w:ind w:firstLine="708"/>
        <w:jc w:val="both"/>
        <w:rPr>
          <w:lang w:eastAsia="sk-SK"/>
        </w:rPr>
      </w:pPr>
      <w:r w:rsidRPr="007D5748">
        <w:rPr>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14:paraId="27AABFBF" w14:textId="77777777" w:rsidR="00D619B4" w:rsidRPr="007D5748" w:rsidRDefault="00D619B4" w:rsidP="00D619B4">
      <w:pPr>
        <w:jc w:val="both"/>
        <w:rPr>
          <w:lang w:eastAsia="sk-SK"/>
        </w:rPr>
      </w:pPr>
    </w:p>
    <w:p w14:paraId="5C8AD807" w14:textId="77777777" w:rsidR="00D619B4" w:rsidRPr="007D5748" w:rsidRDefault="00D619B4" w:rsidP="00D619B4">
      <w:pPr>
        <w:rPr>
          <w:rFonts w:cs="Verdana"/>
          <w:b/>
          <w:bCs/>
          <w:i/>
          <w:iCs/>
        </w:rPr>
      </w:pPr>
      <w:r w:rsidRPr="007D5748">
        <w:rPr>
          <w:rFonts w:cs="Verdana"/>
          <w:b/>
          <w:bCs/>
          <w:i/>
          <w:iCs/>
        </w:rPr>
        <w:t>Výpočet vplyvu na príjmy</w:t>
      </w:r>
    </w:p>
    <w:p w14:paraId="558E75FC" w14:textId="77777777" w:rsidR="00D619B4" w:rsidRPr="007D5748" w:rsidRDefault="00D619B4" w:rsidP="00D619B4">
      <w:pPr>
        <w:jc w:val="both"/>
        <w:rPr>
          <w:rFonts w:cs="Verdana"/>
          <w:b/>
          <w:i/>
          <w:iCs/>
        </w:rPr>
      </w:pPr>
    </w:p>
    <w:p w14:paraId="55511E89" w14:textId="77777777" w:rsidR="00D619B4" w:rsidRPr="007D5748" w:rsidRDefault="00D619B4" w:rsidP="00D619B4">
      <w:pPr>
        <w:ind w:firstLine="708"/>
        <w:jc w:val="both"/>
        <w:rPr>
          <w:lang w:eastAsia="sk-SK"/>
        </w:rPr>
      </w:pPr>
      <w:r w:rsidRPr="007D5748">
        <w:rPr>
          <w:bCs/>
          <w:iCs/>
          <w:lang w:eastAsia="sk-SK"/>
        </w:rPr>
        <w:t>Predkladateľ</w:t>
      </w:r>
      <w:r w:rsidRPr="007D5748">
        <w:rPr>
          <w:iCs/>
          <w:lang w:eastAsia="sk-SK"/>
        </w:rPr>
        <w:t xml:space="preserve">: </w:t>
      </w:r>
      <w:r w:rsidRPr="007D5748">
        <w:rPr>
          <w:lang w:eastAsia="sk-SK"/>
        </w:rPr>
        <w:t>Uvedie výpočty vplyvov na príjmy na základe predpokladaných objemov aktivít uvedených v časti 2.2.3. prílohy č. 2.</w:t>
      </w:r>
    </w:p>
    <w:p w14:paraId="240D4D61" w14:textId="77777777" w:rsidR="00D619B4" w:rsidRPr="007D5748" w:rsidRDefault="00D619B4" w:rsidP="00D619B4">
      <w:pPr>
        <w:ind w:firstLine="708"/>
        <w:jc w:val="both"/>
        <w:rPr>
          <w:bCs/>
          <w:iCs/>
          <w:lang w:eastAsia="sk-SK"/>
        </w:rPr>
      </w:pPr>
    </w:p>
    <w:p w14:paraId="2D5E5363" w14:textId="77777777" w:rsidR="00D619B4" w:rsidRPr="007D5748" w:rsidRDefault="00D619B4" w:rsidP="00D619B4">
      <w:pPr>
        <w:ind w:firstLine="708"/>
        <w:jc w:val="both"/>
        <w:rPr>
          <w:lang w:eastAsia="sk-SK"/>
        </w:rPr>
      </w:pPr>
      <w:r w:rsidRPr="007D5748">
        <w:rPr>
          <w:bCs/>
          <w:iCs/>
          <w:lang w:eastAsia="sk-SK"/>
        </w:rPr>
        <w:t>MF SR</w:t>
      </w:r>
      <w:r w:rsidRPr="007D5748">
        <w:rPr>
          <w:iCs/>
          <w:lang w:eastAsia="sk-SK"/>
        </w:rPr>
        <w:t>:</w:t>
      </w:r>
      <w:r w:rsidRPr="007D5748">
        <w:rPr>
          <w:i/>
          <w:iCs/>
          <w:lang w:eastAsia="sk-SK"/>
        </w:rPr>
        <w:t xml:space="preserve"> </w:t>
      </w:r>
      <w:r w:rsidRPr="007D5748">
        <w:rPr>
          <w:lang w:eastAsia="sk-SK"/>
        </w:rPr>
        <w:t xml:space="preserve">Skontroluje logiku týchto výpočtov a v prípade potreby požiada o ich vysvetlenie alebo úpravu. </w:t>
      </w:r>
    </w:p>
    <w:p w14:paraId="16B1CBF1" w14:textId="77777777" w:rsidR="00D619B4" w:rsidRPr="007D5748" w:rsidRDefault="00D619B4" w:rsidP="00D619B4">
      <w:pPr>
        <w:ind w:firstLine="708"/>
        <w:jc w:val="both"/>
        <w:rPr>
          <w:color w:val="FF00FF"/>
          <w:lang w:eastAsia="sk-SK"/>
        </w:rPr>
      </w:pPr>
      <w:r w:rsidRPr="007D5748">
        <w:rPr>
          <w:lang w:eastAsia="sk-SK"/>
        </w:rPr>
        <w:t xml:space="preserve">Výpočty príjmov sú spravidla kombináciou “základu” a “sadzby”. </w:t>
      </w:r>
    </w:p>
    <w:p w14:paraId="3DE9A143" w14:textId="77777777" w:rsidR="00D619B4" w:rsidRPr="007D5748" w:rsidRDefault="00D619B4" w:rsidP="00D619B4">
      <w:pPr>
        <w:jc w:val="both"/>
        <w:rPr>
          <w:rFonts w:cs="Verdana"/>
          <w:b/>
          <w:bCs/>
          <w:i/>
          <w:iCs/>
        </w:rPr>
      </w:pPr>
    </w:p>
    <w:p w14:paraId="46DC5078" w14:textId="77777777" w:rsidR="00D619B4" w:rsidRPr="007D5748" w:rsidRDefault="00D619B4" w:rsidP="00D619B4">
      <w:pPr>
        <w:jc w:val="both"/>
        <w:rPr>
          <w:rFonts w:cs="Verdana"/>
          <w:b/>
          <w:bCs/>
          <w:i/>
          <w:iCs/>
        </w:rPr>
      </w:pPr>
      <w:r w:rsidRPr="007D5748">
        <w:rPr>
          <w:rFonts w:cs="Verdana"/>
          <w:b/>
          <w:bCs/>
          <w:i/>
          <w:iCs/>
        </w:rPr>
        <w:t>Výpočet nákladov</w:t>
      </w:r>
    </w:p>
    <w:p w14:paraId="0D07F03A" w14:textId="77777777" w:rsidR="00D619B4" w:rsidRPr="007D5748" w:rsidRDefault="00D619B4" w:rsidP="00D619B4">
      <w:pPr>
        <w:jc w:val="both"/>
        <w:rPr>
          <w:rFonts w:cs="Verdana"/>
          <w:i/>
          <w:iCs/>
        </w:rPr>
      </w:pPr>
    </w:p>
    <w:p w14:paraId="04979261" w14:textId="77777777" w:rsidR="00D619B4" w:rsidRPr="007D5748" w:rsidRDefault="00D619B4" w:rsidP="00D619B4">
      <w:pPr>
        <w:ind w:firstLine="708"/>
        <w:jc w:val="both"/>
        <w:rPr>
          <w:lang w:eastAsia="sk-SK"/>
        </w:rPr>
      </w:pPr>
      <w:r w:rsidRPr="007D5748">
        <w:rPr>
          <w:bCs/>
          <w:iCs/>
          <w:lang w:eastAsia="sk-SK"/>
        </w:rPr>
        <w:t>Predkladateľ</w:t>
      </w:r>
      <w:r w:rsidRPr="007D5748">
        <w:rPr>
          <w:iCs/>
          <w:lang w:eastAsia="sk-SK"/>
        </w:rPr>
        <w:t>:</w:t>
      </w:r>
      <w:r w:rsidRPr="007D5748">
        <w:rPr>
          <w:i/>
          <w:iCs/>
          <w:lang w:eastAsia="sk-SK"/>
        </w:rPr>
        <w:t xml:space="preserve"> </w:t>
      </w:r>
      <w:r w:rsidRPr="007D5748">
        <w:rPr>
          <w:lang w:eastAsia="sk-SK"/>
        </w:rPr>
        <w:t>Uvedie požadované vstupy a výpočty požadovaných výdavkov na základe odhadovaného objemu aktivít v časti 2.2.3. prílohy č. 2.</w:t>
      </w:r>
    </w:p>
    <w:p w14:paraId="45D73448" w14:textId="77777777" w:rsidR="00D619B4" w:rsidRPr="007D5748" w:rsidRDefault="00D619B4" w:rsidP="00D619B4">
      <w:pPr>
        <w:ind w:firstLine="708"/>
        <w:jc w:val="both"/>
        <w:rPr>
          <w:bCs/>
          <w:iCs/>
          <w:lang w:eastAsia="sk-SK"/>
        </w:rPr>
      </w:pPr>
    </w:p>
    <w:p w14:paraId="6BFD8BF7" w14:textId="77777777" w:rsidR="00D619B4" w:rsidRPr="007D5748" w:rsidRDefault="00D619B4" w:rsidP="00D619B4">
      <w:pPr>
        <w:ind w:firstLine="708"/>
        <w:jc w:val="both"/>
        <w:rPr>
          <w:lang w:eastAsia="sk-SK"/>
        </w:rPr>
      </w:pPr>
      <w:r w:rsidRPr="007D5748">
        <w:rPr>
          <w:bCs/>
          <w:iCs/>
          <w:lang w:eastAsia="sk-SK"/>
        </w:rPr>
        <w:t>MF SR:</w:t>
      </w:r>
      <w:r w:rsidRPr="007D5748">
        <w:rPr>
          <w:i/>
          <w:iCs/>
          <w:lang w:eastAsia="sk-SK"/>
        </w:rPr>
        <w:t xml:space="preserve"> </w:t>
      </w:r>
      <w:r w:rsidRPr="007D5748">
        <w:rPr>
          <w:lang w:eastAsia="sk-SK"/>
        </w:rPr>
        <w:t>Skontroluje logiku týchto výpočtov a v prípade potreby požiada o ich vysvetlenie alebo úpravu.</w:t>
      </w:r>
    </w:p>
    <w:p w14:paraId="78EF6C73" w14:textId="77777777" w:rsidR="00D619B4" w:rsidRPr="007D5748" w:rsidRDefault="00D619B4" w:rsidP="00D619B4">
      <w:pPr>
        <w:jc w:val="both"/>
        <w:rPr>
          <w:lang w:eastAsia="sk-SK"/>
        </w:rPr>
      </w:pPr>
    </w:p>
    <w:p w14:paraId="1420835F" w14:textId="77777777" w:rsidR="00D619B4" w:rsidRPr="007D5748" w:rsidRDefault="00D619B4" w:rsidP="00D619B4">
      <w:pPr>
        <w:pBdr>
          <w:top w:val="single" w:sz="4" w:space="1" w:color="auto"/>
          <w:left w:val="single" w:sz="4" w:space="4" w:color="auto"/>
          <w:bottom w:val="single" w:sz="4" w:space="1" w:color="auto"/>
          <w:right w:val="single" w:sz="4" w:space="4" w:color="auto"/>
        </w:pBdr>
        <w:jc w:val="both"/>
        <w:rPr>
          <w:bCs/>
          <w:lang w:eastAsia="sk-SK"/>
        </w:rPr>
      </w:pPr>
      <w:r w:rsidRPr="007D5748">
        <w:rPr>
          <w:bCs/>
          <w:lang w:eastAsia="sk-SK"/>
        </w:rPr>
        <w:t>Logický reťazec stanov</w:t>
      </w:r>
      <w:r>
        <w:rPr>
          <w:bCs/>
          <w:lang w:eastAsia="sk-SK"/>
        </w:rPr>
        <w:t>enia</w:t>
      </w:r>
      <w:r w:rsidRPr="007D5748">
        <w:rPr>
          <w:bCs/>
          <w:lang w:eastAsia="sk-SK"/>
        </w:rPr>
        <w:t xml:space="preserve"> nákladov:</w:t>
      </w:r>
    </w:p>
    <w:p w14:paraId="3E5C9646" w14:textId="77777777" w:rsidR="00D619B4" w:rsidRPr="007D5748" w:rsidRDefault="00D619B4" w:rsidP="00D619B4">
      <w:pPr>
        <w:pBdr>
          <w:top w:val="single" w:sz="4" w:space="1" w:color="auto"/>
          <w:left w:val="single" w:sz="4" w:space="4" w:color="auto"/>
          <w:bottom w:val="single" w:sz="4" w:space="1" w:color="auto"/>
          <w:right w:val="single" w:sz="4" w:space="4" w:color="auto"/>
        </w:pBdr>
        <w:tabs>
          <w:tab w:val="center" w:pos="3150"/>
          <w:tab w:val="center" w:pos="5850"/>
          <w:tab w:val="center" w:pos="7830"/>
        </w:tabs>
        <w:jc w:val="both"/>
        <w:rPr>
          <w:lang w:eastAsia="sk-SK"/>
        </w:rPr>
      </w:pPr>
      <w:r w:rsidRPr="007D5748">
        <w:rPr>
          <w:lang w:eastAsia="sk-SK"/>
        </w:rPr>
        <w:tab/>
        <w:t xml:space="preserve">             </w:t>
      </w:r>
    </w:p>
    <w:p w14:paraId="00FDCF34" w14:textId="77777777" w:rsidR="00D619B4" w:rsidRPr="007D5748" w:rsidRDefault="00D619B4" w:rsidP="00D619B4">
      <w:pPr>
        <w:pBdr>
          <w:top w:val="single" w:sz="4" w:space="1" w:color="auto"/>
          <w:left w:val="single" w:sz="4" w:space="4" w:color="auto"/>
          <w:bottom w:val="single" w:sz="4" w:space="1" w:color="auto"/>
          <w:right w:val="single" w:sz="4" w:space="4" w:color="auto"/>
        </w:pBdr>
        <w:tabs>
          <w:tab w:val="center" w:pos="0"/>
        </w:tabs>
        <w:jc w:val="both"/>
        <w:rPr>
          <w:lang w:eastAsia="sk-SK"/>
        </w:rPr>
      </w:pPr>
      <w:r w:rsidRPr="007D5748">
        <w:rPr>
          <w:lang w:eastAsia="sk-SK"/>
        </w:rPr>
        <w:t>NÁVRH   →   ZMENA OBJEMU AKTIVÍT   →   POŽADOVANÉ VSTUPY   →   NÁKLADY</w:t>
      </w:r>
    </w:p>
    <w:p w14:paraId="2402B437" w14:textId="77777777" w:rsidR="00D619B4" w:rsidRPr="007D5748" w:rsidRDefault="00D619B4" w:rsidP="00D619B4">
      <w:pPr>
        <w:jc w:val="both"/>
        <w:rPr>
          <w:lang w:eastAsia="sk-SK"/>
        </w:rPr>
      </w:pPr>
    </w:p>
    <w:p w14:paraId="16C86FE9" w14:textId="77777777" w:rsidR="00D619B4" w:rsidRPr="007D5748" w:rsidRDefault="00D619B4" w:rsidP="00D619B4">
      <w:pPr>
        <w:ind w:firstLine="708"/>
        <w:jc w:val="both"/>
        <w:rPr>
          <w:lang w:eastAsia="sk-SK"/>
        </w:rPr>
      </w:pPr>
      <w:r w:rsidRPr="007D5748">
        <w:rPr>
          <w:lang w:eastAsia="sk-SK"/>
        </w:rPr>
        <w:t xml:space="preserve">V tejto fáze je nevyhnutné najprv stanoviť vstupy, ktoré si vyžiadajú zmeny v objeme aktivít, ako je to uvedené v časti 2.2.3. prílohy č. 2 a následne vypočítať náklady na tieto vstupy. </w:t>
      </w:r>
    </w:p>
    <w:p w14:paraId="2279F907" w14:textId="77777777" w:rsidR="00D619B4" w:rsidRPr="007D5748" w:rsidRDefault="00D619B4" w:rsidP="00D619B4">
      <w:pPr>
        <w:jc w:val="both"/>
        <w:rPr>
          <w:i/>
          <w:iCs/>
          <w:lang w:eastAsia="sk-SK"/>
        </w:rPr>
      </w:pPr>
    </w:p>
    <w:p w14:paraId="3C53464A" w14:textId="77777777" w:rsidR="00D619B4" w:rsidRPr="007D5748" w:rsidRDefault="00D619B4" w:rsidP="00D619B4">
      <w:pPr>
        <w:jc w:val="both"/>
        <w:rPr>
          <w:lang w:eastAsia="sk-SK"/>
        </w:rPr>
      </w:pPr>
      <w:r w:rsidRPr="007D5748">
        <w:rPr>
          <w:i/>
          <w:iCs/>
          <w:lang w:eastAsia="sk-SK"/>
        </w:rPr>
        <w:t xml:space="preserve">Stanovenie požadovaných vstupov </w:t>
      </w:r>
      <w:r w:rsidRPr="007D5748">
        <w:rPr>
          <w:lang w:eastAsia="sk-SK"/>
        </w:rPr>
        <w:t>–  bežné druhy vstupov sú:</w:t>
      </w:r>
    </w:p>
    <w:p w14:paraId="61BC64AD" w14:textId="77777777" w:rsidR="00D619B4" w:rsidRPr="007D5748" w:rsidRDefault="00D619B4" w:rsidP="00D619B4">
      <w:pPr>
        <w:jc w:val="both"/>
        <w:rPr>
          <w:u w:val="single"/>
        </w:rPr>
      </w:pPr>
    </w:p>
    <w:p w14:paraId="136F36A3" w14:textId="77777777" w:rsidR="00D619B4" w:rsidRPr="007D5748" w:rsidRDefault="00D619B4" w:rsidP="00D619B4">
      <w:pPr>
        <w:numPr>
          <w:ilvl w:val="0"/>
          <w:numId w:val="4"/>
        </w:numPr>
        <w:jc w:val="both"/>
      </w:pPr>
      <w:r w:rsidRPr="007D5748">
        <w:rPr>
          <w:bCs/>
          <w:i/>
          <w:iCs/>
        </w:rPr>
        <w:t>zamestnanci</w:t>
      </w:r>
      <w:r w:rsidRPr="007D5748">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14:paraId="2C8FD35F" w14:textId="77777777" w:rsidR="00D619B4" w:rsidRPr="007D5748" w:rsidRDefault="00D619B4" w:rsidP="00D619B4">
      <w:pPr>
        <w:numPr>
          <w:ilvl w:val="0"/>
          <w:numId w:val="4"/>
        </w:numPr>
        <w:jc w:val="both"/>
      </w:pPr>
      <w:r w:rsidRPr="007D5748">
        <w:rPr>
          <w:bCs/>
          <w:i/>
          <w:iCs/>
        </w:rPr>
        <w:t>vybavenie</w:t>
      </w:r>
      <w:r w:rsidRPr="007D5748">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24ACBA48" w14:textId="77777777" w:rsidR="00D619B4" w:rsidRPr="007D5748" w:rsidRDefault="00D619B4" w:rsidP="00D619B4">
      <w:pPr>
        <w:numPr>
          <w:ilvl w:val="0"/>
          <w:numId w:val="4"/>
        </w:numPr>
        <w:jc w:val="both"/>
      </w:pPr>
      <w:r w:rsidRPr="007D5748">
        <w:rPr>
          <w:bCs/>
          <w:i/>
          <w:iCs/>
        </w:rPr>
        <w:t>iné prevádzkové náklady</w:t>
      </w:r>
      <w:r w:rsidRPr="007D5748">
        <w:t xml:space="preserve"> – vrátane nákladov na elektrickú energiu, vykurovanie, telekomunikácie, prenájom priestorov, pohonných hmôt, tlačenia materiálov a pod.</w:t>
      </w:r>
    </w:p>
    <w:p w14:paraId="11731CAC" w14:textId="77777777" w:rsidR="00D619B4" w:rsidRPr="007D5748" w:rsidRDefault="00D619B4" w:rsidP="00D619B4">
      <w:pPr>
        <w:numPr>
          <w:ilvl w:val="0"/>
          <w:numId w:val="4"/>
        </w:numPr>
        <w:jc w:val="both"/>
      </w:pPr>
      <w:r w:rsidRPr="007D5748">
        <w:rPr>
          <w:bCs/>
          <w:i/>
          <w:iCs/>
        </w:rPr>
        <w:t>dopravné náklady</w:t>
      </w:r>
      <w:r w:rsidRPr="007D5748">
        <w:t xml:space="preserve"> – vozidlá pre zamestnancov, výdavky na služobné cesty, autobusy pre klientov, domáca a medzinárodná preprava.</w:t>
      </w:r>
    </w:p>
    <w:p w14:paraId="081FB506" w14:textId="77777777" w:rsidR="00D619B4" w:rsidRPr="007D5748" w:rsidRDefault="00D619B4" w:rsidP="00D619B4">
      <w:pPr>
        <w:numPr>
          <w:ilvl w:val="0"/>
          <w:numId w:val="4"/>
        </w:numPr>
        <w:jc w:val="both"/>
      </w:pPr>
      <w:r w:rsidRPr="007D5748">
        <w:rPr>
          <w:bCs/>
          <w:i/>
          <w:iCs/>
        </w:rPr>
        <w:t>kapitálové investície</w:t>
      </w:r>
      <w:r w:rsidRPr="007D5748">
        <w:t xml:space="preserve"> – nové budovy, dátové alebo komunikačné systémy a pod.</w:t>
      </w:r>
    </w:p>
    <w:p w14:paraId="4370660B" w14:textId="77777777" w:rsidR="00D619B4" w:rsidRPr="007D5748" w:rsidRDefault="00D619B4" w:rsidP="00D619B4">
      <w:pPr>
        <w:jc w:val="both"/>
        <w:rPr>
          <w:rFonts w:cs="Verdana"/>
          <w:b/>
          <w:bCs/>
        </w:rPr>
      </w:pPr>
    </w:p>
    <w:p w14:paraId="4A079D0C" w14:textId="77777777" w:rsidR="00D619B4" w:rsidRPr="007D5748" w:rsidRDefault="00D619B4" w:rsidP="00D619B4">
      <w:pPr>
        <w:jc w:val="both"/>
        <w:rPr>
          <w:rFonts w:cs="Verdana"/>
          <w:b/>
          <w:bCs/>
          <w:sz w:val="28"/>
          <w:u w:val="single"/>
        </w:rPr>
      </w:pPr>
      <w:r w:rsidRPr="007D5748">
        <w:rPr>
          <w:rFonts w:cs="Verdana"/>
          <w:b/>
          <w:bCs/>
          <w:sz w:val="28"/>
          <w:u w:val="single"/>
        </w:rPr>
        <w:t xml:space="preserve">2.3. Vyplnenie tabuliek č. 3 až 5 prílohy č. 2 </w:t>
      </w:r>
    </w:p>
    <w:p w14:paraId="2120A22A" w14:textId="77777777" w:rsidR="00D619B4" w:rsidRPr="007D5748" w:rsidRDefault="00D619B4" w:rsidP="00D619B4">
      <w:pPr>
        <w:jc w:val="both"/>
        <w:rPr>
          <w:rFonts w:cs="Verdana"/>
        </w:rPr>
      </w:pPr>
    </w:p>
    <w:p w14:paraId="7BF9DFB3" w14:textId="77777777" w:rsidR="00D619B4" w:rsidRPr="007D5748" w:rsidRDefault="00D619B4" w:rsidP="00D619B4">
      <w:pPr>
        <w:jc w:val="both"/>
        <w:rPr>
          <w:rFonts w:cs="Verdana"/>
        </w:rPr>
      </w:pPr>
      <w:r w:rsidRPr="007D5748">
        <w:rPr>
          <w:rFonts w:cs="Verdana"/>
        </w:rPr>
        <w:tab/>
        <w:t xml:space="preserve">Neoddeliteľnou súčasťou prílohy č. 2 sú tabuľky č. 3 až č. 5 prílohy pre výpočet vplyvu na príjmy, výdavky a zamestnanosť. </w:t>
      </w:r>
    </w:p>
    <w:p w14:paraId="3C07C9F1" w14:textId="77777777" w:rsidR="00D619B4" w:rsidRPr="007D5748" w:rsidRDefault="00D619B4" w:rsidP="00D619B4">
      <w:pPr>
        <w:jc w:val="both"/>
        <w:rPr>
          <w:rFonts w:cs="Verdana"/>
        </w:rPr>
      </w:pPr>
    </w:p>
    <w:p w14:paraId="11DAFC65" w14:textId="77777777" w:rsidR="00D619B4" w:rsidRPr="007D5748" w:rsidRDefault="00D619B4" w:rsidP="00D619B4">
      <w:pPr>
        <w:numPr>
          <w:ilvl w:val="0"/>
          <w:numId w:val="5"/>
        </w:numPr>
        <w:jc w:val="both"/>
        <w:rPr>
          <w:rFonts w:cs="Verdana"/>
        </w:rPr>
      </w:pPr>
      <w:r w:rsidRPr="007D5748">
        <w:rPr>
          <w:rFonts w:cs="Verdana"/>
        </w:rPr>
        <w:t xml:space="preserve">pre návrhy </w:t>
      </w:r>
      <w:r w:rsidRPr="007D5748">
        <w:rPr>
          <w:rFonts w:cs="Verdana"/>
          <w:bCs/>
          <w:i/>
          <w:iCs/>
        </w:rPr>
        <w:t>bez vplyvov na rozpočet verejnej správy</w:t>
      </w:r>
      <w:r w:rsidRPr="007D5748">
        <w:rPr>
          <w:rFonts w:cs="Verdana"/>
          <w:i/>
          <w:iCs/>
        </w:rPr>
        <w:t xml:space="preserve"> </w:t>
      </w:r>
      <w:r w:rsidRPr="007D5748">
        <w:rPr>
          <w:rFonts w:cs="Verdana"/>
        </w:rPr>
        <w:t>sa tabuľky č. 3 až č. 5 nemusia osobitne vypĺňať, v prílohe č. 1 v</w:t>
      </w:r>
      <w:r>
        <w:rPr>
          <w:rFonts w:cs="Verdana"/>
        </w:rPr>
        <w:t xml:space="preserve"> bode 10 </w:t>
      </w:r>
      <w:r w:rsidRPr="007D5748">
        <w:rPr>
          <w:rFonts w:cs="Verdana"/>
        </w:rPr>
        <w:t>časti A stačí uviesť, že návrh nemá vplyv na rozpočet verejnej správy.</w:t>
      </w:r>
    </w:p>
    <w:p w14:paraId="19115A01" w14:textId="77777777" w:rsidR="00D619B4" w:rsidRPr="007D5748" w:rsidRDefault="00D619B4" w:rsidP="00D619B4">
      <w:pPr>
        <w:ind w:firstLine="708"/>
        <w:jc w:val="both"/>
        <w:rPr>
          <w:lang w:eastAsia="sk-SK"/>
        </w:rPr>
      </w:pPr>
    </w:p>
    <w:p w14:paraId="49B68B64" w14:textId="77777777" w:rsidR="00D619B4" w:rsidRPr="007D5748" w:rsidRDefault="00D619B4" w:rsidP="00D619B4">
      <w:pPr>
        <w:ind w:firstLine="708"/>
        <w:jc w:val="both"/>
        <w:rPr>
          <w:lang w:eastAsia="sk-SK"/>
        </w:rPr>
      </w:pPr>
      <w:r w:rsidRPr="007D5748">
        <w:rPr>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7B0E498D" w14:textId="77777777" w:rsidR="00D619B4" w:rsidRPr="007D5748" w:rsidRDefault="00D619B4" w:rsidP="00D619B4">
      <w:pPr>
        <w:jc w:val="both"/>
        <w:rPr>
          <w:rFonts w:cs="Verdana"/>
        </w:rPr>
      </w:pPr>
    </w:p>
    <w:p w14:paraId="6E289856" w14:textId="77777777" w:rsidR="00D619B4" w:rsidRPr="007D5748" w:rsidRDefault="00D619B4" w:rsidP="00D619B4">
      <w:pPr>
        <w:jc w:val="both"/>
        <w:rPr>
          <w:rFonts w:cs="Verdana"/>
          <w:b/>
          <w:bCs/>
          <w:iCs/>
        </w:rPr>
      </w:pPr>
      <w:r w:rsidRPr="007D5748">
        <w:rPr>
          <w:rFonts w:cs="Verdana"/>
          <w:b/>
          <w:bCs/>
          <w:iCs/>
        </w:rPr>
        <w:t>2.3.1. Tabuľka č. 3: tabuľka vplyvov na príjmy</w:t>
      </w:r>
    </w:p>
    <w:p w14:paraId="26690DA9" w14:textId="77777777" w:rsidR="00D619B4" w:rsidRPr="007D5748" w:rsidRDefault="00D619B4" w:rsidP="00D619B4">
      <w:pPr>
        <w:jc w:val="both"/>
        <w:rPr>
          <w:b/>
          <w:u w:val="single"/>
          <w:lang w:eastAsia="sk-SK"/>
        </w:rPr>
      </w:pPr>
    </w:p>
    <w:p w14:paraId="273DCDF5" w14:textId="77777777" w:rsidR="00D619B4" w:rsidRPr="007D5748" w:rsidRDefault="00D619B4" w:rsidP="00D619B4">
      <w:pPr>
        <w:ind w:firstLine="708"/>
        <w:jc w:val="both"/>
        <w:rPr>
          <w:lang w:eastAsia="sk-SK"/>
        </w:rPr>
      </w:pPr>
      <w:r w:rsidRPr="007D5748">
        <w:rPr>
          <w:bCs/>
          <w:iCs/>
          <w:lang w:eastAsia="sk-SK"/>
        </w:rPr>
        <w:t xml:space="preserve">Predkladateľ: </w:t>
      </w:r>
      <w:r w:rsidRPr="007D5748">
        <w:rPr>
          <w:lang w:eastAsia="sk-SK"/>
        </w:rPr>
        <w:t xml:space="preserve">Výška odhadovaného vplyvu na príjmy za jednotlivé subjekty verejnej správy, na ktoré má návrh vplyv, sa uvedie do súhrnnej tabuľky v časti 2.1 prílohy č. 2. </w:t>
      </w:r>
    </w:p>
    <w:p w14:paraId="09130760" w14:textId="77777777" w:rsidR="00D619B4" w:rsidRPr="007D5748" w:rsidRDefault="00D619B4" w:rsidP="00D619B4">
      <w:pPr>
        <w:ind w:firstLine="708"/>
        <w:jc w:val="both"/>
        <w:rPr>
          <w:lang w:eastAsia="sk-SK"/>
        </w:rPr>
      </w:pPr>
    </w:p>
    <w:p w14:paraId="3A0E9969" w14:textId="77777777" w:rsidR="00D619B4" w:rsidRPr="007D5748" w:rsidRDefault="00D619B4" w:rsidP="00D619B4">
      <w:pPr>
        <w:ind w:firstLine="708"/>
        <w:jc w:val="both"/>
        <w:rPr>
          <w:lang w:eastAsia="sk-SK"/>
        </w:rPr>
      </w:pPr>
      <w:r w:rsidRPr="007D5748">
        <w:rPr>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5D201913" w14:textId="77777777" w:rsidR="00D619B4" w:rsidRPr="007D5748" w:rsidRDefault="00D619B4" w:rsidP="00D619B4">
      <w:pPr>
        <w:ind w:firstLine="708"/>
        <w:jc w:val="both"/>
        <w:rPr>
          <w:bCs/>
          <w:iCs/>
          <w:szCs w:val="20"/>
          <w:lang w:eastAsia="sk-SK"/>
        </w:rPr>
      </w:pPr>
    </w:p>
    <w:p w14:paraId="336ED621" w14:textId="77777777" w:rsidR="00D619B4" w:rsidRPr="007D5748" w:rsidRDefault="00D619B4" w:rsidP="00D619B4">
      <w:pPr>
        <w:ind w:firstLine="708"/>
        <w:jc w:val="both"/>
        <w:rPr>
          <w:lang w:eastAsia="sk-SK"/>
        </w:rPr>
      </w:pPr>
      <w:r w:rsidRPr="007D5748">
        <w:rPr>
          <w:bCs/>
          <w:iCs/>
          <w:szCs w:val="20"/>
          <w:lang w:eastAsia="sk-SK"/>
        </w:rPr>
        <w:t>MF SR</w:t>
      </w:r>
      <w:r w:rsidRPr="007D5748">
        <w:rPr>
          <w:iCs/>
          <w:szCs w:val="20"/>
          <w:lang w:eastAsia="sk-SK"/>
        </w:rPr>
        <w:t>:</w:t>
      </w:r>
      <w:r w:rsidRPr="007D5748">
        <w:rPr>
          <w:i/>
          <w:iCs/>
          <w:szCs w:val="20"/>
          <w:lang w:eastAsia="sk-SK"/>
        </w:rPr>
        <w:t xml:space="preserve"> </w:t>
      </w:r>
      <w:r w:rsidRPr="007D5748">
        <w:rPr>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3E197CDD" w14:textId="77777777" w:rsidR="00D619B4" w:rsidRPr="007D5748" w:rsidRDefault="00D619B4" w:rsidP="00D619B4">
      <w:pPr>
        <w:jc w:val="both"/>
        <w:rPr>
          <w:rFonts w:cs="Verdana"/>
          <w:b/>
          <w:bCs/>
          <w:iCs/>
        </w:rPr>
      </w:pPr>
    </w:p>
    <w:p w14:paraId="72D8120F" w14:textId="77777777" w:rsidR="00D619B4" w:rsidRPr="007D5748" w:rsidRDefault="00D619B4" w:rsidP="00D619B4">
      <w:pPr>
        <w:jc w:val="both"/>
        <w:rPr>
          <w:rFonts w:cs="Verdana"/>
          <w:b/>
          <w:bCs/>
          <w:iCs/>
        </w:rPr>
      </w:pPr>
      <w:r w:rsidRPr="007D5748">
        <w:rPr>
          <w:rFonts w:cs="Verdana"/>
          <w:b/>
          <w:bCs/>
          <w:iCs/>
        </w:rPr>
        <w:t>2.3.2. Tabuľka č. 4: tabuľka vplyvov na výdavky</w:t>
      </w:r>
    </w:p>
    <w:p w14:paraId="6639B93D" w14:textId="77777777" w:rsidR="00D619B4" w:rsidRPr="007D5748" w:rsidRDefault="00D619B4" w:rsidP="00D619B4">
      <w:pPr>
        <w:jc w:val="both"/>
        <w:rPr>
          <w:rFonts w:cs="Verdana"/>
          <w:i/>
          <w:iCs/>
        </w:rPr>
      </w:pPr>
    </w:p>
    <w:p w14:paraId="4F8459A9" w14:textId="77777777" w:rsidR="00D619B4" w:rsidRPr="007D5748" w:rsidRDefault="00D619B4" w:rsidP="00D619B4">
      <w:pPr>
        <w:ind w:firstLine="708"/>
        <w:jc w:val="both"/>
        <w:rPr>
          <w:lang w:eastAsia="sk-SK"/>
        </w:rPr>
      </w:pPr>
      <w:r w:rsidRPr="007D5748">
        <w:rPr>
          <w:bCs/>
          <w:iCs/>
          <w:lang w:eastAsia="sk-SK"/>
        </w:rPr>
        <w:t>Predkladateľ :</w:t>
      </w:r>
      <w:r w:rsidRPr="007D5748">
        <w:rPr>
          <w:lang w:eastAsia="sk-SK"/>
        </w:rPr>
        <w:t xml:space="preserve">Výška odhadovaného vplyvu na výdavky za jednotlivé subjekty verejnej správy / programy, na ktoré má návrh vplyv, sa uvedie do súhrnnej tabuľky v časti 2.1 prílohy č. 2 na základe podrobnejších údajov z tabuliek č. 3 až č. 5. Na základe podkladov a konzultácií spracuje predkladateľ súhrnnú tabuľku za celý návrh. Tabuľka výdavkov by mala vyjadrovať celkový vplyv na výdavky podľa podrobnej klasifikácie výdavkov na základe vstupov od  dotknutých strán. </w:t>
      </w:r>
    </w:p>
    <w:p w14:paraId="237095F1" w14:textId="77777777" w:rsidR="00D619B4" w:rsidRPr="007D5748" w:rsidRDefault="00D619B4" w:rsidP="00D619B4">
      <w:pPr>
        <w:jc w:val="both"/>
        <w:rPr>
          <w:lang w:eastAsia="sk-SK"/>
        </w:rPr>
      </w:pPr>
    </w:p>
    <w:p w14:paraId="31350775" w14:textId="77777777" w:rsidR="00D619B4" w:rsidRDefault="00D619B4" w:rsidP="00D619B4">
      <w:pPr>
        <w:ind w:firstLine="708"/>
        <w:jc w:val="both"/>
        <w:rPr>
          <w:lang w:eastAsia="sk-SK"/>
        </w:rPr>
      </w:pPr>
      <w:r w:rsidRPr="007D5748">
        <w:rPr>
          <w:bCs/>
          <w:iCs/>
          <w:lang w:eastAsia="sk-SK"/>
        </w:rPr>
        <w:t>MF SR</w:t>
      </w:r>
      <w:r w:rsidRPr="007D5748">
        <w:rPr>
          <w:iCs/>
          <w:lang w:eastAsia="sk-SK"/>
        </w:rPr>
        <w:t>:</w:t>
      </w:r>
      <w:r w:rsidRPr="007D5748">
        <w:rPr>
          <w:i/>
          <w:iCs/>
          <w:lang w:eastAsia="sk-SK"/>
        </w:rPr>
        <w:t xml:space="preserve"> </w:t>
      </w:r>
      <w:r w:rsidRPr="007D5748">
        <w:rPr>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14:paraId="5A6BE33A" w14:textId="77777777" w:rsidR="00D619B4" w:rsidRPr="007D5748" w:rsidRDefault="00D619B4" w:rsidP="00D619B4">
      <w:pPr>
        <w:ind w:firstLine="708"/>
        <w:jc w:val="both"/>
        <w:rPr>
          <w:lang w:eastAsia="sk-SK"/>
        </w:rPr>
      </w:pPr>
    </w:p>
    <w:p w14:paraId="77F90C19" w14:textId="77777777" w:rsidR="00D619B4" w:rsidRPr="007D5748" w:rsidRDefault="00D619B4" w:rsidP="00D619B4">
      <w:pPr>
        <w:jc w:val="both"/>
        <w:rPr>
          <w:rFonts w:cs="Verdana"/>
          <w:b/>
          <w:bCs/>
          <w:iCs/>
        </w:rPr>
      </w:pPr>
      <w:r w:rsidRPr="007D5748">
        <w:rPr>
          <w:rFonts w:cs="Verdana"/>
          <w:b/>
          <w:bCs/>
          <w:iCs/>
        </w:rPr>
        <w:t>2.3.3. Tabuľka č. 5: tabuľka vplyvov na zamestnanosť</w:t>
      </w:r>
    </w:p>
    <w:p w14:paraId="285207BB" w14:textId="77777777" w:rsidR="00D619B4" w:rsidRPr="007D5748" w:rsidRDefault="00D619B4" w:rsidP="00D619B4">
      <w:pPr>
        <w:jc w:val="both"/>
        <w:rPr>
          <w:rFonts w:cs="Verdana"/>
        </w:rPr>
      </w:pPr>
    </w:p>
    <w:p w14:paraId="6DFF5318" w14:textId="77777777" w:rsidR="00D619B4" w:rsidRPr="007D5748" w:rsidRDefault="00D619B4" w:rsidP="00D619B4">
      <w:pPr>
        <w:ind w:firstLine="708"/>
        <w:jc w:val="both"/>
        <w:rPr>
          <w:lang w:eastAsia="sk-SK"/>
        </w:rPr>
      </w:pPr>
      <w:r w:rsidRPr="007D5748">
        <w:rPr>
          <w:bCs/>
          <w:iCs/>
          <w:lang w:eastAsia="sk-SK"/>
        </w:rPr>
        <w:t>Predkladateľ</w:t>
      </w:r>
      <w:r w:rsidRPr="007D5748">
        <w:rPr>
          <w:bCs/>
          <w:i/>
          <w:iCs/>
          <w:lang w:eastAsia="sk-SK"/>
        </w:rPr>
        <w:t xml:space="preserve">: </w:t>
      </w:r>
      <w:r w:rsidRPr="007D5748">
        <w:rPr>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t.j. vrátane všetkých tarifných i nadtarifných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7723A877" w14:textId="77777777" w:rsidR="00D619B4" w:rsidRPr="007D5748" w:rsidRDefault="00D619B4" w:rsidP="00D619B4">
      <w:pPr>
        <w:jc w:val="both"/>
        <w:rPr>
          <w:u w:val="single"/>
          <w:lang w:eastAsia="sk-SK"/>
        </w:rPr>
      </w:pPr>
    </w:p>
    <w:p w14:paraId="2E02DB09" w14:textId="77777777" w:rsidR="00D619B4" w:rsidRPr="007D5748" w:rsidRDefault="00D619B4" w:rsidP="00D619B4">
      <w:pPr>
        <w:ind w:firstLine="708"/>
        <w:jc w:val="both"/>
        <w:rPr>
          <w:lang w:eastAsia="sk-SK"/>
        </w:rPr>
      </w:pPr>
      <w:r w:rsidRPr="007D5748">
        <w:rPr>
          <w:bCs/>
          <w:iCs/>
          <w:lang w:eastAsia="sk-SK"/>
        </w:rPr>
        <w:t>MF SR</w:t>
      </w:r>
      <w:r w:rsidRPr="007D5748">
        <w:rPr>
          <w:iCs/>
          <w:lang w:eastAsia="sk-SK"/>
        </w:rPr>
        <w:t>:</w:t>
      </w:r>
      <w:r w:rsidRPr="007D5748">
        <w:rPr>
          <w:i/>
          <w:iCs/>
          <w:lang w:eastAsia="sk-SK"/>
        </w:rPr>
        <w:t xml:space="preserve"> </w:t>
      </w:r>
      <w:r w:rsidRPr="007D5748">
        <w:rPr>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3E99C136" w14:textId="0EF89F17" w:rsidR="00D619B4" w:rsidRDefault="00D619B4" w:rsidP="00D619B4"/>
    <w:p w14:paraId="72FBEF92" w14:textId="4622B969" w:rsidR="00D619B4" w:rsidRDefault="00D619B4" w:rsidP="00D619B4"/>
    <w:p w14:paraId="3D2FD746" w14:textId="6F626202" w:rsidR="00D619B4" w:rsidRDefault="00D619B4" w:rsidP="00D619B4"/>
    <w:p w14:paraId="2C56CECE" w14:textId="194873DA" w:rsidR="00D619B4" w:rsidRDefault="00D619B4" w:rsidP="00D619B4"/>
    <w:p w14:paraId="0B9142D2" w14:textId="5EBD36D9" w:rsidR="00D619B4" w:rsidRDefault="00D619B4" w:rsidP="00D619B4"/>
    <w:p w14:paraId="1BEE0464" w14:textId="152B36D7" w:rsidR="00D619B4" w:rsidRDefault="00D619B4" w:rsidP="00D619B4"/>
    <w:p w14:paraId="35E386A9" w14:textId="74B1CFD7" w:rsidR="00D619B4" w:rsidRDefault="00D619B4" w:rsidP="00D619B4"/>
    <w:p w14:paraId="647F7220" w14:textId="084A1BC2" w:rsidR="00D619B4" w:rsidRDefault="00D619B4" w:rsidP="00D619B4"/>
    <w:p w14:paraId="1E1784B2" w14:textId="074A6261" w:rsidR="00D619B4" w:rsidRDefault="00D619B4" w:rsidP="00D619B4"/>
    <w:p w14:paraId="4BACE22D" w14:textId="426DC85E" w:rsidR="00D619B4" w:rsidRDefault="00D619B4" w:rsidP="00D619B4"/>
    <w:p w14:paraId="08AC86D5" w14:textId="5DBD5432" w:rsidR="00D619B4" w:rsidRDefault="00D619B4" w:rsidP="00D619B4"/>
    <w:p w14:paraId="4353F28E" w14:textId="068D1D1D" w:rsidR="00D619B4" w:rsidRDefault="00D619B4" w:rsidP="00D619B4"/>
    <w:p w14:paraId="6EA287BF" w14:textId="04C49A02" w:rsidR="00D619B4" w:rsidRDefault="00D619B4" w:rsidP="00D619B4"/>
    <w:p w14:paraId="0554FB1F" w14:textId="2832972D" w:rsidR="00D619B4" w:rsidRDefault="00D619B4" w:rsidP="00D619B4"/>
    <w:p w14:paraId="37DE54B1" w14:textId="6763DEBE" w:rsidR="00D619B4" w:rsidRDefault="00D619B4" w:rsidP="00D619B4"/>
    <w:p w14:paraId="7D65140F" w14:textId="29BF7903" w:rsidR="00D619B4" w:rsidRDefault="00D619B4" w:rsidP="00D619B4"/>
    <w:p w14:paraId="319241C8" w14:textId="52F25964" w:rsidR="00D619B4" w:rsidRDefault="00D619B4" w:rsidP="00D619B4"/>
    <w:p w14:paraId="365C32F6" w14:textId="0A1BD4D9" w:rsidR="00D619B4" w:rsidRDefault="00D619B4" w:rsidP="00D619B4"/>
    <w:p w14:paraId="68C13543" w14:textId="77777777" w:rsidR="00D619B4" w:rsidRDefault="00D619B4" w:rsidP="00D619B4"/>
    <w:p w14:paraId="281D1C3C" w14:textId="77777777" w:rsidR="00653B9A" w:rsidRPr="00732E57" w:rsidRDefault="00653B9A" w:rsidP="00653B9A">
      <w:pPr>
        <w:jc w:val="right"/>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653B9A" w:rsidRPr="005C4B9C" w14:paraId="4C6D2BA0" w14:textId="77777777" w:rsidTr="00363F28">
        <w:trPr>
          <w:trHeight w:val="822"/>
        </w:trPr>
        <w:tc>
          <w:tcPr>
            <w:tcW w:w="9371" w:type="dxa"/>
            <w:shd w:val="clear" w:color="auto" w:fill="BFBFBF" w:themeFill="background1" w:themeFillShade="BF"/>
            <w:vAlign w:val="center"/>
          </w:tcPr>
          <w:p w14:paraId="7FD0F865" w14:textId="77777777" w:rsidR="00653B9A" w:rsidRPr="00B1784E" w:rsidRDefault="00653B9A" w:rsidP="00363F28">
            <w:pPr>
              <w:jc w:val="center"/>
              <w:rPr>
                <w:b/>
                <w:bCs/>
                <w:sz w:val="32"/>
                <w:szCs w:val="32"/>
              </w:rPr>
            </w:pPr>
            <w:r w:rsidRPr="00B1784E">
              <w:rPr>
                <w:b/>
                <w:bCs/>
                <w:sz w:val="32"/>
                <w:szCs w:val="32"/>
              </w:rPr>
              <w:t xml:space="preserve">Analýza </w:t>
            </w:r>
            <w:r w:rsidRPr="00964DDF">
              <w:rPr>
                <w:b/>
                <w:bCs/>
                <w:sz w:val="32"/>
                <w:szCs w:val="32"/>
              </w:rPr>
              <w:t>vplyvov na služby verejnej správy pre občana</w:t>
            </w:r>
          </w:p>
          <w:p w14:paraId="0ED6404B" w14:textId="77777777" w:rsidR="00653B9A" w:rsidRPr="005C4B9C" w:rsidRDefault="00653B9A" w:rsidP="00363F28">
            <w:pPr>
              <w:rPr>
                <w:b/>
                <w:i/>
                <w:iCs/>
                <w:sz w:val="2"/>
                <w:szCs w:val="22"/>
              </w:rPr>
            </w:pPr>
          </w:p>
        </w:tc>
      </w:tr>
      <w:tr w:rsidR="00653B9A" w:rsidRPr="005C4B9C" w14:paraId="20DB4291" w14:textId="77777777" w:rsidTr="00363F28">
        <w:trPr>
          <w:trHeight w:val="367"/>
        </w:trPr>
        <w:tc>
          <w:tcPr>
            <w:tcW w:w="9371" w:type="dxa"/>
            <w:shd w:val="clear" w:color="auto" w:fill="C0C0C0"/>
            <w:vAlign w:val="center"/>
          </w:tcPr>
          <w:p w14:paraId="132F83AD" w14:textId="77777777" w:rsidR="00653B9A" w:rsidRPr="00AB307C" w:rsidRDefault="00653B9A" w:rsidP="00363F28">
            <w:pPr>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653B9A" w:rsidRPr="005C4B9C" w14:paraId="7CFA4FA3" w14:textId="77777777" w:rsidTr="00363F28">
        <w:trPr>
          <w:trHeight w:val="316"/>
        </w:trPr>
        <w:tc>
          <w:tcPr>
            <w:tcW w:w="9371" w:type="dxa"/>
          </w:tcPr>
          <w:p w14:paraId="1695696E" w14:textId="77777777" w:rsidR="00653B9A" w:rsidRPr="00F36EF9" w:rsidRDefault="00653B9A" w:rsidP="00363F28">
            <w:pPr>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653B9A" w:rsidRPr="005C4B9C" w14:paraId="64AD0FF5" w14:textId="77777777" w:rsidTr="00363F28">
        <w:trPr>
          <w:trHeight w:val="296"/>
        </w:trPr>
        <w:tc>
          <w:tcPr>
            <w:tcW w:w="9371" w:type="dxa"/>
          </w:tcPr>
          <w:p w14:paraId="29CE26A3" w14:textId="77777777" w:rsidR="00653B9A" w:rsidRPr="005C4B9C" w:rsidRDefault="00653B9A" w:rsidP="00363F28">
            <w:pPr>
              <w:rPr>
                <w:b/>
                <w:i/>
                <w:sz w:val="22"/>
                <w:szCs w:val="22"/>
              </w:rPr>
            </w:pPr>
            <w:r w:rsidRPr="00F36EF9">
              <w:rPr>
                <w:i/>
                <w:sz w:val="22"/>
                <w:szCs w:val="22"/>
              </w:rPr>
              <w:t>Zmena existujúcej služby (konkretizujte a popíšte)</w:t>
            </w:r>
            <w:r>
              <w:rPr>
                <w:i/>
                <w:sz w:val="22"/>
                <w:szCs w:val="22"/>
              </w:rPr>
              <w:t xml:space="preserve"> </w:t>
            </w:r>
          </w:p>
        </w:tc>
      </w:tr>
      <w:tr w:rsidR="00653B9A" w:rsidRPr="005C4B9C" w14:paraId="28464716" w14:textId="77777777" w:rsidTr="00363F28">
        <w:trPr>
          <w:trHeight w:val="655"/>
        </w:trPr>
        <w:tc>
          <w:tcPr>
            <w:tcW w:w="9371" w:type="dxa"/>
          </w:tcPr>
          <w:p w14:paraId="5E4A148D" w14:textId="77777777" w:rsidR="00653B9A" w:rsidRDefault="00653B9A" w:rsidP="00363F28">
            <w:pPr>
              <w:rPr>
                <w:sz w:val="22"/>
                <w:szCs w:val="22"/>
              </w:rPr>
            </w:pPr>
            <w:r>
              <w:rPr>
                <w:sz w:val="22"/>
                <w:szCs w:val="22"/>
              </w:rPr>
              <w:t>Návrhom zákona (§ 12 ods. 1 písm. b)) sa spresňuje povinnosť sprístupňovať informácie o elektronických službách pre občana tak, aby nedochádzalo k neaktuálnym informáciám zverejneným na ústrednom portáli verejnej správy.</w:t>
            </w:r>
          </w:p>
          <w:p w14:paraId="5B034A4D" w14:textId="77777777" w:rsidR="00653B9A" w:rsidRPr="00886BA4" w:rsidRDefault="00653B9A" w:rsidP="00363F28">
            <w:pPr>
              <w:rPr>
                <w:sz w:val="22"/>
                <w:szCs w:val="22"/>
              </w:rPr>
            </w:pPr>
            <w:r>
              <w:rPr>
                <w:sz w:val="22"/>
                <w:szCs w:val="22"/>
              </w:rPr>
              <w:t>Zároveň sa návrhom zákona (§ 12 ods. 1 písm. k)) zvyšuje otvorenosť verejnej správy pri využívaní služieb tak pre orgány verejnej moci, ako aj pre občanov a to prostredníctvom budovania aplikačných rozhraní, ktoré umožnia multikanálový prístup, napríklad prostredníctvom mobilných aplikácií.</w:t>
            </w:r>
          </w:p>
        </w:tc>
      </w:tr>
      <w:tr w:rsidR="00653B9A" w:rsidRPr="005C4B9C" w14:paraId="4F68F554" w14:textId="77777777" w:rsidTr="00363F28">
        <w:trPr>
          <w:trHeight w:val="212"/>
        </w:trPr>
        <w:tc>
          <w:tcPr>
            <w:tcW w:w="9371" w:type="dxa"/>
          </w:tcPr>
          <w:p w14:paraId="2B21EC0A" w14:textId="77777777" w:rsidR="00653B9A" w:rsidRPr="00F36EF9" w:rsidRDefault="00653B9A" w:rsidP="00363F28">
            <w:pPr>
              <w:rPr>
                <w:i/>
                <w:sz w:val="22"/>
                <w:szCs w:val="22"/>
              </w:rPr>
            </w:pPr>
            <w:r w:rsidRPr="00F36EF9">
              <w:rPr>
                <w:i/>
                <w:sz w:val="22"/>
                <w:szCs w:val="22"/>
              </w:rPr>
              <w:t>Nová služba (konkretizujte a popíšte)</w:t>
            </w:r>
          </w:p>
        </w:tc>
      </w:tr>
      <w:tr w:rsidR="00653B9A" w:rsidRPr="005C4B9C" w14:paraId="5A784AC8" w14:textId="77777777" w:rsidTr="00363F28">
        <w:trPr>
          <w:trHeight w:val="598"/>
        </w:trPr>
        <w:tc>
          <w:tcPr>
            <w:tcW w:w="9371" w:type="dxa"/>
          </w:tcPr>
          <w:p w14:paraId="08986C1D" w14:textId="77777777" w:rsidR="00653B9A" w:rsidRPr="00372424" w:rsidRDefault="00653B9A" w:rsidP="00363F28">
            <w:pPr>
              <w:rPr>
                <w:sz w:val="22"/>
                <w:szCs w:val="22"/>
              </w:rPr>
            </w:pPr>
            <w:r>
              <w:rPr>
                <w:sz w:val="22"/>
                <w:szCs w:val="22"/>
              </w:rPr>
              <w:t>Nie.</w:t>
            </w:r>
          </w:p>
        </w:tc>
      </w:tr>
      <w:tr w:rsidR="00653B9A" w:rsidRPr="005C4B9C" w14:paraId="64D99C2F" w14:textId="77777777" w:rsidTr="00363F28">
        <w:trPr>
          <w:trHeight w:val="248"/>
        </w:trPr>
        <w:tc>
          <w:tcPr>
            <w:tcW w:w="9371" w:type="dxa"/>
          </w:tcPr>
          <w:p w14:paraId="53D9C7FA" w14:textId="77777777" w:rsidR="00653B9A" w:rsidRPr="00F36EF9" w:rsidRDefault="00653B9A" w:rsidP="00363F28">
            <w:pPr>
              <w:rPr>
                <w:b/>
              </w:rPr>
            </w:pPr>
            <w:r w:rsidRPr="00F36EF9">
              <w:rPr>
                <w:b/>
              </w:rPr>
              <w:t>7.1.2 Špecifikácia služby verejnej správy, ktorá je dotknutá návrhom</w:t>
            </w:r>
          </w:p>
        </w:tc>
      </w:tr>
      <w:tr w:rsidR="00653B9A" w:rsidRPr="005C4B9C" w14:paraId="209F6ECD" w14:textId="77777777" w:rsidTr="00363F28">
        <w:trPr>
          <w:trHeight w:val="248"/>
        </w:trPr>
        <w:tc>
          <w:tcPr>
            <w:tcW w:w="9371" w:type="dxa"/>
          </w:tcPr>
          <w:p w14:paraId="0B49932A" w14:textId="77777777" w:rsidR="00653B9A" w:rsidRPr="00F36EF9" w:rsidRDefault="00653B9A" w:rsidP="00363F28">
            <w:pPr>
              <w:rPr>
                <w:i/>
                <w:sz w:val="22"/>
                <w:szCs w:val="22"/>
              </w:rPr>
            </w:pPr>
            <w:r w:rsidRPr="00D3615C">
              <w:rPr>
                <w:i/>
                <w:sz w:val="22"/>
                <w:szCs w:val="22"/>
              </w:rPr>
              <w:t xml:space="preserve">Názov služby </w:t>
            </w:r>
          </w:p>
        </w:tc>
      </w:tr>
      <w:tr w:rsidR="00653B9A" w:rsidRPr="005C4B9C" w14:paraId="39CB00CF" w14:textId="77777777" w:rsidTr="00363F28">
        <w:trPr>
          <w:trHeight w:val="545"/>
        </w:trPr>
        <w:tc>
          <w:tcPr>
            <w:tcW w:w="9371" w:type="dxa"/>
          </w:tcPr>
          <w:p w14:paraId="1F6A7F53" w14:textId="77777777" w:rsidR="00653B9A" w:rsidRDefault="00653B9A" w:rsidP="00363F28">
            <w:pPr>
              <w:rPr>
                <w:sz w:val="22"/>
                <w:szCs w:val="22"/>
              </w:rPr>
            </w:pPr>
            <w:r>
              <w:rPr>
                <w:sz w:val="22"/>
                <w:szCs w:val="22"/>
              </w:rPr>
              <w:t>Sprístupňovanie informácií o elektronických službách verejnej správy v centrálnom metainformačnom systéme (§ 12 ods. 1 písm. b))</w:t>
            </w:r>
          </w:p>
          <w:p w14:paraId="53A34641" w14:textId="77777777" w:rsidR="00653B9A" w:rsidRPr="00886BA4" w:rsidRDefault="00653B9A" w:rsidP="00363F28">
            <w:pPr>
              <w:rPr>
                <w:sz w:val="22"/>
                <w:szCs w:val="22"/>
              </w:rPr>
            </w:pPr>
            <w:r>
              <w:rPr>
                <w:sz w:val="22"/>
                <w:szCs w:val="22"/>
              </w:rPr>
              <w:t>Štandardy elektronických služieb (§ 24) a zverejňovanie verejnej dostupných aplikačných rozhraní.</w:t>
            </w:r>
          </w:p>
        </w:tc>
      </w:tr>
      <w:tr w:rsidR="00653B9A" w:rsidRPr="005C4B9C" w14:paraId="39C0D3BB" w14:textId="77777777" w:rsidTr="00363F28">
        <w:trPr>
          <w:trHeight w:val="248"/>
        </w:trPr>
        <w:tc>
          <w:tcPr>
            <w:tcW w:w="9371" w:type="dxa"/>
          </w:tcPr>
          <w:p w14:paraId="3BEACCD5" w14:textId="77777777" w:rsidR="00653B9A" w:rsidRPr="00F36EF9" w:rsidRDefault="00653B9A" w:rsidP="00363F28">
            <w:pPr>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653B9A" w:rsidRPr="005C4B9C" w14:paraId="3B5246FF" w14:textId="77777777" w:rsidTr="00363F28">
        <w:trPr>
          <w:trHeight w:val="630"/>
        </w:trPr>
        <w:tc>
          <w:tcPr>
            <w:tcW w:w="9371" w:type="dxa"/>
          </w:tcPr>
          <w:p w14:paraId="35878A4C" w14:textId="77777777" w:rsidR="00653B9A" w:rsidRDefault="00653B9A" w:rsidP="00363F28">
            <w:pPr>
              <w:rPr>
                <w:sz w:val="22"/>
                <w:szCs w:val="22"/>
              </w:rPr>
            </w:pPr>
            <w:r>
              <w:rPr>
                <w:sz w:val="22"/>
                <w:szCs w:val="22"/>
              </w:rPr>
              <w:t>Ust. § 12 ods. 1 písm. b) zákona č. 95/2019 Z. z.</w:t>
            </w:r>
          </w:p>
          <w:p w14:paraId="2BD14586" w14:textId="77777777" w:rsidR="00653B9A" w:rsidRDefault="00653B9A" w:rsidP="00363F28">
            <w:pPr>
              <w:rPr>
                <w:sz w:val="22"/>
                <w:szCs w:val="22"/>
              </w:rPr>
            </w:pPr>
            <w:r>
              <w:rPr>
                <w:sz w:val="22"/>
                <w:szCs w:val="22"/>
              </w:rPr>
              <w:t>Ust. § 24 zákona č. 95/2019 Z. z. - štandardy</w:t>
            </w:r>
          </w:p>
          <w:p w14:paraId="1664FD33" w14:textId="77777777" w:rsidR="00653B9A" w:rsidRPr="008A6076" w:rsidRDefault="00653B9A" w:rsidP="00363F28">
            <w:pPr>
              <w:rPr>
                <w:sz w:val="22"/>
                <w:szCs w:val="22"/>
              </w:rPr>
            </w:pPr>
          </w:p>
        </w:tc>
      </w:tr>
      <w:tr w:rsidR="00653B9A" w:rsidRPr="005C4B9C" w14:paraId="1E276AEA" w14:textId="77777777" w:rsidTr="00363F28">
        <w:trPr>
          <w:trHeight w:val="220"/>
        </w:trPr>
        <w:tc>
          <w:tcPr>
            <w:tcW w:w="9371" w:type="dxa"/>
          </w:tcPr>
          <w:p w14:paraId="5E7A8AB0" w14:textId="77777777" w:rsidR="00653B9A" w:rsidRPr="00F36EF9" w:rsidRDefault="00653B9A" w:rsidP="00363F28">
            <w:pPr>
              <w:rPr>
                <w:b/>
                <w:i/>
                <w:sz w:val="22"/>
                <w:szCs w:val="22"/>
              </w:rPr>
            </w:pPr>
            <w:r>
              <w:rPr>
                <w:i/>
                <w:sz w:val="22"/>
                <w:szCs w:val="22"/>
              </w:rPr>
              <w:t xml:space="preserve">Subjekt, ktorý je na základe platnej právnej úpravy oprávnený službu poskytovať </w:t>
            </w:r>
          </w:p>
        </w:tc>
      </w:tr>
      <w:tr w:rsidR="00653B9A" w:rsidRPr="005C4B9C" w14:paraId="71861508" w14:textId="77777777" w:rsidTr="00363F28">
        <w:trPr>
          <w:trHeight w:val="587"/>
        </w:trPr>
        <w:tc>
          <w:tcPr>
            <w:tcW w:w="9371" w:type="dxa"/>
          </w:tcPr>
          <w:p w14:paraId="693D58D7" w14:textId="77777777" w:rsidR="00653B9A" w:rsidRPr="00B1031A" w:rsidRDefault="00653B9A" w:rsidP="00363F28">
            <w:pPr>
              <w:rPr>
                <w:sz w:val="22"/>
                <w:szCs w:val="22"/>
              </w:rPr>
            </w:pPr>
            <w:r>
              <w:rPr>
                <w:sz w:val="22"/>
                <w:szCs w:val="22"/>
              </w:rPr>
              <w:t>Všetky orgány riadenia vo vzťahu k elektronickým službám v rozsahu ich pôsobnosti.</w:t>
            </w:r>
          </w:p>
        </w:tc>
      </w:tr>
      <w:tr w:rsidR="00653B9A" w:rsidRPr="005C4B9C" w14:paraId="53AD3DD9" w14:textId="77777777" w:rsidTr="00363F28">
        <w:trPr>
          <w:trHeight w:val="423"/>
        </w:trPr>
        <w:tc>
          <w:tcPr>
            <w:tcW w:w="9371" w:type="dxa"/>
          </w:tcPr>
          <w:p w14:paraId="3FE1C772" w14:textId="77777777" w:rsidR="00653B9A" w:rsidRPr="005C4B9C" w:rsidRDefault="00653B9A" w:rsidP="00363F28">
            <w:pPr>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653B9A" w:rsidRPr="005C4B9C" w14:paraId="558C21A9" w14:textId="77777777" w:rsidTr="00363F28">
        <w:trPr>
          <w:trHeight w:val="256"/>
        </w:trPr>
        <w:tc>
          <w:tcPr>
            <w:tcW w:w="9371" w:type="dxa"/>
          </w:tcPr>
          <w:p w14:paraId="382A9B14" w14:textId="77777777" w:rsidR="00653B9A" w:rsidRPr="00F36EF9" w:rsidRDefault="00653B9A" w:rsidP="00363F28">
            <w:pPr>
              <w:rPr>
                <w:b/>
                <w:i/>
                <w:sz w:val="22"/>
                <w:szCs w:val="22"/>
              </w:rPr>
            </w:pPr>
            <w:r w:rsidRPr="00F36EF9">
              <w:rPr>
                <w:i/>
                <w:sz w:val="22"/>
                <w:szCs w:val="22"/>
              </w:rPr>
              <w:t xml:space="preserve">Priamy vplyv (popíšte) </w:t>
            </w:r>
          </w:p>
        </w:tc>
      </w:tr>
      <w:tr w:rsidR="00653B9A" w:rsidRPr="005C4B9C" w14:paraId="61F96679" w14:textId="77777777" w:rsidTr="00363F28">
        <w:trPr>
          <w:trHeight w:val="885"/>
        </w:trPr>
        <w:tc>
          <w:tcPr>
            <w:tcW w:w="9371" w:type="dxa"/>
          </w:tcPr>
          <w:p w14:paraId="7BF43099" w14:textId="77777777" w:rsidR="00653B9A" w:rsidRPr="00886BA4" w:rsidRDefault="00653B9A" w:rsidP="00363F28">
            <w:pPr>
              <w:rPr>
                <w:sz w:val="22"/>
                <w:szCs w:val="22"/>
              </w:rPr>
            </w:pPr>
            <w:r>
              <w:rPr>
                <w:sz w:val="22"/>
                <w:szCs w:val="22"/>
              </w:rPr>
              <w:t xml:space="preserve">Návrhom zákona sa dosiahne zverejňovanie aktuálnych informácií o poskytovaných elektronických službách pre občana. </w:t>
            </w:r>
          </w:p>
        </w:tc>
      </w:tr>
      <w:tr w:rsidR="00653B9A" w:rsidRPr="005C4B9C" w14:paraId="36D6D9F0" w14:textId="77777777" w:rsidTr="00363F28">
        <w:trPr>
          <w:trHeight w:val="20"/>
        </w:trPr>
        <w:tc>
          <w:tcPr>
            <w:tcW w:w="9371" w:type="dxa"/>
          </w:tcPr>
          <w:p w14:paraId="37DD2AC4" w14:textId="77777777" w:rsidR="00653B9A" w:rsidRDefault="00653B9A" w:rsidP="00363F28">
            <w:pPr>
              <w:rPr>
                <w:i/>
                <w:sz w:val="22"/>
                <w:szCs w:val="22"/>
              </w:rPr>
            </w:pPr>
            <w:r w:rsidRPr="00F36EF9">
              <w:rPr>
                <w:i/>
                <w:sz w:val="22"/>
                <w:szCs w:val="22"/>
              </w:rPr>
              <w:t>Nepriamy vplyv (popíšte)</w:t>
            </w:r>
          </w:p>
          <w:p w14:paraId="3ABE6FE1" w14:textId="77777777" w:rsidR="00653B9A" w:rsidRPr="004811E1" w:rsidRDefault="00653B9A" w:rsidP="00363F28">
            <w:pPr>
              <w:rPr>
                <w:b/>
                <w:sz w:val="22"/>
                <w:szCs w:val="22"/>
              </w:rPr>
            </w:pPr>
            <w:r w:rsidRPr="004811E1">
              <w:rPr>
                <w:sz w:val="22"/>
                <w:szCs w:val="22"/>
              </w:rPr>
              <w:t xml:space="preserve">Orgány riadenia sú povinné aktualizovať informácie o poskytovaných elektronických službách a v prípade, že tieto informácie nebudú aktualizované, správca ústredného portálu je oprávnený nesprístupniť službu pre občana. </w:t>
            </w:r>
          </w:p>
        </w:tc>
      </w:tr>
      <w:tr w:rsidR="00653B9A" w:rsidRPr="005C4B9C" w14:paraId="4EAC8C9A" w14:textId="77777777" w:rsidTr="00363F28">
        <w:trPr>
          <w:trHeight w:val="616"/>
        </w:trPr>
        <w:tc>
          <w:tcPr>
            <w:tcW w:w="9371" w:type="dxa"/>
          </w:tcPr>
          <w:p w14:paraId="6B73A5CD" w14:textId="77777777" w:rsidR="00653B9A" w:rsidRPr="00332F72" w:rsidRDefault="00653B9A" w:rsidP="00363F28">
            <w:pPr>
              <w:rPr>
                <w:sz w:val="22"/>
                <w:szCs w:val="22"/>
              </w:rPr>
            </w:pPr>
            <w:r>
              <w:rPr>
                <w:sz w:val="22"/>
                <w:szCs w:val="22"/>
              </w:rPr>
              <w:t>-</w:t>
            </w:r>
          </w:p>
        </w:tc>
      </w:tr>
      <w:tr w:rsidR="00653B9A" w:rsidRPr="005C4B9C" w14:paraId="6B07E0FF" w14:textId="77777777" w:rsidTr="00363F28">
        <w:trPr>
          <w:trHeight w:val="20"/>
        </w:trPr>
        <w:tc>
          <w:tcPr>
            <w:tcW w:w="9371" w:type="dxa"/>
            <w:shd w:val="clear" w:color="auto" w:fill="C0C0C0"/>
            <w:vAlign w:val="center"/>
          </w:tcPr>
          <w:p w14:paraId="4C9AD5C6" w14:textId="77777777" w:rsidR="00653B9A" w:rsidRPr="00B1784E" w:rsidRDefault="00653B9A" w:rsidP="00363F28">
            <w:pPr>
              <w:jc w:val="center"/>
              <w:rPr>
                <w:b/>
                <w:sz w:val="28"/>
                <w:szCs w:val="28"/>
              </w:rPr>
            </w:pPr>
            <w:r>
              <w:rPr>
                <w:b/>
                <w:sz w:val="28"/>
                <w:szCs w:val="28"/>
              </w:rPr>
              <w:t>7.2 Vplyv služieb verejnej správy na</w:t>
            </w:r>
            <w:r w:rsidRPr="00B1784E">
              <w:rPr>
                <w:b/>
                <w:sz w:val="28"/>
                <w:szCs w:val="28"/>
              </w:rPr>
              <w:t xml:space="preserve"> občana</w:t>
            </w:r>
          </w:p>
        </w:tc>
      </w:tr>
      <w:tr w:rsidR="00653B9A" w:rsidRPr="005C4B9C" w14:paraId="0F35550C" w14:textId="77777777" w:rsidTr="00363F28">
        <w:trPr>
          <w:trHeight w:val="388"/>
        </w:trPr>
        <w:tc>
          <w:tcPr>
            <w:tcW w:w="9371" w:type="dxa"/>
          </w:tcPr>
          <w:p w14:paraId="284F8F33" w14:textId="77777777" w:rsidR="00653B9A" w:rsidRDefault="00653B9A" w:rsidP="00363F28">
            <w:pPr>
              <w:rPr>
                <w:b/>
              </w:rPr>
            </w:pPr>
            <w:r>
              <w:rPr>
                <w:b/>
              </w:rPr>
              <w:t>7.2</w:t>
            </w:r>
            <w:r w:rsidRPr="00B1784E">
              <w:rPr>
                <w:b/>
              </w:rPr>
              <w:t>.</w:t>
            </w:r>
            <w:r>
              <w:rPr>
                <w:b/>
              </w:rPr>
              <w:t xml:space="preserve">1 Náklady </w:t>
            </w:r>
          </w:p>
        </w:tc>
      </w:tr>
      <w:tr w:rsidR="00653B9A" w:rsidRPr="005C4B9C" w14:paraId="52A69B02" w14:textId="77777777" w:rsidTr="00363F28">
        <w:trPr>
          <w:trHeight w:val="226"/>
        </w:trPr>
        <w:tc>
          <w:tcPr>
            <w:tcW w:w="9371" w:type="dxa"/>
          </w:tcPr>
          <w:p w14:paraId="0C0C65B5" w14:textId="77777777" w:rsidR="00653B9A" w:rsidRDefault="00653B9A" w:rsidP="00363F28">
            <w:pPr>
              <w:rPr>
                <w:b/>
              </w:rPr>
            </w:pPr>
            <w:r>
              <w:rPr>
                <w:i/>
              </w:rPr>
              <w:t xml:space="preserve">Zníženie priamych finančných nákladov </w:t>
            </w:r>
          </w:p>
        </w:tc>
      </w:tr>
      <w:tr w:rsidR="00653B9A" w:rsidRPr="005C4B9C" w14:paraId="6CD4ACF5" w14:textId="77777777" w:rsidTr="00363F28">
        <w:trPr>
          <w:trHeight w:val="599"/>
        </w:trPr>
        <w:tc>
          <w:tcPr>
            <w:tcW w:w="9371" w:type="dxa"/>
          </w:tcPr>
          <w:p w14:paraId="5C9575CA" w14:textId="77777777" w:rsidR="00653B9A" w:rsidRPr="00372424" w:rsidRDefault="00653B9A" w:rsidP="00363F28">
            <w:pPr>
              <w:rPr>
                <w:sz w:val="22"/>
                <w:szCs w:val="22"/>
              </w:rPr>
            </w:pPr>
            <w:r w:rsidRPr="00372424">
              <w:rPr>
                <w:sz w:val="22"/>
                <w:szCs w:val="22"/>
              </w:rPr>
              <w:t>Nie</w:t>
            </w:r>
          </w:p>
        </w:tc>
      </w:tr>
      <w:tr w:rsidR="00653B9A" w:rsidRPr="005C4B9C" w14:paraId="2559C00B" w14:textId="77777777" w:rsidTr="00363F28">
        <w:trPr>
          <w:trHeight w:val="294"/>
        </w:trPr>
        <w:tc>
          <w:tcPr>
            <w:tcW w:w="9371" w:type="dxa"/>
          </w:tcPr>
          <w:p w14:paraId="35FC2665" w14:textId="77777777" w:rsidR="00653B9A" w:rsidRPr="00E43AA2" w:rsidRDefault="00653B9A" w:rsidP="00363F28">
            <w:pPr>
              <w:rPr>
                <w:i/>
              </w:rPr>
            </w:pPr>
            <w:r w:rsidRPr="00E43AA2">
              <w:rPr>
                <w:i/>
              </w:rPr>
              <w:t xml:space="preserve">Zvýšenie </w:t>
            </w:r>
            <w:r>
              <w:rPr>
                <w:i/>
              </w:rPr>
              <w:t>priamych finančných nákladov</w:t>
            </w:r>
          </w:p>
        </w:tc>
      </w:tr>
      <w:tr w:rsidR="00653B9A" w:rsidRPr="005C4B9C" w14:paraId="68D110F6" w14:textId="77777777" w:rsidTr="00363F28">
        <w:trPr>
          <w:trHeight w:val="572"/>
        </w:trPr>
        <w:tc>
          <w:tcPr>
            <w:tcW w:w="9371" w:type="dxa"/>
          </w:tcPr>
          <w:p w14:paraId="7F29272E" w14:textId="77777777" w:rsidR="00653B9A" w:rsidRPr="00332F72" w:rsidRDefault="00653B9A" w:rsidP="00363F28">
            <w:pPr>
              <w:rPr>
                <w:sz w:val="22"/>
                <w:szCs w:val="22"/>
              </w:rPr>
            </w:pPr>
            <w:r>
              <w:rPr>
                <w:sz w:val="22"/>
                <w:szCs w:val="22"/>
              </w:rPr>
              <w:t>Nie</w:t>
            </w:r>
          </w:p>
        </w:tc>
      </w:tr>
      <w:tr w:rsidR="00653B9A" w:rsidRPr="005C4B9C" w14:paraId="742C77F0" w14:textId="77777777" w:rsidTr="00363F28">
        <w:trPr>
          <w:trHeight w:val="214"/>
        </w:trPr>
        <w:tc>
          <w:tcPr>
            <w:tcW w:w="9371" w:type="dxa"/>
          </w:tcPr>
          <w:p w14:paraId="378493F2" w14:textId="77777777" w:rsidR="00653B9A" w:rsidRPr="00E43AA2" w:rsidRDefault="00653B9A" w:rsidP="00363F28">
            <w:pPr>
              <w:rPr>
                <w:i/>
              </w:rPr>
            </w:pPr>
            <w:r>
              <w:rPr>
                <w:i/>
              </w:rPr>
              <w:t>Zníženie nepriamych finančných nákladov</w:t>
            </w:r>
          </w:p>
        </w:tc>
      </w:tr>
      <w:tr w:rsidR="00653B9A" w:rsidRPr="005C4B9C" w14:paraId="12C18A2F" w14:textId="77777777" w:rsidTr="00363F28">
        <w:trPr>
          <w:trHeight w:val="707"/>
        </w:trPr>
        <w:tc>
          <w:tcPr>
            <w:tcW w:w="9371" w:type="dxa"/>
          </w:tcPr>
          <w:p w14:paraId="690227E6" w14:textId="77777777" w:rsidR="00653B9A" w:rsidRPr="00372424" w:rsidRDefault="00653B9A" w:rsidP="00363F28">
            <w:pPr>
              <w:rPr>
                <w:sz w:val="22"/>
                <w:szCs w:val="22"/>
              </w:rPr>
            </w:pPr>
            <w:r w:rsidRPr="00372424">
              <w:rPr>
                <w:sz w:val="22"/>
                <w:szCs w:val="22"/>
              </w:rPr>
              <w:t>Nie</w:t>
            </w:r>
          </w:p>
        </w:tc>
      </w:tr>
      <w:tr w:rsidR="00653B9A" w:rsidRPr="005C4B9C" w14:paraId="738CE50E" w14:textId="77777777" w:rsidTr="00363F28">
        <w:trPr>
          <w:trHeight w:val="388"/>
        </w:trPr>
        <w:tc>
          <w:tcPr>
            <w:tcW w:w="9371" w:type="dxa"/>
          </w:tcPr>
          <w:p w14:paraId="25DEE892" w14:textId="77777777" w:rsidR="00653B9A" w:rsidRPr="00E43AA2" w:rsidRDefault="00653B9A" w:rsidP="00363F28">
            <w:pPr>
              <w:rPr>
                <w:i/>
              </w:rPr>
            </w:pPr>
            <w:r w:rsidRPr="00E43AA2">
              <w:rPr>
                <w:i/>
              </w:rPr>
              <w:t xml:space="preserve">Zvýšenie </w:t>
            </w:r>
            <w:r>
              <w:rPr>
                <w:i/>
              </w:rPr>
              <w:t>nepriamych finančných nákladov</w:t>
            </w:r>
          </w:p>
        </w:tc>
      </w:tr>
      <w:tr w:rsidR="00653B9A" w:rsidRPr="005C4B9C" w14:paraId="44124C0D" w14:textId="77777777" w:rsidTr="00363F28">
        <w:trPr>
          <w:trHeight w:val="800"/>
        </w:trPr>
        <w:tc>
          <w:tcPr>
            <w:tcW w:w="9371" w:type="dxa"/>
          </w:tcPr>
          <w:p w14:paraId="7F3C36E1" w14:textId="77777777" w:rsidR="00653B9A" w:rsidRPr="00332F72" w:rsidRDefault="00653B9A" w:rsidP="00363F28">
            <w:pPr>
              <w:rPr>
                <w:sz w:val="22"/>
                <w:szCs w:val="22"/>
              </w:rPr>
            </w:pPr>
            <w:r>
              <w:rPr>
                <w:sz w:val="22"/>
                <w:szCs w:val="22"/>
              </w:rPr>
              <w:t>Nie</w:t>
            </w:r>
          </w:p>
        </w:tc>
      </w:tr>
      <w:tr w:rsidR="00653B9A" w:rsidRPr="005C4B9C" w14:paraId="49303A66" w14:textId="77777777" w:rsidTr="00363F28">
        <w:trPr>
          <w:trHeight w:val="388"/>
        </w:trPr>
        <w:tc>
          <w:tcPr>
            <w:tcW w:w="9371" w:type="dxa"/>
          </w:tcPr>
          <w:p w14:paraId="0CFC615F" w14:textId="77777777" w:rsidR="00653B9A" w:rsidRPr="00B1031A" w:rsidRDefault="00653B9A" w:rsidP="00363F28">
            <w:pPr>
              <w:rPr>
                <w:i/>
                <w:iCs/>
              </w:rPr>
            </w:pPr>
            <w:r>
              <w:rPr>
                <w:b/>
              </w:rPr>
              <w:t xml:space="preserve">7.2.2 </w:t>
            </w:r>
            <w:r w:rsidRPr="00B1784E">
              <w:rPr>
                <w:b/>
              </w:rPr>
              <w:t xml:space="preserve">Časový </w:t>
            </w:r>
            <w:r>
              <w:rPr>
                <w:b/>
              </w:rPr>
              <w:t>vplyv</w:t>
            </w:r>
            <w:r w:rsidRPr="00B1784E">
              <w:rPr>
                <w:b/>
              </w:rPr>
              <w:t xml:space="preserve"> </w:t>
            </w:r>
          </w:p>
        </w:tc>
      </w:tr>
      <w:tr w:rsidR="00653B9A" w:rsidRPr="005C4B9C" w14:paraId="7ADDB2F2" w14:textId="77777777" w:rsidTr="00363F28">
        <w:trPr>
          <w:trHeight w:val="20"/>
        </w:trPr>
        <w:tc>
          <w:tcPr>
            <w:tcW w:w="9371" w:type="dxa"/>
          </w:tcPr>
          <w:p w14:paraId="5A3D406E" w14:textId="77777777" w:rsidR="00653B9A" w:rsidRPr="00B007AE" w:rsidRDefault="00653B9A" w:rsidP="00363F28">
            <w:pPr>
              <w:rPr>
                <w:b/>
              </w:rPr>
            </w:pPr>
            <w:r w:rsidRPr="00B007AE">
              <w:rPr>
                <w:i/>
              </w:rPr>
              <w:t>Zvýšenie času vybavenia požiadavky (popíšte)</w:t>
            </w:r>
          </w:p>
        </w:tc>
      </w:tr>
      <w:tr w:rsidR="00653B9A" w:rsidRPr="005C4B9C" w14:paraId="3B596B60" w14:textId="77777777" w:rsidTr="00363F28">
        <w:trPr>
          <w:trHeight w:val="703"/>
        </w:trPr>
        <w:tc>
          <w:tcPr>
            <w:tcW w:w="9371" w:type="dxa"/>
          </w:tcPr>
          <w:p w14:paraId="2626D8D7" w14:textId="77777777" w:rsidR="00653B9A" w:rsidRPr="00332F72" w:rsidRDefault="00653B9A" w:rsidP="00363F28">
            <w:pPr>
              <w:rPr>
                <w:sz w:val="22"/>
                <w:szCs w:val="22"/>
              </w:rPr>
            </w:pPr>
            <w:r>
              <w:rPr>
                <w:sz w:val="22"/>
                <w:szCs w:val="22"/>
              </w:rPr>
              <w:t>Nepredpokladá sa</w:t>
            </w:r>
            <w:r w:rsidRPr="00332F72">
              <w:rPr>
                <w:sz w:val="22"/>
                <w:szCs w:val="22"/>
              </w:rPr>
              <w:t xml:space="preserve"> </w:t>
            </w:r>
            <w:r>
              <w:rPr>
                <w:sz w:val="22"/>
                <w:szCs w:val="22"/>
              </w:rPr>
              <w:t xml:space="preserve">časový </w:t>
            </w:r>
            <w:r w:rsidRPr="00332F72">
              <w:rPr>
                <w:sz w:val="22"/>
                <w:szCs w:val="22"/>
              </w:rPr>
              <w:t>vply</w:t>
            </w:r>
            <w:r>
              <w:rPr>
                <w:sz w:val="22"/>
                <w:szCs w:val="22"/>
              </w:rPr>
              <w:t>v</w:t>
            </w:r>
          </w:p>
        </w:tc>
      </w:tr>
      <w:tr w:rsidR="00653B9A" w:rsidRPr="005C4B9C" w14:paraId="6F4EC27D" w14:textId="77777777" w:rsidTr="00363F28">
        <w:trPr>
          <w:trHeight w:val="20"/>
        </w:trPr>
        <w:tc>
          <w:tcPr>
            <w:tcW w:w="9371" w:type="dxa"/>
          </w:tcPr>
          <w:p w14:paraId="70790F59" w14:textId="77777777" w:rsidR="00653B9A" w:rsidRPr="00B007AE" w:rsidRDefault="00653B9A" w:rsidP="00363F28">
            <w:pPr>
              <w:rPr>
                <w:b/>
              </w:rPr>
            </w:pPr>
            <w:r w:rsidRPr="00B007AE">
              <w:rPr>
                <w:i/>
              </w:rPr>
              <w:t>Zníženie času  vybavenia požiadavky (popíšte)</w:t>
            </w:r>
          </w:p>
        </w:tc>
      </w:tr>
      <w:tr w:rsidR="00653B9A" w:rsidRPr="005C4B9C" w14:paraId="71D9ECA9" w14:textId="77777777" w:rsidTr="00363F28">
        <w:trPr>
          <w:trHeight w:val="729"/>
        </w:trPr>
        <w:tc>
          <w:tcPr>
            <w:tcW w:w="9371" w:type="dxa"/>
          </w:tcPr>
          <w:p w14:paraId="3B882AAC" w14:textId="77777777" w:rsidR="00653B9A" w:rsidRPr="003C3251" w:rsidRDefault="00653B9A" w:rsidP="00363F28">
            <w:pPr>
              <w:rPr>
                <w:b/>
              </w:rPr>
            </w:pPr>
            <w:r>
              <w:rPr>
                <w:sz w:val="22"/>
                <w:szCs w:val="22"/>
              </w:rPr>
              <w:t>Nepredpokladá sa</w:t>
            </w:r>
            <w:r w:rsidRPr="00332F72">
              <w:rPr>
                <w:sz w:val="22"/>
                <w:szCs w:val="22"/>
              </w:rPr>
              <w:t xml:space="preserve"> </w:t>
            </w:r>
            <w:r>
              <w:rPr>
                <w:sz w:val="22"/>
                <w:szCs w:val="22"/>
              </w:rPr>
              <w:t xml:space="preserve">časový </w:t>
            </w:r>
            <w:r w:rsidRPr="00332F72">
              <w:rPr>
                <w:sz w:val="22"/>
                <w:szCs w:val="22"/>
              </w:rPr>
              <w:t>vplyv</w:t>
            </w:r>
          </w:p>
        </w:tc>
      </w:tr>
      <w:tr w:rsidR="00653B9A" w:rsidRPr="005C4B9C" w14:paraId="7DCBBB33" w14:textId="77777777" w:rsidTr="00363F28">
        <w:trPr>
          <w:trHeight w:val="424"/>
        </w:trPr>
        <w:tc>
          <w:tcPr>
            <w:tcW w:w="9371" w:type="dxa"/>
          </w:tcPr>
          <w:p w14:paraId="505909FA" w14:textId="77777777" w:rsidR="00653B9A" w:rsidRDefault="00653B9A" w:rsidP="00363F28">
            <w:pPr>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14:paraId="02E09BF5" w14:textId="77777777" w:rsidR="00653B9A" w:rsidRPr="005C4B9C" w:rsidRDefault="00653B9A" w:rsidP="00363F28">
            <w:pPr>
              <w:rPr>
                <w:i/>
                <w:iCs/>
              </w:rPr>
            </w:pPr>
            <w:r>
              <w:rPr>
                <w:i/>
                <w:iCs/>
              </w:rPr>
              <w:t>Špecifikujte skupinu občanov, ktorá bude návrhom ovplyvnená (napr. držitelia vodičských oprávnení). Aká je  veľkosť tejto skupiny?</w:t>
            </w:r>
          </w:p>
        </w:tc>
      </w:tr>
      <w:tr w:rsidR="00653B9A" w:rsidRPr="005C4B9C" w14:paraId="34D197F0" w14:textId="77777777" w:rsidTr="00363F28">
        <w:trPr>
          <w:trHeight w:val="852"/>
        </w:trPr>
        <w:tc>
          <w:tcPr>
            <w:tcW w:w="9371" w:type="dxa"/>
          </w:tcPr>
          <w:p w14:paraId="0BD99263" w14:textId="77777777" w:rsidR="00653B9A" w:rsidRPr="00332F72" w:rsidRDefault="00653B9A" w:rsidP="00363F28">
            <w:pPr>
              <w:rPr>
                <w:iCs/>
                <w:sz w:val="22"/>
                <w:szCs w:val="22"/>
              </w:rPr>
            </w:pPr>
            <w:r>
              <w:rPr>
                <w:iCs/>
                <w:sz w:val="22"/>
                <w:szCs w:val="22"/>
              </w:rPr>
              <w:t>Fyzická osoba (občan), ktorá využíva informácie vedené v centrálnom metainformačnom systéme verejnej správy a žiada o poskytnutie elektronickej služby prostredníctvom ústredného portálu verejnej správy.</w:t>
            </w:r>
          </w:p>
        </w:tc>
      </w:tr>
      <w:tr w:rsidR="00653B9A" w:rsidRPr="005C4B9C" w14:paraId="170B8F0A" w14:textId="77777777" w:rsidTr="00363F28">
        <w:trPr>
          <w:trHeight w:val="20"/>
        </w:trPr>
        <w:tc>
          <w:tcPr>
            <w:tcW w:w="9371" w:type="dxa"/>
          </w:tcPr>
          <w:p w14:paraId="67BE9FF6" w14:textId="77777777" w:rsidR="00653B9A" w:rsidRPr="005C4B9C" w:rsidRDefault="00653B9A" w:rsidP="00363F28">
            <w:pPr>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653B9A" w:rsidRPr="005C4B9C" w14:paraId="5E129F17" w14:textId="77777777" w:rsidTr="00363F28">
        <w:trPr>
          <w:trHeight w:val="20"/>
        </w:trPr>
        <w:tc>
          <w:tcPr>
            <w:tcW w:w="9371" w:type="dxa"/>
          </w:tcPr>
          <w:p w14:paraId="317B30F9" w14:textId="77777777" w:rsidR="00653B9A" w:rsidRPr="00B007AE" w:rsidRDefault="00653B9A" w:rsidP="00363F28">
            <w:pPr>
              <w:rPr>
                <w:i/>
                <w:iCs/>
              </w:rPr>
            </w:pPr>
            <w:r w:rsidRPr="00B007AE">
              <w:rPr>
                <w:i/>
                <w:iCs/>
              </w:rPr>
              <w:t xml:space="preserve">Nové povinnosti (identifikujte) </w:t>
            </w:r>
          </w:p>
        </w:tc>
      </w:tr>
      <w:tr w:rsidR="00653B9A" w:rsidRPr="005C4B9C" w14:paraId="1AA8478D" w14:textId="77777777" w:rsidTr="00363F28">
        <w:trPr>
          <w:trHeight w:val="681"/>
        </w:trPr>
        <w:tc>
          <w:tcPr>
            <w:tcW w:w="9371" w:type="dxa"/>
          </w:tcPr>
          <w:p w14:paraId="0B6E1F02" w14:textId="77777777" w:rsidR="00653B9A" w:rsidRPr="00332F72" w:rsidRDefault="00653B9A" w:rsidP="00363F28">
            <w:pPr>
              <w:rPr>
                <w:iCs/>
                <w:sz w:val="22"/>
                <w:szCs w:val="22"/>
              </w:rPr>
            </w:pPr>
            <w:r>
              <w:rPr>
                <w:iCs/>
                <w:sz w:val="22"/>
                <w:szCs w:val="22"/>
              </w:rPr>
              <w:t>Nie</w:t>
            </w:r>
          </w:p>
        </w:tc>
      </w:tr>
      <w:tr w:rsidR="00653B9A" w:rsidRPr="005C4B9C" w14:paraId="214EB25D" w14:textId="77777777" w:rsidTr="00363F28">
        <w:trPr>
          <w:trHeight w:val="20"/>
        </w:trPr>
        <w:tc>
          <w:tcPr>
            <w:tcW w:w="9371" w:type="dxa"/>
          </w:tcPr>
          <w:p w14:paraId="44CDAC10" w14:textId="77777777" w:rsidR="00653B9A" w:rsidRPr="00B007AE" w:rsidRDefault="00653B9A" w:rsidP="00363F28">
            <w:pPr>
              <w:rPr>
                <w:i/>
                <w:iCs/>
              </w:rPr>
            </w:pPr>
            <w:r w:rsidRPr="00B007AE">
              <w:rPr>
                <w:i/>
                <w:iCs/>
              </w:rPr>
              <w:t>Zanikajúce povinnosti (identifikujte)</w:t>
            </w:r>
          </w:p>
        </w:tc>
      </w:tr>
      <w:tr w:rsidR="00653B9A" w:rsidRPr="005C4B9C" w14:paraId="64FF84B8" w14:textId="77777777" w:rsidTr="00363F28">
        <w:trPr>
          <w:trHeight w:val="555"/>
        </w:trPr>
        <w:tc>
          <w:tcPr>
            <w:tcW w:w="9371" w:type="dxa"/>
          </w:tcPr>
          <w:p w14:paraId="631D5760" w14:textId="77777777" w:rsidR="00653B9A" w:rsidRDefault="00653B9A" w:rsidP="00363F28">
            <w:pPr>
              <w:rPr>
                <w:i/>
                <w:iCs/>
              </w:rPr>
            </w:pPr>
            <w:r w:rsidRPr="00332F72">
              <w:rPr>
                <w:sz w:val="22"/>
                <w:szCs w:val="22"/>
              </w:rPr>
              <w:t>Nie</w:t>
            </w:r>
          </w:p>
          <w:p w14:paraId="77ADE38D" w14:textId="77777777" w:rsidR="00653B9A" w:rsidRPr="00B1784E" w:rsidRDefault="00653B9A" w:rsidP="00363F28">
            <w:pPr>
              <w:rPr>
                <w:i/>
                <w:iCs/>
              </w:rPr>
            </w:pPr>
          </w:p>
        </w:tc>
      </w:tr>
      <w:tr w:rsidR="00653B9A" w:rsidRPr="005C4B9C" w14:paraId="6607EA36" w14:textId="77777777" w:rsidTr="00363F28">
        <w:trPr>
          <w:trHeight w:val="20"/>
        </w:trPr>
        <w:tc>
          <w:tcPr>
            <w:tcW w:w="9371" w:type="dxa"/>
            <w:shd w:val="clear" w:color="auto" w:fill="BFBFBF" w:themeFill="background1" w:themeFillShade="BF"/>
            <w:vAlign w:val="center"/>
          </w:tcPr>
          <w:p w14:paraId="39936148" w14:textId="77777777" w:rsidR="00653B9A" w:rsidRPr="00B1784E" w:rsidRDefault="00653B9A" w:rsidP="00363F28">
            <w:pPr>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653B9A" w:rsidRPr="005C4B9C" w14:paraId="77F36185" w14:textId="77777777" w:rsidTr="00363F28">
        <w:trPr>
          <w:trHeight w:val="390"/>
        </w:trPr>
        <w:tc>
          <w:tcPr>
            <w:tcW w:w="9371" w:type="dxa"/>
          </w:tcPr>
          <w:p w14:paraId="58B0F866" w14:textId="77777777" w:rsidR="00653B9A" w:rsidRDefault="00653B9A" w:rsidP="00363F28">
            <w:pPr>
              <w:rPr>
                <w:b/>
              </w:rPr>
            </w:pPr>
            <w:r>
              <w:rPr>
                <w:b/>
              </w:rPr>
              <w:t>7.3.1</w:t>
            </w:r>
            <w:r w:rsidRPr="00B1784E">
              <w:rPr>
                <w:b/>
              </w:rPr>
              <w:t xml:space="preserve"> Ktoré sú dotknuté subjekty </w:t>
            </w:r>
            <w:r>
              <w:rPr>
                <w:b/>
              </w:rPr>
              <w:t>verejnej správy</w:t>
            </w:r>
            <w:r w:rsidRPr="00B1784E">
              <w:rPr>
                <w:b/>
              </w:rPr>
              <w:t xml:space="preserve">? </w:t>
            </w:r>
          </w:p>
          <w:p w14:paraId="183658A5" w14:textId="77777777" w:rsidR="00653B9A" w:rsidRPr="00435B44" w:rsidRDefault="00653B9A" w:rsidP="00363F28">
            <w:pPr>
              <w:rPr>
                <w:i/>
                <w:iCs/>
              </w:rPr>
            </w:pPr>
            <w:r>
              <w:rPr>
                <w:i/>
              </w:rPr>
              <w:t xml:space="preserve">Ktoré subjekty verejnej správy sú účastné procesu poskytnutia služby? </w:t>
            </w:r>
          </w:p>
        </w:tc>
      </w:tr>
      <w:tr w:rsidR="00653B9A" w:rsidRPr="005C4B9C" w14:paraId="1156AAB9" w14:textId="77777777" w:rsidTr="00363F28">
        <w:trPr>
          <w:trHeight w:val="1088"/>
        </w:trPr>
        <w:tc>
          <w:tcPr>
            <w:tcW w:w="9371" w:type="dxa"/>
          </w:tcPr>
          <w:p w14:paraId="4EF11244" w14:textId="77777777" w:rsidR="00653B9A" w:rsidRPr="00332F72" w:rsidRDefault="00653B9A" w:rsidP="00363F28">
            <w:pPr>
              <w:rPr>
                <w:sz w:val="22"/>
                <w:szCs w:val="22"/>
              </w:rPr>
            </w:pPr>
            <w:r>
              <w:rPr>
                <w:sz w:val="22"/>
                <w:szCs w:val="22"/>
              </w:rPr>
              <w:t>Orgány riadenia, správcovia informačných systémov verejnej správy.</w:t>
            </w:r>
          </w:p>
        </w:tc>
      </w:tr>
      <w:tr w:rsidR="00653B9A" w:rsidRPr="005C4B9C" w14:paraId="6A993CA5" w14:textId="77777777" w:rsidTr="00363F28">
        <w:trPr>
          <w:trHeight w:val="20"/>
        </w:trPr>
        <w:tc>
          <w:tcPr>
            <w:tcW w:w="9371" w:type="dxa"/>
          </w:tcPr>
          <w:p w14:paraId="44E043E3" w14:textId="77777777" w:rsidR="00653B9A" w:rsidRPr="005C4B9C" w:rsidRDefault="00653B9A" w:rsidP="00363F28">
            <w:pPr>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653B9A" w:rsidRPr="005C4B9C" w14:paraId="26A08667" w14:textId="77777777" w:rsidTr="00363F28">
        <w:trPr>
          <w:trHeight w:val="20"/>
        </w:trPr>
        <w:tc>
          <w:tcPr>
            <w:tcW w:w="9371" w:type="dxa"/>
          </w:tcPr>
          <w:p w14:paraId="13B87656" w14:textId="77777777" w:rsidR="00653B9A" w:rsidRPr="00B007AE" w:rsidRDefault="00653B9A" w:rsidP="00363F28">
            <w:pPr>
              <w:rPr>
                <w:i/>
                <w:iCs/>
              </w:rPr>
            </w:pPr>
            <w:r w:rsidRPr="00B007AE">
              <w:rPr>
                <w:i/>
                <w:iCs/>
              </w:rPr>
              <w:t>Nové povinnosti (identifikujte)</w:t>
            </w:r>
          </w:p>
        </w:tc>
      </w:tr>
      <w:tr w:rsidR="00653B9A" w:rsidRPr="005C4B9C" w14:paraId="762DA789" w14:textId="77777777" w:rsidTr="00363F28">
        <w:trPr>
          <w:trHeight w:val="674"/>
        </w:trPr>
        <w:tc>
          <w:tcPr>
            <w:tcW w:w="9371" w:type="dxa"/>
          </w:tcPr>
          <w:p w14:paraId="7750E9FE" w14:textId="77777777" w:rsidR="00653B9A" w:rsidRPr="00332F72" w:rsidRDefault="00653B9A" w:rsidP="00363F28">
            <w:pPr>
              <w:rPr>
                <w:sz w:val="22"/>
                <w:szCs w:val="22"/>
              </w:rPr>
            </w:pPr>
            <w:r>
              <w:rPr>
                <w:sz w:val="22"/>
                <w:szCs w:val="22"/>
              </w:rPr>
              <w:t>Áno, ide o povinnosť predkladať zámer na vytvorenie a prevádzkovanie mobilnej aplikácie z dôvodu posúdenia jej opodstatnenosti.</w:t>
            </w:r>
          </w:p>
        </w:tc>
      </w:tr>
      <w:tr w:rsidR="00653B9A" w:rsidRPr="005C4B9C" w14:paraId="07930BF3" w14:textId="77777777" w:rsidTr="00363F28">
        <w:trPr>
          <w:trHeight w:val="20"/>
        </w:trPr>
        <w:tc>
          <w:tcPr>
            <w:tcW w:w="9371" w:type="dxa"/>
          </w:tcPr>
          <w:p w14:paraId="5081331F" w14:textId="77777777" w:rsidR="00653B9A" w:rsidRPr="00B007AE" w:rsidRDefault="00653B9A" w:rsidP="00363F28">
            <w:pPr>
              <w:rPr>
                <w:i/>
                <w:iCs/>
              </w:rPr>
            </w:pPr>
            <w:r w:rsidRPr="00B007AE">
              <w:rPr>
                <w:i/>
                <w:iCs/>
              </w:rPr>
              <w:t>Zanikajúce povinnosti (identifikujte)</w:t>
            </w:r>
          </w:p>
        </w:tc>
      </w:tr>
      <w:tr w:rsidR="00653B9A" w:rsidRPr="005C4B9C" w14:paraId="7C9FCCC2" w14:textId="77777777" w:rsidTr="00363F28">
        <w:trPr>
          <w:trHeight w:val="859"/>
        </w:trPr>
        <w:tc>
          <w:tcPr>
            <w:tcW w:w="9371" w:type="dxa"/>
          </w:tcPr>
          <w:p w14:paraId="2F3E1B08" w14:textId="77777777" w:rsidR="00653B9A" w:rsidRPr="006D4540" w:rsidRDefault="00653B9A" w:rsidP="00363F28">
            <w:pPr>
              <w:rPr>
                <w:iCs/>
              </w:rPr>
            </w:pPr>
            <w:r>
              <w:rPr>
                <w:iCs/>
              </w:rPr>
              <w:t>Nie</w:t>
            </w:r>
          </w:p>
        </w:tc>
      </w:tr>
    </w:tbl>
    <w:p w14:paraId="197F19ED" w14:textId="4BDD0E4D" w:rsidR="00653B9A" w:rsidRDefault="00653B9A" w:rsidP="00653B9A">
      <w:pPr>
        <w:autoSpaceDE w:val="0"/>
        <w:autoSpaceDN w:val="0"/>
        <w:contextualSpacing/>
        <w:rPr>
          <w:rFonts w:eastAsia="Calibri"/>
          <w:bCs/>
          <w:color w:val="000000"/>
        </w:rPr>
      </w:pPr>
    </w:p>
    <w:p w14:paraId="7A7A83EC" w14:textId="500DD0E0" w:rsidR="00653B9A" w:rsidRDefault="00653B9A" w:rsidP="00653B9A">
      <w:pPr>
        <w:autoSpaceDE w:val="0"/>
        <w:autoSpaceDN w:val="0"/>
        <w:contextualSpacing/>
        <w:rPr>
          <w:rFonts w:eastAsia="Calibri"/>
          <w:bCs/>
          <w:color w:val="000000"/>
        </w:rPr>
      </w:pPr>
    </w:p>
    <w:p w14:paraId="3D12EF87" w14:textId="736B1685" w:rsidR="00653B9A" w:rsidRDefault="00653B9A" w:rsidP="00653B9A">
      <w:pPr>
        <w:autoSpaceDE w:val="0"/>
        <w:autoSpaceDN w:val="0"/>
        <w:contextualSpacing/>
        <w:rPr>
          <w:rFonts w:eastAsia="Calibri"/>
          <w:bCs/>
          <w:color w:val="000000"/>
        </w:rPr>
      </w:pPr>
    </w:p>
    <w:p w14:paraId="6E4BD9A2" w14:textId="2B3A18F0" w:rsidR="00653B9A" w:rsidRDefault="00653B9A" w:rsidP="00653B9A">
      <w:pPr>
        <w:autoSpaceDE w:val="0"/>
        <w:autoSpaceDN w:val="0"/>
        <w:contextualSpacing/>
        <w:rPr>
          <w:rFonts w:eastAsia="Calibri"/>
          <w:bCs/>
          <w:color w:val="000000"/>
        </w:rPr>
      </w:pPr>
    </w:p>
    <w:p w14:paraId="6EDB8354" w14:textId="4DA75124" w:rsidR="00653B9A" w:rsidRDefault="00653B9A" w:rsidP="00653B9A">
      <w:pPr>
        <w:autoSpaceDE w:val="0"/>
        <w:autoSpaceDN w:val="0"/>
        <w:contextualSpacing/>
        <w:rPr>
          <w:rFonts w:eastAsia="Calibri"/>
          <w:bCs/>
          <w:color w:val="000000"/>
        </w:rPr>
      </w:pPr>
    </w:p>
    <w:p w14:paraId="26E0C206" w14:textId="22819B02" w:rsidR="00653B9A" w:rsidRDefault="00653B9A" w:rsidP="00653B9A">
      <w:pPr>
        <w:autoSpaceDE w:val="0"/>
        <w:autoSpaceDN w:val="0"/>
        <w:contextualSpacing/>
        <w:rPr>
          <w:rFonts w:eastAsia="Calibri"/>
          <w:bCs/>
          <w:color w:val="000000"/>
        </w:rPr>
      </w:pPr>
    </w:p>
    <w:p w14:paraId="61246468" w14:textId="76FC10FF" w:rsidR="00653B9A" w:rsidRDefault="00653B9A" w:rsidP="00653B9A">
      <w:pPr>
        <w:autoSpaceDE w:val="0"/>
        <w:autoSpaceDN w:val="0"/>
        <w:contextualSpacing/>
        <w:rPr>
          <w:rFonts w:eastAsia="Calibri"/>
          <w:bCs/>
          <w:color w:val="000000"/>
        </w:rPr>
      </w:pPr>
    </w:p>
    <w:p w14:paraId="3F24F9A7" w14:textId="60429C00" w:rsidR="00653B9A" w:rsidRDefault="00653B9A" w:rsidP="00653B9A">
      <w:pPr>
        <w:autoSpaceDE w:val="0"/>
        <w:autoSpaceDN w:val="0"/>
        <w:contextualSpacing/>
        <w:rPr>
          <w:rFonts w:eastAsia="Calibri"/>
          <w:bCs/>
          <w:color w:val="000000"/>
        </w:rPr>
      </w:pPr>
    </w:p>
    <w:p w14:paraId="7667A47B" w14:textId="2FE6D39B" w:rsidR="00653B9A" w:rsidRDefault="00653B9A" w:rsidP="00653B9A">
      <w:pPr>
        <w:autoSpaceDE w:val="0"/>
        <w:autoSpaceDN w:val="0"/>
        <w:contextualSpacing/>
        <w:rPr>
          <w:rFonts w:eastAsia="Calibri"/>
          <w:bCs/>
          <w:color w:val="000000"/>
        </w:rPr>
      </w:pPr>
    </w:p>
    <w:p w14:paraId="45509F93" w14:textId="0D9548BA" w:rsidR="00653B9A" w:rsidRDefault="00653B9A" w:rsidP="00653B9A">
      <w:pPr>
        <w:autoSpaceDE w:val="0"/>
        <w:autoSpaceDN w:val="0"/>
        <w:contextualSpacing/>
        <w:rPr>
          <w:rFonts w:eastAsia="Calibri"/>
          <w:bCs/>
          <w:color w:val="000000"/>
        </w:rPr>
      </w:pPr>
    </w:p>
    <w:p w14:paraId="3313CAEF" w14:textId="35C7ADD2" w:rsidR="00653B9A" w:rsidRDefault="00653B9A" w:rsidP="00653B9A">
      <w:pPr>
        <w:autoSpaceDE w:val="0"/>
        <w:autoSpaceDN w:val="0"/>
        <w:contextualSpacing/>
        <w:rPr>
          <w:rFonts w:eastAsia="Calibri"/>
          <w:bCs/>
          <w:color w:val="000000"/>
        </w:rPr>
      </w:pPr>
    </w:p>
    <w:p w14:paraId="486431B9" w14:textId="3C426D17" w:rsidR="00653B9A" w:rsidRDefault="00653B9A" w:rsidP="00653B9A">
      <w:pPr>
        <w:autoSpaceDE w:val="0"/>
        <w:autoSpaceDN w:val="0"/>
        <w:contextualSpacing/>
        <w:rPr>
          <w:rFonts w:eastAsia="Calibri"/>
          <w:bCs/>
          <w:color w:val="000000"/>
        </w:rPr>
      </w:pPr>
    </w:p>
    <w:p w14:paraId="5B5FD41C" w14:textId="5A5A5758" w:rsidR="00653B9A" w:rsidRDefault="00653B9A" w:rsidP="00653B9A">
      <w:pPr>
        <w:autoSpaceDE w:val="0"/>
        <w:autoSpaceDN w:val="0"/>
        <w:contextualSpacing/>
        <w:rPr>
          <w:rFonts w:eastAsia="Calibri"/>
          <w:bCs/>
          <w:color w:val="000000"/>
        </w:rPr>
      </w:pPr>
    </w:p>
    <w:p w14:paraId="56D5BA63" w14:textId="3192660B" w:rsidR="00653B9A" w:rsidRDefault="00653B9A" w:rsidP="00653B9A">
      <w:pPr>
        <w:autoSpaceDE w:val="0"/>
        <w:autoSpaceDN w:val="0"/>
        <w:contextualSpacing/>
        <w:rPr>
          <w:rFonts w:eastAsia="Calibri"/>
          <w:bCs/>
          <w:color w:val="000000"/>
        </w:rPr>
      </w:pPr>
    </w:p>
    <w:p w14:paraId="58616EF7" w14:textId="67751D3D" w:rsidR="00653B9A" w:rsidRDefault="00653B9A" w:rsidP="00653B9A">
      <w:pPr>
        <w:autoSpaceDE w:val="0"/>
        <w:autoSpaceDN w:val="0"/>
        <w:contextualSpacing/>
        <w:rPr>
          <w:rFonts w:eastAsia="Calibri"/>
          <w:bCs/>
          <w:color w:val="000000"/>
        </w:rPr>
      </w:pPr>
    </w:p>
    <w:p w14:paraId="12EF9863" w14:textId="187B8DA5" w:rsidR="00653B9A" w:rsidRDefault="00653B9A" w:rsidP="00653B9A">
      <w:pPr>
        <w:autoSpaceDE w:val="0"/>
        <w:autoSpaceDN w:val="0"/>
        <w:contextualSpacing/>
        <w:rPr>
          <w:rFonts w:eastAsia="Calibri"/>
          <w:bCs/>
          <w:color w:val="000000"/>
        </w:rPr>
      </w:pPr>
    </w:p>
    <w:p w14:paraId="56F5B34E" w14:textId="5873F691" w:rsidR="00653B9A" w:rsidRDefault="00653B9A" w:rsidP="00653B9A">
      <w:pPr>
        <w:autoSpaceDE w:val="0"/>
        <w:autoSpaceDN w:val="0"/>
        <w:contextualSpacing/>
        <w:rPr>
          <w:rFonts w:eastAsia="Calibri"/>
          <w:bCs/>
          <w:color w:val="000000"/>
        </w:rPr>
      </w:pPr>
    </w:p>
    <w:p w14:paraId="73C6EC85" w14:textId="117FC7B4" w:rsidR="00653B9A" w:rsidRDefault="00653B9A" w:rsidP="00653B9A">
      <w:pPr>
        <w:autoSpaceDE w:val="0"/>
        <w:autoSpaceDN w:val="0"/>
        <w:contextualSpacing/>
        <w:rPr>
          <w:rFonts w:eastAsia="Calibri"/>
          <w:bCs/>
          <w:color w:val="000000"/>
        </w:rPr>
      </w:pPr>
    </w:p>
    <w:p w14:paraId="6E1CEEB9" w14:textId="3FFF4A33" w:rsidR="00653B9A" w:rsidRDefault="00653B9A" w:rsidP="00653B9A">
      <w:pPr>
        <w:autoSpaceDE w:val="0"/>
        <w:autoSpaceDN w:val="0"/>
        <w:contextualSpacing/>
        <w:rPr>
          <w:rFonts w:eastAsia="Calibri"/>
          <w:bCs/>
          <w:color w:val="000000"/>
        </w:rPr>
      </w:pPr>
    </w:p>
    <w:p w14:paraId="3FCE59EC" w14:textId="0A559C00" w:rsidR="00653B9A" w:rsidRDefault="00653B9A" w:rsidP="00653B9A">
      <w:pPr>
        <w:autoSpaceDE w:val="0"/>
        <w:autoSpaceDN w:val="0"/>
        <w:contextualSpacing/>
        <w:rPr>
          <w:rFonts w:eastAsia="Calibri"/>
          <w:bCs/>
          <w:color w:val="000000"/>
        </w:rPr>
      </w:pPr>
    </w:p>
    <w:p w14:paraId="114E73DC" w14:textId="51EFA022" w:rsidR="00653B9A" w:rsidRDefault="00653B9A" w:rsidP="00653B9A">
      <w:pPr>
        <w:autoSpaceDE w:val="0"/>
        <w:autoSpaceDN w:val="0"/>
        <w:contextualSpacing/>
        <w:rPr>
          <w:rFonts w:eastAsia="Calibri"/>
          <w:bCs/>
          <w:color w:val="000000"/>
        </w:rPr>
      </w:pPr>
    </w:p>
    <w:p w14:paraId="70DF2BAA" w14:textId="7C82233C" w:rsidR="00653B9A" w:rsidRDefault="00653B9A" w:rsidP="00653B9A">
      <w:pPr>
        <w:autoSpaceDE w:val="0"/>
        <w:autoSpaceDN w:val="0"/>
        <w:contextualSpacing/>
        <w:rPr>
          <w:rFonts w:eastAsia="Calibri"/>
          <w:bCs/>
          <w:color w:val="000000"/>
        </w:rPr>
      </w:pPr>
    </w:p>
    <w:p w14:paraId="278EBCF2" w14:textId="143E63FD" w:rsidR="00653B9A" w:rsidRDefault="00653B9A" w:rsidP="00653B9A">
      <w:pPr>
        <w:autoSpaceDE w:val="0"/>
        <w:autoSpaceDN w:val="0"/>
        <w:contextualSpacing/>
        <w:rPr>
          <w:rFonts w:eastAsia="Calibri"/>
          <w:bCs/>
          <w:color w:val="000000"/>
        </w:rPr>
      </w:pPr>
    </w:p>
    <w:p w14:paraId="388E9117" w14:textId="355EB09D" w:rsidR="00653B9A" w:rsidRDefault="00653B9A" w:rsidP="00653B9A">
      <w:pPr>
        <w:autoSpaceDE w:val="0"/>
        <w:autoSpaceDN w:val="0"/>
        <w:contextualSpacing/>
        <w:rPr>
          <w:rFonts w:eastAsia="Calibri"/>
          <w:bCs/>
          <w:color w:val="000000"/>
        </w:rPr>
      </w:pPr>
    </w:p>
    <w:p w14:paraId="0CAA444A" w14:textId="233B2DFD" w:rsidR="00653B9A" w:rsidRDefault="00653B9A" w:rsidP="00653B9A">
      <w:pPr>
        <w:autoSpaceDE w:val="0"/>
        <w:autoSpaceDN w:val="0"/>
        <w:contextualSpacing/>
        <w:rPr>
          <w:rFonts w:eastAsia="Calibri"/>
          <w:bCs/>
          <w:color w:val="000000"/>
        </w:rPr>
      </w:pPr>
    </w:p>
    <w:p w14:paraId="305FFF74" w14:textId="07354C39" w:rsidR="00653B9A" w:rsidRDefault="00653B9A" w:rsidP="00653B9A">
      <w:pPr>
        <w:autoSpaceDE w:val="0"/>
        <w:autoSpaceDN w:val="0"/>
        <w:contextualSpacing/>
        <w:rPr>
          <w:rFonts w:eastAsia="Calibri"/>
          <w:bCs/>
          <w:color w:val="000000"/>
        </w:rPr>
      </w:pPr>
    </w:p>
    <w:p w14:paraId="22B9D5EA" w14:textId="03025AF7" w:rsidR="00653B9A" w:rsidRDefault="00653B9A" w:rsidP="00653B9A">
      <w:pPr>
        <w:autoSpaceDE w:val="0"/>
        <w:autoSpaceDN w:val="0"/>
        <w:contextualSpacing/>
        <w:rPr>
          <w:rFonts w:eastAsia="Calibri"/>
          <w:bCs/>
          <w:color w:val="000000"/>
        </w:rPr>
      </w:pPr>
    </w:p>
    <w:p w14:paraId="0C68641D" w14:textId="7C44802B" w:rsidR="00653B9A" w:rsidRDefault="00653B9A" w:rsidP="00653B9A">
      <w:pPr>
        <w:autoSpaceDE w:val="0"/>
        <w:autoSpaceDN w:val="0"/>
        <w:contextualSpacing/>
        <w:rPr>
          <w:rFonts w:eastAsia="Calibri"/>
          <w:bCs/>
          <w:color w:val="000000"/>
        </w:rPr>
      </w:pPr>
    </w:p>
    <w:p w14:paraId="6AF5DC04" w14:textId="071481AA" w:rsidR="00653B9A" w:rsidRDefault="00653B9A" w:rsidP="00653B9A">
      <w:pPr>
        <w:autoSpaceDE w:val="0"/>
        <w:autoSpaceDN w:val="0"/>
        <w:contextualSpacing/>
        <w:rPr>
          <w:rFonts w:eastAsia="Calibri"/>
          <w:bCs/>
          <w:color w:val="000000"/>
        </w:rPr>
      </w:pPr>
    </w:p>
    <w:p w14:paraId="38BF1A58" w14:textId="3672AA5E" w:rsidR="00653B9A" w:rsidRDefault="00653B9A" w:rsidP="00653B9A">
      <w:pPr>
        <w:autoSpaceDE w:val="0"/>
        <w:autoSpaceDN w:val="0"/>
        <w:contextualSpacing/>
        <w:rPr>
          <w:rFonts w:eastAsia="Calibri"/>
          <w:bCs/>
          <w:color w:val="000000"/>
        </w:rPr>
      </w:pPr>
    </w:p>
    <w:p w14:paraId="67FEAE04" w14:textId="39EEC2CC" w:rsidR="00653B9A" w:rsidRDefault="00653B9A" w:rsidP="00653B9A">
      <w:pPr>
        <w:autoSpaceDE w:val="0"/>
        <w:autoSpaceDN w:val="0"/>
        <w:contextualSpacing/>
        <w:rPr>
          <w:rFonts w:eastAsia="Calibri"/>
          <w:bCs/>
          <w:color w:val="000000"/>
        </w:rPr>
      </w:pPr>
    </w:p>
    <w:p w14:paraId="17B3D2C5" w14:textId="774F5D6F" w:rsidR="00653B9A" w:rsidRDefault="00653B9A" w:rsidP="00653B9A">
      <w:pPr>
        <w:autoSpaceDE w:val="0"/>
        <w:autoSpaceDN w:val="0"/>
        <w:contextualSpacing/>
        <w:rPr>
          <w:rFonts w:eastAsia="Calibri"/>
          <w:bCs/>
          <w:color w:val="000000"/>
        </w:rPr>
      </w:pPr>
    </w:p>
    <w:p w14:paraId="3AC0709F" w14:textId="12C184EB" w:rsidR="00653B9A" w:rsidRDefault="00653B9A" w:rsidP="00653B9A">
      <w:pPr>
        <w:autoSpaceDE w:val="0"/>
        <w:autoSpaceDN w:val="0"/>
        <w:contextualSpacing/>
        <w:rPr>
          <w:rFonts w:eastAsia="Calibri"/>
          <w:bCs/>
          <w:color w:val="000000"/>
        </w:rPr>
      </w:pPr>
    </w:p>
    <w:p w14:paraId="2514EE36" w14:textId="5AA65767" w:rsidR="00653B9A" w:rsidRDefault="00653B9A" w:rsidP="00653B9A">
      <w:pPr>
        <w:autoSpaceDE w:val="0"/>
        <w:autoSpaceDN w:val="0"/>
        <w:contextualSpacing/>
        <w:rPr>
          <w:rFonts w:eastAsia="Calibri"/>
          <w:bCs/>
          <w:color w:val="000000"/>
        </w:rPr>
      </w:pPr>
    </w:p>
    <w:p w14:paraId="3A740381" w14:textId="1E78E572" w:rsidR="00653B9A" w:rsidRDefault="00653B9A" w:rsidP="00653B9A">
      <w:pPr>
        <w:autoSpaceDE w:val="0"/>
        <w:autoSpaceDN w:val="0"/>
        <w:contextualSpacing/>
        <w:rPr>
          <w:rFonts w:eastAsia="Calibri"/>
          <w:bCs/>
          <w:color w:val="000000"/>
        </w:rPr>
      </w:pPr>
    </w:p>
    <w:p w14:paraId="1F070775" w14:textId="1EDBEE44" w:rsidR="00653B9A" w:rsidRDefault="00653B9A" w:rsidP="00653B9A">
      <w:pPr>
        <w:autoSpaceDE w:val="0"/>
        <w:autoSpaceDN w:val="0"/>
        <w:contextualSpacing/>
        <w:rPr>
          <w:rFonts w:eastAsia="Calibri"/>
          <w:bCs/>
          <w:color w:val="000000"/>
        </w:rPr>
      </w:pPr>
    </w:p>
    <w:p w14:paraId="765061BE" w14:textId="5F18AE6C" w:rsidR="00653B9A" w:rsidRDefault="00653B9A" w:rsidP="00653B9A">
      <w:pPr>
        <w:autoSpaceDE w:val="0"/>
        <w:autoSpaceDN w:val="0"/>
        <w:contextualSpacing/>
        <w:rPr>
          <w:rFonts w:eastAsia="Calibri"/>
          <w:bCs/>
          <w:color w:val="000000"/>
        </w:rPr>
      </w:pPr>
    </w:p>
    <w:p w14:paraId="50E85F24" w14:textId="7D96D638" w:rsidR="001C13FB" w:rsidRDefault="001C13FB" w:rsidP="00653B9A">
      <w:pPr>
        <w:autoSpaceDE w:val="0"/>
        <w:autoSpaceDN w:val="0"/>
        <w:contextualSpacing/>
        <w:rPr>
          <w:rFonts w:eastAsia="Calibri"/>
          <w:bCs/>
          <w:color w:val="000000"/>
        </w:rPr>
      </w:pPr>
    </w:p>
    <w:p w14:paraId="1EA522FF" w14:textId="403C65D5" w:rsidR="001C13FB" w:rsidRDefault="001C13FB" w:rsidP="00653B9A">
      <w:pPr>
        <w:autoSpaceDE w:val="0"/>
        <w:autoSpaceDN w:val="0"/>
        <w:contextualSpacing/>
        <w:rPr>
          <w:rFonts w:eastAsia="Calibri"/>
          <w:bCs/>
          <w:color w:val="000000"/>
        </w:rPr>
      </w:pPr>
    </w:p>
    <w:p w14:paraId="681B6402" w14:textId="425902A0" w:rsidR="001C13FB" w:rsidRDefault="001C13FB" w:rsidP="00653B9A">
      <w:pPr>
        <w:autoSpaceDE w:val="0"/>
        <w:autoSpaceDN w:val="0"/>
        <w:contextualSpacing/>
        <w:rPr>
          <w:rFonts w:eastAsia="Calibri"/>
          <w:bCs/>
          <w:color w:val="000000"/>
        </w:rPr>
      </w:pPr>
    </w:p>
    <w:p w14:paraId="6BC699F3" w14:textId="77777777" w:rsidR="001C13FB" w:rsidRDefault="001C13FB" w:rsidP="00653B9A">
      <w:pPr>
        <w:autoSpaceDE w:val="0"/>
        <w:autoSpaceDN w:val="0"/>
        <w:contextualSpacing/>
        <w:rPr>
          <w:rFonts w:eastAsia="Calibri"/>
          <w:bCs/>
          <w:color w:val="000000"/>
        </w:rPr>
      </w:pPr>
    </w:p>
    <w:p w14:paraId="44B1D269" w14:textId="486D6FF7" w:rsidR="00653B9A" w:rsidRDefault="00653B9A" w:rsidP="00653B9A">
      <w:pPr>
        <w:autoSpaceDE w:val="0"/>
        <w:autoSpaceDN w:val="0"/>
        <w:contextualSpacing/>
        <w:rPr>
          <w:rFonts w:eastAsia="Calibri"/>
          <w:bCs/>
          <w:color w:val="000000"/>
        </w:rPr>
      </w:pPr>
    </w:p>
    <w:p w14:paraId="296D4554" w14:textId="652A069E" w:rsidR="00653B9A" w:rsidRDefault="00653B9A" w:rsidP="00653B9A">
      <w:pPr>
        <w:autoSpaceDE w:val="0"/>
        <w:autoSpaceDN w:val="0"/>
        <w:contextualSpacing/>
        <w:rPr>
          <w:rFonts w:eastAsia="Calibri"/>
          <w:bCs/>
          <w:color w:val="000000"/>
        </w:rPr>
      </w:pPr>
    </w:p>
    <w:p w14:paraId="1FAAB189" w14:textId="77777777" w:rsidR="00653B9A" w:rsidRDefault="00653B9A" w:rsidP="00653B9A">
      <w:pPr>
        <w:pStyle w:val="Standard"/>
        <w:suppressAutoHyphens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DOLOŽKA ZLUČITEĽNOSTI</w:t>
      </w:r>
    </w:p>
    <w:p w14:paraId="7269A683" w14:textId="77777777" w:rsidR="00653B9A" w:rsidRDefault="00653B9A" w:rsidP="00653B9A">
      <w:pPr>
        <w:pStyle w:val="Standard"/>
        <w:suppressAutoHyphens w:val="0"/>
        <w:spacing w:after="0" w:line="240" w:lineRule="auto"/>
        <w:jc w:val="center"/>
        <w:rPr>
          <w:rFonts w:ascii="Times New Roman" w:hAnsi="Times New Roman" w:cs="Times New Roman"/>
          <w:sz w:val="24"/>
          <w:szCs w:val="24"/>
          <w:lang w:eastAsia="en-US"/>
        </w:rPr>
      </w:pPr>
      <w:r>
        <w:rPr>
          <w:rFonts w:ascii="Times New Roman" w:hAnsi="Times New Roman" w:cs="Times New Roman"/>
          <w:b/>
          <w:sz w:val="24"/>
          <w:szCs w:val="24"/>
          <w:lang w:eastAsia="en-US"/>
        </w:rPr>
        <w:t xml:space="preserve">k návrhu zákona </w:t>
      </w:r>
      <w:r w:rsidRPr="00225321">
        <w:rPr>
          <w:rFonts w:ascii="Times New Roman" w:hAnsi="Times New Roman" w:cs="Times New Roman"/>
          <w:b/>
          <w:sz w:val="24"/>
          <w:szCs w:val="24"/>
          <w:lang w:eastAsia="en-US"/>
        </w:rPr>
        <w:t>s právom Európskej únie</w:t>
      </w:r>
      <w:r w:rsidRPr="00225321">
        <w:rPr>
          <w:rFonts w:ascii="Times New Roman" w:hAnsi="Times New Roman" w:cs="Times New Roman"/>
          <w:b/>
          <w:sz w:val="24"/>
          <w:szCs w:val="24"/>
          <w:lang w:eastAsia="en-US"/>
        </w:rPr>
        <w:cr/>
      </w:r>
    </w:p>
    <w:p w14:paraId="5A25F64F" w14:textId="77777777" w:rsidR="00653B9A" w:rsidRPr="00A63E92" w:rsidRDefault="00653B9A" w:rsidP="00653B9A">
      <w:pPr>
        <w:pStyle w:val="Standard"/>
        <w:suppressAutoHyphens w:val="0"/>
        <w:spacing w:after="0" w:line="240" w:lineRule="auto"/>
        <w:jc w:val="both"/>
        <w:rPr>
          <w:rFonts w:ascii="Times New Roman" w:hAnsi="Times New Roman" w:cs="Times New Roman"/>
          <w:sz w:val="24"/>
          <w:szCs w:val="24"/>
          <w:lang w:eastAsia="en-US"/>
        </w:rPr>
      </w:pPr>
    </w:p>
    <w:p w14:paraId="7D672550" w14:textId="77777777" w:rsidR="00653B9A" w:rsidRPr="00A63E92" w:rsidRDefault="00653B9A" w:rsidP="00653B9A">
      <w:pPr>
        <w:pStyle w:val="Standard"/>
        <w:suppressAutoHyphens w:val="0"/>
        <w:spacing w:after="0" w:line="240" w:lineRule="auto"/>
        <w:jc w:val="both"/>
        <w:rPr>
          <w:rFonts w:ascii="Times New Roman" w:hAnsi="Times New Roman" w:cs="Times New Roman"/>
          <w:sz w:val="24"/>
          <w:szCs w:val="24"/>
          <w:lang w:eastAsia="en-US"/>
        </w:rPr>
      </w:pPr>
      <w:r w:rsidRPr="00A63E92">
        <w:rPr>
          <w:rFonts w:ascii="Times New Roman" w:hAnsi="Times New Roman" w:cs="Times New Roman"/>
          <w:b/>
          <w:sz w:val="24"/>
          <w:szCs w:val="24"/>
          <w:lang w:eastAsia="en-US"/>
        </w:rPr>
        <w:t>1.</w:t>
      </w:r>
      <w:r>
        <w:rPr>
          <w:rFonts w:ascii="Times New Roman" w:hAnsi="Times New Roman" w:cs="Times New Roman"/>
          <w:b/>
          <w:sz w:val="24"/>
          <w:szCs w:val="24"/>
          <w:lang w:eastAsia="en-US"/>
        </w:rPr>
        <w:t xml:space="preserve"> Navrhovateľ</w:t>
      </w:r>
      <w:r w:rsidRPr="00A63E92">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zákona</w:t>
      </w:r>
      <w:r w:rsidRPr="00A63E92">
        <w:rPr>
          <w:rFonts w:ascii="Times New Roman" w:hAnsi="Times New Roman" w:cs="Times New Roman"/>
          <w:b/>
          <w:sz w:val="24"/>
          <w:szCs w:val="24"/>
          <w:lang w:eastAsia="en-US"/>
        </w:rPr>
        <w:t>:</w:t>
      </w:r>
      <w:r w:rsidRPr="00A63E92">
        <w:rPr>
          <w:rFonts w:ascii="Times New Roman" w:hAnsi="Times New Roman" w:cs="Times New Roman"/>
          <w:sz w:val="24"/>
          <w:szCs w:val="24"/>
          <w:lang w:eastAsia="en-US"/>
        </w:rPr>
        <w:t xml:space="preserve"> </w:t>
      </w:r>
      <w:r w:rsidRPr="00E706F1">
        <w:rPr>
          <w:rFonts w:ascii="Times New Roman" w:hAnsi="Times New Roman" w:cs="Times New Roman"/>
          <w:i/>
          <w:sz w:val="24"/>
          <w:szCs w:val="24"/>
          <w:lang w:eastAsia="en-US"/>
        </w:rPr>
        <w:t>Ministerstvo investícií, regionálneho rozvoja a informatizácie Slovenskej republiky</w:t>
      </w:r>
    </w:p>
    <w:p w14:paraId="790F6E7D" w14:textId="77777777" w:rsidR="00653B9A" w:rsidRPr="00A63E92" w:rsidRDefault="00653B9A" w:rsidP="00653B9A">
      <w:pPr>
        <w:pStyle w:val="Standard"/>
        <w:suppressAutoHyphens w:val="0"/>
        <w:spacing w:after="0" w:line="240" w:lineRule="auto"/>
        <w:jc w:val="both"/>
        <w:rPr>
          <w:rFonts w:ascii="Times New Roman" w:hAnsi="Times New Roman" w:cs="Times New Roman"/>
          <w:sz w:val="24"/>
          <w:szCs w:val="24"/>
        </w:rPr>
      </w:pPr>
    </w:p>
    <w:p w14:paraId="600E9823" w14:textId="77777777" w:rsidR="00653B9A" w:rsidRDefault="00653B9A" w:rsidP="00653B9A">
      <w:pPr>
        <w:pStyle w:val="Standard"/>
        <w:spacing w:after="0" w:line="240" w:lineRule="auto"/>
        <w:jc w:val="both"/>
        <w:rPr>
          <w:rFonts w:ascii="Times New Roman" w:hAnsi="Times New Roman" w:cs="Times New Roman"/>
          <w:sz w:val="24"/>
          <w:szCs w:val="24"/>
          <w:lang w:eastAsia="en-US"/>
        </w:rPr>
      </w:pPr>
      <w:r w:rsidRPr="00A63E92">
        <w:rPr>
          <w:rFonts w:ascii="Times New Roman" w:hAnsi="Times New Roman" w:cs="Times New Roman"/>
          <w:b/>
          <w:sz w:val="24"/>
          <w:szCs w:val="24"/>
          <w:lang w:eastAsia="en-US"/>
        </w:rPr>
        <w:t>2.</w:t>
      </w:r>
      <w:r>
        <w:rPr>
          <w:rFonts w:ascii="Times New Roman" w:hAnsi="Times New Roman" w:cs="Times New Roman"/>
          <w:b/>
          <w:sz w:val="24"/>
          <w:szCs w:val="24"/>
          <w:lang w:eastAsia="en-US"/>
        </w:rPr>
        <w:t xml:space="preserve"> </w:t>
      </w:r>
      <w:r w:rsidRPr="00A63E92">
        <w:rPr>
          <w:rFonts w:ascii="Times New Roman" w:hAnsi="Times New Roman" w:cs="Times New Roman"/>
          <w:b/>
          <w:sz w:val="24"/>
          <w:szCs w:val="24"/>
          <w:lang w:eastAsia="en-US"/>
        </w:rPr>
        <w:t xml:space="preserve">Názov návrhu </w:t>
      </w:r>
      <w:r>
        <w:rPr>
          <w:rFonts w:ascii="Times New Roman" w:hAnsi="Times New Roman" w:cs="Times New Roman"/>
          <w:b/>
          <w:sz w:val="24"/>
          <w:szCs w:val="24"/>
          <w:lang w:eastAsia="en-US"/>
        </w:rPr>
        <w:t>zákona</w:t>
      </w:r>
      <w:r w:rsidRPr="00A63E92">
        <w:rPr>
          <w:rFonts w:ascii="Times New Roman" w:hAnsi="Times New Roman" w:cs="Times New Roman"/>
          <w:b/>
          <w:sz w:val="24"/>
          <w:szCs w:val="24"/>
          <w:lang w:eastAsia="en-US"/>
        </w:rPr>
        <w:t>:</w:t>
      </w:r>
      <w:r w:rsidRPr="00A63E92">
        <w:rPr>
          <w:rFonts w:ascii="Times New Roman" w:hAnsi="Times New Roman" w:cs="Times New Roman"/>
          <w:sz w:val="24"/>
          <w:szCs w:val="24"/>
          <w:lang w:eastAsia="en-US"/>
        </w:rPr>
        <w:t xml:space="preserve"> </w:t>
      </w:r>
      <w:r w:rsidRPr="00E706F1">
        <w:rPr>
          <w:rFonts w:ascii="Times New Roman" w:hAnsi="Times New Roman" w:cs="Times New Roman"/>
          <w:i/>
          <w:sz w:val="24"/>
          <w:szCs w:val="24"/>
          <w:lang w:eastAsia="en-US"/>
        </w:rPr>
        <w:t xml:space="preserve">Návrh zákona, ktorým sa mení a dopĺňa zákon č. 95/2019 Z. z. o informačných technológiách vo verejnej správe a o zmene a doplnení niektorých zákonov v znení neskorších predpisov a ktorým sa </w:t>
      </w:r>
      <w:r>
        <w:rPr>
          <w:rFonts w:ascii="Times New Roman" w:hAnsi="Times New Roman" w:cs="Times New Roman"/>
          <w:i/>
          <w:sz w:val="24"/>
          <w:szCs w:val="24"/>
          <w:lang w:eastAsia="en-US"/>
        </w:rPr>
        <w:t xml:space="preserve">menia a </w:t>
      </w:r>
      <w:r w:rsidRPr="00E706F1">
        <w:rPr>
          <w:rFonts w:ascii="Times New Roman" w:hAnsi="Times New Roman" w:cs="Times New Roman"/>
          <w:i/>
          <w:sz w:val="24"/>
          <w:szCs w:val="24"/>
          <w:lang w:eastAsia="en-US"/>
        </w:rPr>
        <w:t>dopĺňajú niektoré zákony</w:t>
      </w:r>
    </w:p>
    <w:p w14:paraId="2AEF51C1" w14:textId="77777777" w:rsidR="00653B9A" w:rsidRPr="00A63E92" w:rsidRDefault="00653B9A" w:rsidP="00653B9A">
      <w:pPr>
        <w:pStyle w:val="Standard"/>
        <w:spacing w:after="0" w:line="240" w:lineRule="auto"/>
        <w:jc w:val="both"/>
        <w:rPr>
          <w:rFonts w:ascii="Times New Roman" w:hAnsi="Times New Roman" w:cs="Times New Roman"/>
          <w:sz w:val="24"/>
          <w:szCs w:val="24"/>
          <w:lang w:eastAsia="en-US"/>
        </w:rPr>
      </w:pPr>
    </w:p>
    <w:p w14:paraId="3A202730" w14:textId="77777777" w:rsidR="00653B9A" w:rsidRPr="00A63E92" w:rsidRDefault="00653B9A" w:rsidP="00653B9A">
      <w:pPr>
        <w:pStyle w:val="Standard"/>
        <w:suppressAutoHyphens w:val="0"/>
        <w:spacing w:after="0" w:line="240" w:lineRule="auto"/>
        <w:jc w:val="both"/>
        <w:rPr>
          <w:rFonts w:ascii="Times New Roman" w:hAnsi="Times New Roman" w:cs="Times New Roman"/>
          <w:b/>
          <w:sz w:val="24"/>
          <w:szCs w:val="24"/>
          <w:lang w:eastAsia="en-US"/>
        </w:rPr>
      </w:pPr>
      <w:r w:rsidRPr="0E8BACE6">
        <w:rPr>
          <w:rFonts w:ascii="Times New Roman" w:hAnsi="Times New Roman" w:cs="Times New Roman"/>
          <w:b/>
          <w:bCs/>
          <w:sz w:val="24"/>
          <w:szCs w:val="24"/>
          <w:lang w:eastAsia="en-US"/>
        </w:rPr>
        <w:t xml:space="preserve">3. Predmet návrhu zákona je – </w:t>
      </w:r>
      <w:r w:rsidRPr="00306194">
        <w:rPr>
          <w:rFonts w:ascii="Times New Roman" w:hAnsi="Times New Roman" w:cs="Times New Roman"/>
          <w:b/>
          <w:bCs/>
          <w:strike/>
          <w:sz w:val="24"/>
          <w:szCs w:val="24"/>
          <w:lang w:eastAsia="en-US"/>
        </w:rPr>
        <w:t>nie je</w:t>
      </w:r>
      <w:r w:rsidRPr="0E8BACE6">
        <w:rPr>
          <w:rFonts w:ascii="Times New Roman" w:hAnsi="Times New Roman" w:cs="Times New Roman"/>
          <w:b/>
          <w:bCs/>
          <w:sz w:val="24"/>
          <w:szCs w:val="24"/>
          <w:lang w:eastAsia="en-US"/>
        </w:rPr>
        <w:t xml:space="preserve"> upravený v práve Európskej únie:</w:t>
      </w:r>
    </w:p>
    <w:p w14:paraId="7E8C409D" w14:textId="77777777" w:rsidR="00653B9A" w:rsidRDefault="00653B9A" w:rsidP="00653B9A">
      <w:pPr>
        <w:pStyle w:val="Standard"/>
        <w:widowControl w:val="0"/>
        <w:suppressAutoHyphens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a) </w:t>
      </w:r>
      <w:r w:rsidRPr="00A63E92">
        <w:rPr>
          <w:rFonts w:ascii="Times New Roman" w:hAnsi="Times New Roman" w:cs="Times New Roman"/>
          <w:sz w:val="24"/>
          <w:szCs w:val="24"/>
          <w:lang w:eastAsia="sk-SK"/>
        </w:rPr>
        <w:t>v</w:t>
      </w:r>
      <w:r>
        <w:rPr>
          <w:rFonts w:ascii="Times New Roman" w:hAnsi="Times New Roman" w:cs="Times New Roman"/>
          <w:sz w:val="24"/>
          <w:szCs w:val="24"/>
          <w:lang w:eastAsia="sk-SK"/>
        </w:rPr>
        <w:t xml:space="preserve"> primárnom </w:t>
      </w:r>
      <w:r w:rsidRPr="00A63E92">
        <w:rPr>
          <w:rFonts w:ascii="Times New Roman" w:hAnsi="Times New Roman" w:cs="Times New Roman"/>
          <w:sz w:val="24"/>
          <w:szCs w:val="24"/>
          <w:lang w:eastAsia="sk-SK"/>
        </w:rPr>
        <w:t>práve Európskej únie</w:t>
      </w:r>
    </w:p>
    <w:p w14:paraId="6597C19E" w14:textId="77777777" w:rsidR="00653B9A" w:rsidRDefault="00653B9A" w:rsidP="00653B9A">
      <w:pPr>
        <w:pStyle w:val="Default"/>
        <w:ind w:left="360"/>
        <w:jc w:val="both"/>
        <w:rPr>
          <w:i/>
        </w:rPr>
      </w:pPr>
    </w:p>
    <w:p w14:paraId="09EBAA89" w14:textId="700D93FC" w:rsidR="00653B9A" w:rsidRPr="00E706F1" w:rsidRDefault="00653B9A" w:rsidP="00653B9A">
      <w:pPr>
        <w:pStyle w:val="Default"/>
        <w:ind w:left="360"/>
        <w:jc w:val="both"/>
        <w:rPr>
          <w:i/>
        </w:rPr>
      </w:pPr>
      <w:r w:rsidRPr="001843EE">
        <w:rPr>
          <w:i/>
        </w:rPr>
        <w:t xml:space="preserve">- čl. </w:t>
      </w:r>
      <w:r>
        <w:rPr>
          <w:i/>
        </w:rPr>
        <w:t xml:space="preserve">181 </w:t>
      </w:r>
      <w:r w:rsidRPr="001843EE">
        <w:rPr>
          <w:i/>
        </w:rPr>
        <w:t>Zmluvy o fungovaní Európskej únie;</w:t>
      </w:r>
    </w:p>
    <w:p w14:paraId="30F9FEF8" w14:textId="77777777" w:rsidR="00653B9A" w:rsidRDefault="00653B9A" w:rsidP="00653B9A">
      <w:pPr>
        <w:pStyle w:val="Standard"/>
        <w:widowControl w:val="0"/>
        <w:suppressAutoHyphens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b</w:t>
      </w:r>
      <w:r w:rsidRPr="00A63E92">
        <w:rPr>
          <w:rFonts w:ascii="Times New Roman" w:hAnsi="Times New Roman" w:cs="Times New Roman"/>
          <w:sz w:val="24"/>
          <w:szCs w:val="24"/>
          <w:lang w:eastAsia="sk-SK"/>
        </w:rPr>
        <w:t>)</w:t>
      </w:r>
      <w:r>
        <w:rPr>
          <w:rFonts w:ascii="Times New Roman" w:hAnsi="Times New Roman" w:cs="Times New Roman"/>
          <w:sz w:val="24"/>
          <w:szCs w:val="24"/>
          <w:lang w:eastAsia="sk-SK"/>
        </w:rPr>
        <w:t xml:space="preserve"> </w:t>
      </w:r>
      <w:r w:rsidRPr="00A63E92">
        <w:rPr>
          <w:rFonts w:ascii="Times New Roman" w:hAnsi="Times New Roman" w:cs="Times New Roman"/>
          <w:sz w:val="24"/>
          <w:szCs w:val="24"/>
          <w:lang w:eastAsia="sk-SK"/>
        </w:rPr>
        <w:t>v</w:t>
      </w:r>
      <w:r>
        <w:rPr>
          <w:rFonts w:ascii="Times New Roman" w:hAnsi="Times New Roman" w:cs="Times New Roman"/>
          <w:sz w:val="24"/>
          <w:szCs w:val="24"/>
          <w:lang w:eastAsia="sk-SK"/>
        </w:rPr>
        <w:t xml:space="preserve"> sekundárnom </w:t>
      </w:r>
      <w:r w:rsidRPr="00A63E92">
        <w:rPr>
          <w:rFonts w:ascii="Times New Roman" w:hAnsi="Times New Roman" w:cs="Times New Roman"/>
          <w:sz w:val="24"/>
          <w:szCs w:val="24"/>
          <w:lang w:eastAsia="sk-SK"/>
        </w:rPr>
        <w:t>práve Európskej únie</w:t>
      </w:r>
    </w:p>
    <w:p w14:paraId="01B74897" w14:textId="77777777" w:rsidR="00653B9A" w:rsidRDefault="00653B9A" w:rsidP="00653B9A">
      <w:pPr>
        <w:pStyle w:val="Default"/>
        <w:ind w:left="360"/>
        <w:jc w:val="both"/>
        <w:rPr>
          <w:i/>
        </w:rPr>
      </w:pPr>
    </w:p>
    <w:p w14:paraId="6F6869D2" w14:textId="77777777" w:rsidR="00653B9A" w:rsidRDefault="00653B9A" w:rsidP="00653B9A">
      <w:pPr>
        <w:pStyle w:val="Standard"/>
        <w:widowControl w:val="0"/>
        <w:suppressAutoHyphens w:val="0"/>
        <w:spacing w:after="0" w:line="240" w:lineRule="auto"/>
        <w:ind w:firstLine="426"/>
        <w:jc w:val="both"/>
        <w:rPr>
          <w:rFonts w:ascii="Times New Roman" w:eastAsiaTheme="minorHAnsi" w:hAnsi="Times New Roman" w:cs="Times New Roman"/>
          <w:i/>
          <w:color w:val="000000"/>
          <w:kern w:val="0"/>
          <w:sz w:val="24"/>
          <w:szCs w:val="24"/>
          <w:lang w:eastAsia="en-US"/>
        </w:rPr>
      </w:pPr>
    </w:p>
    <w:p w14:paraId="13B09A80" w14:textId="77777777" w:rsidR="00653B9A" w:rsidRPr="001843EE" w:rsidRDefault="00653B9A" w:rsidP="00653B9A">
      <w:pPr>
        <w:pStyle w:val="Standard"/>
        <w:widowControl w:val="0"/>
        <w:spacing w:after="0" w:line="240" w:lineRule="auto"/>
        <w:ind w:firstLine="426"/>
        <w:jc w:val="both"/>
        <w:rPr>
          <w:rFonts w:ascii="Times New Roman" w:eastAsiaTheme="minorHAnsi" w:hAnsi="Times New Roman" w:cs="Times New Roman"/>
          <w:i/>
          <w:color w:val="000000"/>
          <w:kern w:val="0"/>
          <w:sz w:val="24"/>
          <w:szCs w:val="24"/>
          <w:lang w:eastAsia="en-US"/>
        </w:rPr>
      </w:pPr>
      <w:r w:rsidRPr="001843EE">
        <w:rPr>
          <w:rFonts w:ascii="Times New Roman" w:eastAsiaTheme="minorHAnsi" w:hAnsi="Times New Roman" w:cs="Times New Roman"/>
          <w:i/>
          <w:color w:val="000000"/>
          <w:kern w:val="0"/>
          <w:sz w:val="24"/>
          <w:szCs w:val="24"/>
          <w:lang w:eastAsia="en-US"/>
        </w:rPr>
        <w:t>- Nariadenie Európskeho parlamentu a Rady (EÚ) č. 910/2014 z 23. júla 2014 o   elektronickej identifikácii a dôveryhodných službách pre elektronické transakcie na vnútornom trhu a o zrušení smernice 1999/93/ES (Ú. v. EÚ L 257, 28.8.2014),</w:t>
      </w:r>
    </w:p>
    <w:p w14:paraId="7923D89E" w14:textId="77777777" w:rsidR="00653B9A" w:rsidRDefault="00653B9A" w:rsidP="00653B9A">
      <w:pPr>
        <w:pStyle w:val="Standard"/>
        <w:widowControl w:val="0"/>
        <w:suppressAutoHyphens w:val="0"/>
        <w:spacing w:after="0" w:line="240" w:lineRule="auto"/>
        <w:ind w:firstLine="426"/>
        <w:jc w:val="both"/>
        <w:rPr>
          <w:rFonts w:ascii="Times New Roman" w:eastAsiaTheme="minorHAnsi" w:hAnsi="Times New Roman" w:cs="Times New Roman"/>
          <w:i/>
          <w:color w:val="000000"/>
          <w:kern w:val="0"/>
          <w:sz w:val="24"/>
          <w:szCs w:val="24"/>
          <w:lang w:eastAsia="en-US"/>
        </w:rPr>
      </w:pPr>
      <w:r w:rsidRPr="001843EE">
        <w:rPr>
          <w:rFonts w:ascii="Times New Roman" w:eastAsiaTheme="minorHAnsi" w:hAnsi="Times New Roman" w:cs="Times New Roman"/>
          <w:i/>
          <w:color w:val="000000"/>
          <w:kern w:val="0"/>
          <w:sz w:val="24"/>
          <w:szCs w:val="24"/>
          <w:lang w:eastAsia="en-US"/>
        </w:rPr>
        <w:tab/>
        <w:t>- gestorom právneho aktu je Národný bezpečnostný úrad;</w:t>
      </w:r>
    </w:p>
    <w:p w14:paraId="6F3A2779" w14:textId="77777777" w:rsidR="00653B9A" w:rsidRDefault="00653B9A" w:rsidP="00653B9A">
      <w:pPr>
        <w:pStyle w:val="Standard"/>
        <w:widowControl w:val="0"/>
        <w:suppressAutoHyphens w:val="0"/>
        <w:spacing w:after="0" w:line="240" w:lineRule="auto"/>
        <w:ind w:firstLine="426"/>
        <w:jc w:val="both"/>
        <w:rPr>
          <w:rFonts w:ascii="Times New Roman" w:eastAsiaTheme="minorHAnsi" w:hAnsi="Times New Roman" w:cs="Times New Roman"/>
          <w:i/>
          <w:color w:val="000000"/>
          <w:kern w:val="0"/>
          <w:sz w:val="24"/>
          <w:szCs w:val="24"/>
          <w:lang w:eastAsia="en-US"/>
        </w:rPr>
      </w:pPr>
    </w:p>
    <w:p w14:paraId="25093363" w14:textId="77777777" w:rsidR="00653B9A" w:rsidRPr="001843EE" w:rsidRDefault="00653B9A" w:rsidP="00653B9A">
      <w:pPr>
        <w:pStyle w:val="Standard"/>
        <w:widowControl w:val="0"/>
        <w:spacing w:after="0" w:line="240" w:lineRule="auto"/>
        <w:ind w:firstLine="426"/>
        <w:jc w:val="both"/>
        <w:rPr>
          <w:rFonts w:ascii="Times New Roman" w:eastAsiaTheme="minorHAnsi" w:hAnsi="Times New Roman" w:cs="Times New Roman"/>
          <w:i/>
          <w:color w:val="000000"/>
          <w:kern w:val="0"/>
          <w:sz w:val="24"/>
          <w:szCs w:val="24"/>
          <w:lang w:eastAsia="en-US"/>
        </w:rPr>
      </w:pPr>
      <w:r>
        <w:rPr>
          <w:rFonts w:ascii="Times New Roman" w:eastAsiaTheme="minorHAnsi" w:hAnsi="Times New Roman" w:cs="Times New Roman"/>
          <w:i/>
          <w:color w:val="000000"/>
          <w:kern w:val="0"/>
          <w:sz w:val="24"/>
          <w:szCs w:val="24"/>
          <w:lang w:eastAsia="en-US"/>
        </w:rPr>
        <w:t xml:space="preserve">- </w:t>
      </w:r>
      <w:r w:rsidRPr="001843EE">
        <w:rPr>
          <w:rFonts w:ascii="Times New Roman" w:eastAsiaTheme="minorHAnsi" w:hAnsi="Times New Roman" w:cs="Times New Roman"/>
          <w:i/>
          <w:color w:val="000000"/>
          <w:kern w:val="0"/>
          <w:sz w:val="24"/>
          <w:szCs w:val="24"/>
          <w:lang w:eastAsia="en-US"/>
        </w:rPr>
        <w:t>Nariadenie Európskeho parlamentu a Rady (EÚ) 2018/1724 z 2. októbra 2018 o zriadení jednotnej digitálnej brány na poskytovanie prístupu k informáciám, postupom a asistenčným službám a službám riešenia problémov a o zmene nariadenia (EÚ) č. 1024/2012 (Ú. v. EÚ L 295, 21.11.2018),</w:t>
      </w:r>
    </w:p>
    <w:p w14:paraId="6D051C21" w14:textId="77777777" w:rsidR="00653B9A" w:rsidRDefault="00653B9A" w:rsidP="00653B9A">
      <w:pPr>
        <w:pStyle w:val="Standard"/>
        <w:widowControl w:val="0"/>
        <w:suppressAutoHyphens w:val="0"/>
        <w:spacing w:after="0" w:line="240" w:lineRule="auto"/>
        <w:ind w:firstLine="426"/>
        <w:jc w:val="both"/>
        <w:rPr>
          <w:rFonts w:ascii="Times New Roman" w:eastAsiaTheme="minorHAnsi" w:hAnsi="Times New Roman" w:cs="Times New Roman"/>
          <w:i/>
          <w:color w:val="000000"/>
          <w:kern w:val="0"/>
          <w:sz w:val="24"/>
          <w:szCs w:val="24"/>
          <w:lang w:eastAsia="en-US"/>
        </w:rPr>
      </w:pPr>
      <w:r w:rsidRPr="001843EE">
        <w:rPr>
          <w:rFonts w:ascii="Times New Roman" w:eastAsiaTheme="minorHAnsi" w:hAnsi="Times New Roman" w:cs="Times New Roman"/>
          <w:i/>
          <w:color w:val="000000"/>
          <w:kern w:val="0"/>
          <w:sz w:val="24"/>
          <w:szCs w:val="24"/>
          <w:lang w:eastAsia="en-US"/>
        </w:rPr>
        <w:t>- gestorom právneho aktu je Ministerstvo inv</w:t>
      </w:r>
      <w:r>
        <w:rPr>
          <w:rFonts w:ascii="Times New Roman" w:eastAsiaTheme="minorHAnsi" w:hAnsi="Times New Roman" w:cs="Times New Roman"/>
          <w:i/>
          <w:color w:val="000000"/>
          <w:kern w:val="0"/>
          <w:sz w:val="24"/>
          <w:szCs w:val="24"/>
          <w:lang w:eastAsia="en-US"/>
        </w:rPr>
        <w:t>e</w:t>
      </w:r>
      <w:r w:rsidRPr="001843EE">
        <w:rPr>
          <w:rFonts w:ascii="Times New Roman" w:eastAsiaTheme="minorHAnsi" w:hAnsi="Times New Roman" w:cs="Times New Roman"/>
          <w:i/>
          <w:color w:val="000000"/>
          <w:kern w:val="0"/>
          <w:sz w:val="24"/>
          <w:szCs w:val="24"/>
          <w:lang w:eastAsia="en-US"/>
        </w:rPr>
        <w:t>stícií, regionálneho rozvoja a informatizácie Slovenskej republiky;</w:t>
      </w:r>
      <w:r w:rsidRPr="00E134ED" w:rsidDel="00F01465">
        <w:rPr>
          <w:rFonts w:ascii="Times New Roman" w:eastAsiaTheme="minorHAnsi" w:hAnsi="Times New Roman" w:cs="Times New Roman"/>
          <w:i/>
          <w:color w:val="000000"/>
          <w:kern w:val="0"/>
          <w:sz w:val="24"/>
          <w:szCs w:val="24"/>
          <w:lang w:eastAsia="en-US"/>
        </w:rPr>
        <w:t xml:space="preserve"> </w:t>
      </w:r>
    </w:p>
    <w:p w14:paraId="7814FC8B" w14:textId="77777777" w:rsidR="00653B9A" w:rsidRPr="00B31DB6" w:rsidRDefault="00653B9A" w:rsidP="00653B9A">
      <w:pPr>
        <w:pStyle w:val="Standard"/>
        <w:widowControl w:val="0"/>
        <w:suppressAutoHyphens w:val="0"/>
        <w:spacing w:after="0" w:line="240" w:lineRule="auto"/>
        <w:ind w:firstLine="426"/>
        <w:jc w:val="both"/>
        <w:rPr>
          <w:rFonts w:ascii="Times New Roman" w:hAnsi="Times New Roman" w:cs="Times New Roman"/>
          <w:sz w:val="24"/>
          <w:szCs w:val="24"/>
        </w:rPr>
      </w:pPr>
    </w:p>
    <w:p w14:paraId="582969B0" w14:textId="77777777" w:rsidR="00653B9A" w:rsidRPr="00B31DB6" w:rsidRDefault="00653B9A" w:rsidP="00653B9A">
      <w:pPr>
        <w:pStyle w:val="Standard"/>
        <w:widowControl w:val="0"/>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sk-SK"/>
        </w:rPr>
        <w:t>c</w:t>
      </w:r>
      <w:r w:rsidRPr="00A63E92">
        <w:rPr>
          <w:rFonts w:ascii="Times New Roman" w:hAnsi="Times New Roman" w:cs="Times New Roman"/>
          <w:sz w:val="24"/>
          <w:szCs w:val="24"/>
          <w:lang w:eastAsia="sk-SK"/>
        </w:rPr>
        <w:t>)</w:t>
      </w:r>
      <w:r>
        <w:rPr>
          <w:rFonts w:ascii="Times New Roman" w:hAnsi="Times New Roman" w:cs="Times New Roman"/>
          <w:sz w:val="24"/>
          <w:szCs w:val="24"/>
          <w:lang w:eastAsia="sk-SK"/>
        </w:rPr>
        <w:t xml:space="preserve"> </w:t>
      </w:r>
      <w:r w:rsidRPr="00A63E92">
        <w:rPr>
          <w:rFonts w:ascii="Times New Roman" w:hAnsi="Times New Roman" w:cs="Times New Roman"/>
          <w:sz w:val="24"/>
          <w:szCs w:val="24"/>
          <w:lang w:eastAsia="sk-SK"/>
        </w:rPr>
        <w:t>v judikatúre Súdneho dvora Európskej únie</w:t>
      </w:r>
    </w:p>
    <w:p w14:paraId="47C87541" w14:textId="77777777" w:rsidR="00653B9A" w:rsidRDefault="00653B9A" w:rsidP="00653B9A">
      <w:pPr>
        <w:pStyle w:val="Default"/>
        <w:ind w:left="360"/>
        <w:jc w:val="both"/>
        <w:rPr>
          <w:i/>
        </w:rPr>
      </w:pPr>
    </w:p>
    <w:p w14:paraId="7047232A" w14:textId="77777777" w:rsidR="00653B9A" w:rsidRDefault="00653B9A" w:rsidP="00653B9A">
      <w:pPr>
        <w:pStyle w:val="Default"/>
        <w:ind w:left="360"/>
        <w:jc w:val="both"/>
        <w:rPr>
          <w:i/>
        </w:rPr>
      </w:pPr>
      <w:r>
        <w:rPr>
          <w:i/>
        </w:rPr>
        <w:t>Nie je upravený.</w:t>
      </w:r>
    </w:p>
    <w:p w14:paraId="741CF951" w14:textId="77777777" w:rsidR="00653B9A" w:rsidRPr="00A63E92" w:rsidRDefault="00653B9A" w:rsidP="00653B9A">
      <w:pPr>
        <w:pStyle w:val="Standard"/>
        <w:widowControl w:val="0"/>
        <w:suppressAutoHyphens w:val="0"/>
        <w:spacing w:after="0" w:line="240" w:lineRule="auto"/>
        <w:jc w:val="both"/>
        <w:rPr>
          <w:rFonts w:ascii="Times New Roman" w:hAnsi="Times New Roman" w:cs="Times New Roman"/>
          <w:sz w:val="24"/>
          <w:szCs w:val="24"/>
        </w:rPr>
      </w:pPr>
    </w:p>
    <w:p w14:paraId="16958A65" w14:textId="77777777" w:rsidR="00653B9A" w:rsidRDefault="00653B9A" w:rsidP="00653B9A">
      <w:pPr>
        <w:jc w:val="both"/>
        <w:rPr>
          <w:b/>
        </w:rPr>
      </w:pPr>
      <w:r w:rsidRPr="007061A6">
        <w:rPr>
          <w:b/>
        </w:rPr>
        <w:t>4. Záväzky Slovenskej republiky vo vzťahu k Európskej únii:</w:t>
      </w:r>
    </w:p>
    <w:p w14:paraId="01EB02D0" w14:textId="77777777" w:rsidR="00653B9A" w:rsidRDefault="00653B9A" w:rsidP="00653B9A">
      <w:pPr>
        <w:jc w:val="both"/>
      </w:pPr>
      <w:r w:rsidRPr="00E706F1">
        <w:t>a) uviesť lehotu na prebranie príslušného právneho aktu Európskej únie, príp. aj osobitnú lehotu účinnosti jeho ustanovení,</w:t>
      </w:r>
    </w:p>
    <w:p w14:paraId="2FD788EE" w14:textId="77777777" w:rsidR="00653B9A" w:rsidRPr="00E706F1" w:rsidRDefault="00653B9A" w:rsidP="00653B9A">
      <w:pPr>
        <w:jc w:val="both"/>
      </w:pPr>
    </w:p>
    <w:p w14:paraId="7AACE21C" w14:textId="77777777" w:rsidR="00653B9A" w:rsidRDefault="00653B9A" w:rsidP="00653B9A">
      <w:pPr>
        <w:ind w:left="284"/>
        <w:jc w:val="both"/>
        <w:rPr>
          <w:i/>
        </w:rPr>
      </w:pPr>
      <w:r>
        <w:rPr>
          <w:i/>
        </w:rPr>
        <w:t xml:space="preserve"> </w:t>
      </w:r>
      <w:r w:rsidRPr="001843EE">
        <w:rPr>
          <w:i/>
        </w:rPr>
        <w:t>Nové smernice sa nepreberajú, nové nariadenia alebo rozhodnutia sa neimplementujú.</w:t>
      </w:r>
    </w:p>
    <w:p w14:paraId="556B403C" w14:textId="77777777" w:rsidR="00653B9A" w:rsidRPr="00E706F1" w:rsidRDefault="00653B9A" w:rsidP="00653B9A">
      <w:pPr>
        <w:ind w:left="284"/>
        <w:jc w:val="both"/>
        <w:rPr>
          <w:i/>
        </w:rPr>
      </w:pPr>
    </w:p>
    <w:p w14:paraId="0E8C2593" w14:textId="77777777" w:rsidR="00653B9A" w:rsidRPr="00E706F1" w:rsidRDefault="00653B9A" w:rsidP="00653B9A">
      <w:pPr>
        <w:ind w:left="142" w:hanging="142"/>
        <w:jc w:val="both"/>
      </w:pPr>
      <w:r w:rsidRPr="00E706F1">
        <w:t xml:space="preserve">b) uviesť informáciu o začatí konania v rámci „EÚ Pilot“ alebo o začatí postupu Európskej komisie, alebo o konaní Súdneho dvora </w:t>
      </w:r>
      <w:r w:rsidRPr="008A6898">
        <w:t xml:space="preserve">Európskej únie proti Slovenskej </w:t>
      </w:r>
      <w:r w:rsidRPr="00E706F1">
        <w:t>republike podľa čl. 258 a 260 Zmluvy o fungova</w:t>
      </w:r>
      <w:r w:rsidRPr="007061A6">
        <w:t>ní Európskej únie v jej platnom</w:t>
      </w:r>
      <w:r>
        <w:t xml:space="preserve"> </w:t>
      </w:r>
      <w:r w:rsidRPr="00E706F1">
        <w:t>znení, spolu s uvedením konkrétnych vytýkaný</w:t>
      </w:r>
      <w:r w:rsidRPr="007061A6">
        <w:t>ch nedostatkov a požiadaviek na</w:t>
      </w:r>
      <w:r>
        <w:t xml:space="preserve"> </w:t>
      </w:r>
      <w:r w:rsidRPr="00E706F1">
        <w:t>zabezpečenie nápravy so zreteľom na n</w:t>
      </w:r>
      <w:r w:rsidRPr="007061A6">
        <w:t>ariadenie Európskeho parlamentu</w:t>
      </w:r>
      <w:r>
        <w:t xml:space="preserve"> </w:t>
      </w:r>
      <w:r w:rsidRPr="00E706F1">
        <w:t>a Rady (ES) č. 1049/2001 z 30. mája 2001 o prístupe verejnosti k dokumentom Európskeho parlamentu, Rady a Komisie,</w:t>
      </w:r>
    </w:p>
    <w:p w14:paraId="318A41D5" w14:textId="77777777" w:rsidR="00653B9A" w:rsidRPr="000C7468" w:rsidRDefault="00653B9A" w:rsidP="00653B9A">
      <w:pPr>
        <w:ind w:left="142" w:hanging="142"/>
        <w:jc w:val="both"/>
        <w:rPr>
          <w:rFonts w:eastAsiaTheme="minorHAnsi"/>
          <w:i/>
          <w:color w:val="000000"/>
        </w:rPr>
      </w:pPr>
    </w:p>
    <w:p w14:paraId="200C6285" w14:textId="77777777" w:rsidR="00653B9A" w:rsidRDefault="00653B9A" w:rsidP="00653B9A">
      <w:pPr>
        <w:ind w:left="284"/>
        <w:jc w:val="both"/>
        <w:rPr>
          <w:rFonts w:eastAsiaTheme="minorHAnsi"/>
          <w:i/>
          <w:color w:val="000000"/>
        </w:rPr>
      </w:pPr>
      <w:r w:rsidRPr="001843EE">
        <w:rPr>
          <w:rFonts w:eastAsiaTheme="minorHAnsi"/>
          <w:i/>
          <w:color w:val="000000"/>
        </w:rPr>
        <w:t xml:space="preserve">Nebolo začaté konanie.  </w:t>
      </w:r>
    </w:p>
    <w:p w14:paraId="162C4F80" w14:textId="77777777" w:rsidR="00653B9A" w:rsidRPr="00E706F1" w:rsidRDefault="00653B9A" w:rsidP="00653B9A">
      <w:pPr>
        <w:ind w:left="284"/>
        <w:jc w:val="both"/>
      </w:pPr>
    </w:p>
    <w:p w14:paraId="3CF2AA68" w14:textId="77777777" w:rsidR="00653B9A" w:rsidRPr="007061A6" w:rsidRDefault="00653B9A" w:rsidP="00653B9A">
      <w:pPr>
        <w:ind w:left="142" w:hanging="142"/>
        <w:jc w:val="both"/>
      </w:pPr>
      <w:r w:rsidRPr="00E706F1">
        <w:t>c) uviesť informáciu o právnych predpisoch, v ktorých sú uvádzané právne akty Európskej únie už prebrané, spolu s uvedením rozsa</w:t>
      </w:r>
      <w:r w:rsidRPr="008A6898">
        <w:t>hu ich prebrania, príp. potreby</w:t>
      </w:r>
      <w:r>
        <w:t xml:space="preserve"> </w:t>
      </w:r>
      <w:r w:rsidRPr="00E706F1">
        <w:t>prijatia ďalších úprav</w:t>
      </w:r>
      <w:r w:rsidRPr="007061A6">
        <w:t>.</w:t>
      </w:r>
    </w:p>
    <w:p w14:paraId="44802781" w14:textId="77777777" w:rsidR="00653B9A" w:rsidRDefault="00653B9A" w:rsidP="00653B9A">
      <w:pPr>
        <w:jc w:val="both"/>
      </w:pPr>
    </w:p>
    <w:p w14:paraId="037863E6" w14:textId="77777777" w:rsidR="00653B9A" w:rsidRPr="00E706F1" w:rsidRDefault="00653B9A" w:rsidP="00653B9A">
      <w:pPr>
        <w:ind w:left="284"/>
        <w:jc w:val="both"/>
        <w:rPr>
          <w:i/>
        </w:rPr>
      </w:pPr>
      <w:r>
        <w:rPr>
          <w:i/>
        </w:rPr>
        <w:t>B</w:t>
      </w:r>
      <w:r w:rsidRPr="00E706F1">
        <w:rPr>
          <w:i/>
        </w:rPr>
        <w:t>ezpredmetné</w:t>
      </w:r>
      <w:r>
        <w:rPr>
          <w:i/>
        </w:rPr>
        <w:t>.</w:t>
      </w:r>
    </w:p>
    <w:p w14:paraId="3C9D0E7A" w14:textId="77777777" w:rsidR="00653B9A" w:rsidRPr="00E706F1" w:rsidRDefault="00653B9A" w:rsidP="00653B9A">
      <w:pPr>
        <w:jc w:val="both"/>
      </w:pPr>
    </w:p>
    <w:p w14:paraId="70412054" w14:textId="77777777" w:rsidR="00653B9A" w:rsidRDefault="00653B9A" w:rsidP="00653B9A">
      <w:pPr>
        <w:jc w:val="both"/>
        <w:rPr>
          <w:b/>
        </w:rPr>
      </w:pPr>
      <w:r w:rsidRPr="007061A6">
        <w:rPr>
          <w:b/>
        </w:rPr>
        <w:t>5. Návrh zákona je zlučiteľný s právom Európskej únie:</w:t>
      </w:r>
    </w:p>
    <w:p w14:paraId="0D8237B2" w14:textId="77777777" w:rsidR="00653B9A" w:rsidRDefault="00653B9A" w:rsidP="00653B9A">
      <w:pPr>
        <w:jc w:val="both"/>
        <w:rPr>
          <w:b/>
        </w:rPr>
      </w:pPr>
    </w:p>
    <w:p w14:paraId="579F60D5" w14:textId="164CBE99" w:rsidR="00653B9A" w:rsidRDefault="00653B9A" w:rsidP="00653B9A">
      <w:pPr>
        <w:ind w:left="284"/>
        <w:jc w:val="both"/>
        <w:rPr>
          <w:i/>
        </w:rPr>
      </w:pPr>
      <w:r>
        <w:rPr>
          <w:i/>
        </w:rPr>
        <w:t>Úplne.</w:t>
      </w:r>
    </w:p>
    <w:p w14:paraId="1938C0D6" w14:textId="314A8FA2" w:rsidR="004F4793" w:rsidRDefault="004F4793" w:rsidP="00653B9A">
      <w:pPr>
        <w:ind w:left="284"/>
        <w:jc w:val="both"/>
        <w:rPr>
          <w:i/>
        </w:rPr>
      </w:pPr>
    </w:p>
    <w:p w14:paraId="1475150B" w14:textId="6AB4FCA4" w:rsidR="004F4793" w:rsidRDefault="004F4793" w:rsidP="00653B9A">
      <w:pPr>
        <w:ind w:left="284"/>
        <w:jc w:val="both"/>
        <w:rPr>
          <w:i/>
        </w:rPr>
      </w:pPr>
    </w:p>
    <w:p w14:paraId="3C4D21E1" w14:textId="761989B4" w:rsidR="004F4793" w:rsidRDefault="004F4793" w:rsidP="00653B9A">
      <w:pPr>
        <w:ind w:left="284"/>
        <w:jc w:val="both"/>
        <w:rPr>
          <w:i/>
        </w:rPr>
      </w:pPr>
    </w:p>
    <w:p w14:paraId="4CC4BDD8" w14:textId="32B3E043" w:rsidR="004F4793" w:rsidRDefault="004F4793" w:rsidP="00653B9A">
      <w:pPr>
        <w:ind w:left="284"/>
        <w:jc w:val="both"/>
        <w:rPr>
          <w:i/>
        </w:rPr>
      </w:pPr>
    </w:p>
    <w:p w14:paraId="39AF272F" w14:textId="0F7EFC6F" w:rsidR="004F4793" w:rsidRDefault="004F4793" w:rsidP="00653B9A">
      <w:pPr>
        <w:ind w:left="284"/>
        <w:jc w:val="both"/>
        <w:rPr>
          <w:i/>
        </w:rPr>
      </w:pPr>
    </w:p>
    <w:p w14:paraId="15A6F74F" w14:textId="416A4207" w:rsidR="004F4793" w:rsidRDefault="004F4793" w:rsidP="00653B9A">
      <w:pPr>
        <w:ind w:left="284"/>
        <w:jc w:val="both"/>
        <w:rPr>
          <w:i/>
        </w:rPr>
      </w:pPr>
    </w:p>
    <w:p w14:paraId="2473E674" w14:textId="0D5CB6CD" w:rsidR="004F4793" w:rsidRDefault="004F4793" w:rsidP="00653B9A">
      <w:pPr>
        <w:ind w:left="284"/>
        <w:jc w:val="both"/>
        <w:rPr>
          <w:i/>
        </w:rPr>
      </w:pPr>
    </w:p>
    <w:p w14:paraId="38DD94F7" w14:textId="27A88DF1" w:rsidR="004F4793" w:rsidRDefault="004F4793" w:rsidP="00653B9A">
      <w:pPr>
        <w:ind w:left="284"/>
        <w:jc w:val="both"/>
        <w:rPr>
          <w:i/>
        </w:rPr>
      </w:pPr>
    </w:p>
    <w:p w14:paraId="085A1199" w14:textId="0261D328" w:rsidR="004F4793" w:rsidRDefault="004F4793" w:rsidP="00653B9A">
      <w:pPr>
        <w:ind w:left="284"/>
        <w:jc w:val="both"/>
        <w:rPr>
          <w:i/>
        </w:rPr>
      </w:pPr>
    </w:p>
    <w:p w14:paraId="7DEE5E53" w14:textId="3CA58A38" w:rsidR="004F4793" w:rsidRDefault="004F4793" w:rsidP="00653B9A">
      <w:pPr>
        <w:ind w:left="284"/>
        <w:jc w:val="both"/>
        <w:rPr>
          <w:i/>
        </w:rPr>
      </w:pPr>
    </w:p>
    <w:p w14:paraId="35B45EAF" w14:textId="63A13F55" w:rsidR="004F4793" w:rsidRDefault="004F4793" w:rsidP="00653B9A">
      <w:pPr>
        <w:ind w:left="284"/>
        <w:jc w:val="both"/>
        <w:rPr>
          <w:i/>
        </w:rPr>
      </w:pPr>
    </w:p>
    <w:p w14:paraId="3C077EF7" w14:textId="069E9077" w:rsidR="004F4793" w:rsidRDefault="004F4793" w:rsidP="00653B9A">
      <w:pPr>
        <w:ind w:left="284"/>
        <w:jc w:val="both"/>
        <w:rPr>
          <w:i/>
        </w:rPr>
      </w:pPr>
    </w:p>
    <w:p w14:paraId="0C18EAB1" w14:textId="32F04A63" w:rsidR="004F4793" w:rsidRDefault="004F4793" w:rsidP="00653B9A">
      <w:pPr>
        <w:ind w:left="284"/>
        <w:jc w:val="both"/>
        <w:rPr>
          <w:i/>
        </w:rPr>
      </w:pPr>
    </w:p>
    <w:p w14:paraId="476299BF" w14:textId="2CB10FCD" w:rsidR="004F4793" w:rsidRDefault="004F4793" w:rsidP="00653B9A">
      <w:pPr>
        <w:ind w:left="284"/>
        <w:jc w:val="both"/>
        <w:rPr>
          <w:i/>
        </w:rPr>
      </w:pPr>
    </w:p>
    <w:p w14:paraId="1FB7F607" w14:textId="6F663A1D" w:rsidR="004F4793" w:rsidRDefault="004F4793" w:rsidP="00653B9A">
      <w:pPr>
        <w:ind w:left="284"/>
        <w:jc w:val="both"/>
        <w:rPr>
          <w:i/>
        </w:rPr>
      </w:pPr>
    </w:p>
    <w:p w14:paraId="3FD066FE" w14:textId="390BECE0" w:rsidR="004F4793" w:rsidRDefault="004F4793" w:rsidP="00653B9A">
      <w:pPr>
        <w:ind w:left="284"/>
        <w:jc w:val="both"/>
        <w:rPr>
          <w:i/>
        </w:rPr>
      </w:pPr>
    </w:p>
    <w:p w14:paraId="198B159C" w14:textId="07C8B90C" w:rsidR="004F4793" w:rsidRDefault="004F4793" w:rsidP="00653B9A">
      <w:pPr>
        <w:ind w:left="284"/>
        <w:jc w:val="both"/>
        <w:rPr>
          <w:i/>
        </w:rPr>
      </w:pPr>
    </w:p>
    <w:p w14:paraId="3A6FBDC1" w14:textId="6BCF5806" w:rsidR="004F4793" w:rsidRDefault="004F4793" w:rsidP="00653B9A">
      <w:pPr>
        <w:ind w:left="284"/>
        <w:jc w:val="both"/>
        <w:rPr>
          <w:i/>
        </w:rPr>
      </w:pPr>
    </w:p>
    <w:p w14:paraId="0C70BFE4" w14:textId="5C7E3BE8" w:rsidR="004F4793" w:rsidRDefault="004F4793" w:rsidP="00653B9A">
      <w:pPr>
        <w:ind w:left="284"/>
        <w:jc w:val="both"/>
        <w:rPr>
          <w:i/>
        </w:rPr>
      </w:pPr>
    </w:p>
    <w:p w14:paraId="71CD2851" w14:textId="6690A0FC" w:rsidR="004F4793" w:rsidRDefault="004F4793" w:rsidP="00653B9A">
      <w:pPr>
        <w:ind w:left="284"/>
        <w:jc w:val="both"/>
        <w:rPr>
          <w:i/>
        </w:rPr>
      </w:pPr>
    </w:p>
    <w:p w14:paraId="557CE399" w14:textId="33344EAE" w:rsidR="004F4793" w:rsidRDefault="004F4793" w:rsidP="00653B9A">
      <w:pPr>
        <w:ind w:left="284"/>
        <w:jc w:val="both"/>
        <w:rPr>
          <w:i/>
        </w:rPr>
      </w:pPr>
    </w:p>
    <w:p w14:paraId="78BB4AD7" w14:textId="44330DF2" w:rsidR="004F4793" w:rsidRDefault="004F4793" w:rsidP="00653B9A">
      <w:pPr>
        <w:ind w:left="284"/>
        <w:jc w:val="both"/>
        <w:rPr>
          <w:i/>
        </w:rPr>
      </w:pPr>
    </w:p>
    <w:p w14:paraId="75AACFDB" w14:textId="34F507AF" w:rsidR="004F4793" w:rsidRDefault="004F4793" w:rsidP="00653B9A">
      <w:pPr>
        <w:ind w:left="284"/>
        <w:jc w:val="both"/>
        <w:rPr>
          <w:i/>
        </w:rPr>
      </w:pPr>
    </w:p>
    <w:p w14:paraId="3734999E" w14:textId="082A2505" w:rsidR="004F4793" w:rsidRDefault="004F4793" w:rsidP="00653B9A">
      <w:pPr>
        <w:ind w:left="284"/>
        <w:jc w:val="both"/>
        <w:rPr>
          <w:i/>
        </w:rPr>
      </w:pPr>
    </w:p>
    <w:p w14:paraId="53DAE6EA" w14:textId="0FD97E65" w:rsidR="004F4793" w:rsidRDefault="004F4793" w:rsidP="00653B9A">
      <w:pPr>
        <w:ind w:left="284"/>
        <w:jc w:val="both"/>
        <w:rPr>
          <w:i/>
        </w:rPr>
      </w:pPr>
    </w:p>
    <w:p w14:paraId="25D2A4F0" w14:textId="1D0E402A" w:rsidR="004F4793" w:rsidRDefault="004F4793" w:rsidP="00653B9A">
      <w:pPr>
        <w:ind w:left="284"/>
        <w:jc w:val="both"/>
        <w:rPr>
          <w:i/>
        </w:rPr>
      </w:pPr>
    </w:p>
    <w:p w14:paraId="46C04ED8" w14:textId="5A9D882A" w:rsidR="004F4793" w:rsidRDefault="004F4793" w:rsidP="00653B9A">
      <w:pPr>
        <w:ind w:left="284"/>
        <w:jc w:val="both"/>
        <w:rPr>
          <w:i/>
        </w:rPr>
      </w:pPr>
    </w:p>
    <w:p w14:paraId="687D88F9" w14:textId="32FCB0DE" w:rsidR="004F4793" w:rsidRDefault="004F4793" w:rsidP="00653B9A">
      <w:pPr>
        <w:ind w:left="284"/>
        <w:jc w:val="both"/>
        <w:rPr>
          <w:i/>
        </w:rPr>
      </w:pPr>
    </w:p>
    <w:p w14:paraId="231A0A85" w14:textId="391249F0" w:rsidR="004F4793" w:rsidRDefault="004F4793" w:rsidP="00653B9A">
      <w:pPr>
        <w:ind w:left="284"/>
        <w:jc w:val="both"/>
        <w:rPr>
          <w:i/>
        </w:rPr>
      </w:pPr>
    </w:p>
    <w:p w14:paraId="0DAB49D1" w14:textId="7F3B914B" w:rsidR="004F4793" w:rsidRDefault="004F4793" w:rsidP="00653B9A">
      <w:pPr>
        <w:ind w:left="284"/>
        <w:jc w:val="both"/>
        <w:rPr>
          <w:i/>
        </w:rPr>
      </w:pPr>
    </w:p>
    <w:p w14:paraId="2B41D732" w14:textId="17E950D7" w:rsidR="004F4793" w:rsidRDefault="004F4793" w:rsidP="00653B9A">
      <w:pPr>
        <w:ind w:left="284"/>
        <w:jc w:val="both"/>
        <w:rPr>
          <w:i/>
        </w:rPr>
      </w:pPr>
    </w:p>
    <w:p w14:paraId="6CCEFA01" w14:textId="5B59F784" w:rsidR="004F4793" w:rsidRDefault="004F4793" w:rsidP="00653B9A">
      <w:pPr>
        <w:ind w:left="284"/>
        <w:jc w:val="both"/>
        <w:rPr>
          <w:i/>
        </w:rPr>
      </w:pPr>
    </w:p>
    <w:p w14:paraId="2579663C" w14:textId="3D53D920" w:rsidR="004F4793" w:rsidRDefault="004F4793" w:rsidP="00653B9A">
      <w:pPr>
        <w:ind w:left="284"/>
        <w:jc w:val="both"/>
        <w:rPr>
          <w:i/>
        </w:rPr>
      </w:pPr>
    </w:p>
    <w:p w14:paraId="54BD657C" w14:textId="00EB1D1E" w:rsidR="004F4793" w:rsidRDefault="004F4793" w:rsidP="00653B9A">
      <w:pPr>
        <w:ind w:left="284"/>
        <w:jc w:val="both"/>
        <w:rPr>
          <w:i/>
        </w:rPr>
      </w:pPr>
    </w:p>
    <w:p w14:paraId="56C8BDEC" w14:textId="6E2ADF26" w:rsidR="004F4793" w:rsidRDefault="004F4793" w:rsidP="00653B9A">
      <w:pPr>
        <w:ind w:left="284"/>
        <w:jc w:val="both"/>
        <w:rPr>
          <w:i/>
        </w:rPr>
      </w:pPr>
    </w:p>
    <w:p w14:paraId="7DBFA6FE" w14:textId="3C765795" w:rsidR="004F4793" w:rsidRDefault="004F4793" w:rsidP="00653B9A">
      <w:pPr>
        <w:ind w:left="284"/>
        <w:jc w:val="both"/>
        <w:rPr>
          <w:i/>
        </w:rPr>
      </w:pPr>
    </w:p>
    <w:p w14:paraId="230ACBF8" w14:textId="703F9E97" w:rsidR="004F4793" w:rsidRDefault="004F4793" w:rsidP="00653B9A">
      <w:pPr>
        <w:ind w:left="284"/>
        <w:jc w:val="both"/>
        <w:rPr>
          <w:i/>
        </w:rPr>
      </w:pPr>
    </w:p>
    <w:p w14:paraId="53B3FB38" w14:textId="3AB970A1" w:rsidR="004F4793" w:rsidRDefault="004F4793" w:rsidP="00653B9A">
      <w:pPr>
        <w:ind w:left="284"/>
        <w:jc w:val="both"/>
        <w:rPr>
          <w:i/>
        </w:rPr>
      </w:pPr>
    </w:p>
    <w:p w14:paraId="7722AFCB" w14:textId="08BF00C0" w:rsidR="004F4793" w:rsidRDefault="004F4793" w:rsidP="00653B9A">
      <w:pPr>
        <w:ind w:left="284"/>
        <w:jc w:val="both"/>
        <w:rPr>
          <w:i/>
        </w:rPr>
      </w:pPr>
    </w:p>
    <w:p w14:paraId="228C7EEC" w14:textId="02EDEDEB" w:rsidR="004F4793" w:rsidRDefault="004F4793" w:rsidP="00653B9A">
      <w:pPr>
        <w:ind w:left="284"/>
        <w:jc w:val="both"/>
        <w:rPr>
          <w:i/>
        </w:rPr>
      </w:pPr>
    </w:p>
    <w:p w14:paraId="7CCCFD1A" w14:textId="5F16B925" w:rsidR="004F4793" w:rsidRDefault="004F4793" w:rsidP="00653B9A">
      <w:pPr>
        <w:ind w:left="284"/>
        <w:jc w:val="both"/>
        <w:rPr>
          <w:i/>
        </w:rPr>
      </w:pPr>
    </w:p>
    <w:p w14:paraId="05C9A42D" w14:textId="77777777" w:rsidR="004F4793" w:rsidRPr="00A63E92" w:rsidRDefault="004F4793" w:rsidP="00653B9A">
      <w:pPr>
        <w:ind w:left="284"/>
        <w:jc w:val="both"/>
      </w:pPr>
    </w:p>
    <w:p w14:paraId="60831B37" w14:textId="77777777" w:rsidR="004F4793" w:rsidRPr="008A74B1" w:rsidRDefault="004F4793" w:rsidP="004F4793">
      <w:pPr>
        <w:pStyle w:val="Odsekzoznamu1"/>
        <w:numPr>
          <w:ilvl w:val="0"/>
          <w:numId w:val="1"/>
        </w:numPr>
        <w:spacing w:after="0" w:line="240" w:lineRule="auto"/>
        <w:ind w:left="426" w:hanging="426"/>
        <w:jc w:val="both"/>
        <w:rPr>
          <w:rFonts w:ascii="Times New Roman" w:hAnsi="Times New Roman"/>
          <w:b/>
          <w:sz w:val="24"/>
        </w:rPr>
      </w:pPr>
      <w:r w:rsidRPr="008A74B1">
        <w:rPr>
          <w:rFonts w:ascii="Times New Roman" w:hAnsi="Times New Roman"/>
          <w:b/>
          <w:sz w:val="24"/>
        </w:rPr>
        <w:t xml:space="preserve">Osobitná časť </w:t>
      </w:r>
    </w:p>
    <w:p w14:paraId="20B7ECD1" w14:textId="77777777" w:rsidR="004F4793" w:rsidRPr="008A74B1" w:rsidRDefault="004F4793" w:rsidP="004F4793">
      <w:pPr>
        <w:jc w:val="both"/>
      </w:pPr>
    </w:p>
    <w:p w14:paraId="4B04CD9D" w14:textId="77777777" w:rsidR="004F4793" w:rsidRPr="008A74B1" w:rsidRDefault="004F4793" w:rsidP="004F4793">
      <w:pPr>
        <w:jc w:val="both"/>
        <w:rPr>
          <w:b/>
          <w:bCs/>
        </w:rPr>
      </w:pPr>
      <w:r w:rsidRPr="008A74B1">
        <w:rPr>
          <w:b/>
          <w:bCs/>
        </w:rPr>
        <w:t>K čl. I (zákon o ITVS)</w:t>
      </w:r>
    </w:p>
    <w:p w14:paraId="1250E903" w14:textId="77777777" w:rsidR="004F4793" w:rsidRPr="008A74B1" w:rsidRDefault="004F4793" w:rsidP="004F4793">
      <w:pPr>
        <w:jc w:val="both"/>
        <w:rPr>
          <w:b/>
          <w:bCs/>
        </w:rPr>
      </w:pPr>
      <w:r w:rsidRPr="008A74B1">
        <w:rPr>
          <w:b/>
          <w:bCs/>
        </w:rPr>
        <w:t>K bodu 1 (</w:t>
      </w:r>
      <w:r w:rsidRPr="008A74B1">
        <w:rPr>
          <w:rStyle w:val="eop"/>
          <w:b/>
          <w:bCs/>
          <w:sz w:val="22"/>
          <w:szCs w:val="22"/>
        </w:rPr>
        <w:t>§ 1 ods. 2 a 3</w:t>
      </w:r>
      <w:r w:rsidRPr="008A74B1">
        <w:rPr>
          <w:b/>
          <w:bCs/>
        </w:rPr>
        <w:t>)</w:t>
      </w:r>
    </w:p>
    <w:p w14:paraId="4507DDEC" w14:textId="77777777" w:rsidR="004F4793" w:rsidRDefault="004F4793" w:rsidP="004F4793">
      <w:pPr>
        <w:jc w:val="both"/>
      </w:pPr>
      <w:r>
        <w:t>Navrhovaná právna úprava má za cieľ odstrániť nejednotný výklad ustanovení týkajúcich sa pôsobnosti zákona o ITVS a precizovať negatívne vymedzenie pôsobnosti zákona o ITVS. Návrhom zákona sa ustanovuje, v ktorých prípadoch sa zákon o ITVS nevzťahuje na informačné technológie ako také a v ktorých sa nevzťahuje len na konkrétne skutočnosti a informácie, ktoré sú buď utajovanými skutočnosťami, alebo podľa osobitného predpisu citlivými informáciami.</w:t>
      </w:r>
    </w:p>
    <w:p w14:paraId="59D98BA9" w14:textId="77777777" w:rsidR="004F4793" w:rsidRDefault="004F4793" w:rsidP="004F4793">
      <w:pPr>
        <w:jc w:val="both"/>
      </w:pPr>
      <w:r>
        <w:t xml:space="preserve">Medzi informačné technológie, na ktoré ustanovuje výnimku prvá časť odseku 2 (technológie na zabezpečenie obrany Slovenskej republiky a bezpečnosti Slovenskej republiky) patria napríklad informačné systémy v pôsobnosti Ministerstva obrany Slovenskej republiky, ozbrojených síl a ozbrojených a bezpečnostných zborov, systémy používané Úradom jadrového dozoru Slovenskej republiky na štátnu správu v oblasti jadrovej bezpečnosti jadrových zariadení, ako aj informačné systémy certifikované v zmysle zákona o ochrane utajovaných skutočností. </w:t>
      </w:r>
    </w:p>
    <w:p w14:paraId="09CFC5F0" w14:textId="77777777" w:rsidR="004F4793" w:rsidRPr="008A74B1" w:rsidRDefault="004F4793" w:rsidP="004F4793">
      <w:pPr>
        <w:spacing w:after="240"/>
        <w:jc w:val="both"/>
      </w:pPr>
      <w:r>
        <w:t>V ostatných prípadoch (odsek 2 druhá časť), ktoré nie sú spod pôsobnosti zákona vylúčené ako celok, budú vyňaté len tie konkrétne skutočnosti a informácie spadajúce pod podmienky výnimky podľa druhej vety.</w:t>
      </w:r>
    </w:p>
    <w:p w14:paraId="02E93F1D" w14:textId="77777777" w:rsidR="004F4793" w:rsidRPr="008A74B1" w:rsidRDefault="004F4793" w:rsidP="004F4793">
      <w:pPr>
        <w:jc w:val="both"/>
      </w:pPr>
      <w:r w:rsidRPr="008A74B1">
        <w:rPr>
          <w:shd w:val="clear" w:color="auto" w:fill="FFFFFF"/>
        </w:rPr>
        <w:t xml:space="preserve">Odsek 3 upravuje vzťah zákona o ITVS a zákona </w:t>
      </w:r>
      <w:r>
        <w:rPr>
          <w:shd w:val="clear" w:color="auto" w:fill="FFFFFF"/>
        </w:rPr>
        <w:t>o KB</w:t>
      </w:r>
      <w:r w:rsidRPr="008A74B1">
        <w:rPr>
          <w:shd w:val="clear" w:color="auto" w:fill="FFFFFF"/>
        </w:rPr>
        <w:t>.</w:t>
      </w:r>
      <w:r w:rsidRPr="00C510FC">
        <w:rPr>
          <w:rFonts w:ascii="Segoe UI" w:eastAsia="Segoe UI" w:hAnsi="Segoe UI" w:cs="Segoe UI"/>
          <w:sz w:val="18"/>
          <w:szCs w:val="18"/>
        </w:rPr>
        <w:t xml:space="preserve"> </w:t>
      </w:r>
      <w:r w:rsidRPr="00C510FC">
        <w:t xml:space="preserve">Návrhom zákona sa </w:t>
      </w:r>
      <w:r>
        <w:t>zachováva</w:t>
      </w:r>
      <w:r w:rsidRPr="00C510FC">
        <w:t xml:space="preserve"> vzťah zákona o KB a zákona o ITVS tak, že zákon o KB je všeobecným predpisom pre kybernetickú bezpečnosť a zákon o ITVS je osobitným predpisom pre kybernetickú bezpečnosť ITVS</w:t>
      </w:r>
      <w:r>
        <w:t>, ktorý upravuje len povinnosti a kompetencie nad rámec zákona o KB</w:t>
      </w:r>
      <w:r w:rsidRPr="00C510FC">
        <w:t>.</w:t>
      </w:r>
      <w:r w:rsidRPr="008A74B1">
        <w:rPr>
          <w:shd w:val="clear" w:color="auto" w:fill="FFFFFF"/>
        </w:rPr>
        <w:t xml:space="preserve"> </w:t>
      </w:r>
      <w:r w:rsidRPr="008A74B1">
        <w:t>Odstraňuje sa nejednoznačnosť výkladu doterajšieho znenia príslušného ustanovenia, pri ktorom v praxi vyvstávali interpretačné problémy vo vzťahu k aplikovateľnosti zákona o ITVS na prevádzkovateľov základnej služby podľa zákona o KB.</w:t>
      </w:r>
    </w:p>
    <w:p w14:paraId="4926F47B" w14:textId="77777777" w:rsidR="004F4793" w:rsidRPr="008A74B1" w:rsidRDefault="004F4793" w:rsidP="004F4793">
      <w:pPr>
        <w:jc w:val="both"/>
        <w:rPr>
          <w:szCs w:val="22"/>
          <w:highlight w:val="white"/>
        </w:rPr>
      </w:pPr>
    </w:p>
    <w:p w14:paraId="767DEE52" w14:textId="77777777" w:rsidR="004F4793" w:rsidRDefault="004F4793" w:rsidP="004F4793">
      <w:pPr>
        <w:jc w:val="both"/>
        <w:rPr>
          <w:b/>
          <w:bCs/>
        </w:rPr>
      </w:pPr>
      <w:r w:rsidRPr="008A74B1">
        <w:rPr>
          <w:b/>
          <w:bCs/>
        </w:rPr>
        <w:t xml:space="preserve">K bodu 2 </w:t>
      </w:r>
      <w:r>
        <w:rPr>
          <w:b/>
          <w:bCs/>
        </w:rPr>
        <w:t>[§ 3 písm. q)]</w:t>
      </w:r>
    </w:p>
    <w:p w14:paraId="582CB640" w14:textId="77777777" w:rsidR="004F4793" w:rsidRPr="008E3361" w:rsidRDefault="004F4793" w:rsidP="004F4793">
      <w:pPr>
        <w:jc w:val="both"/>
      </w:pPr>
      <w:r w:rsidRPr="008E3361">
        <w:t>Legislatívno-technická úprava</w:t>
      </w:r>
      <w:r>
        <w:t xml:space="preserve"> odstraňujúca nesprávny pojem.</w:t>
      </w:r>
    </w:p>
    <w:p w14:paraId="465895D5" w14:textId="77777777" w:rsidR="004F4793" w:rsidRDefault="004F4793" w:rsidP="004F4793">
      <w:pPr>
        <w:jc w:val="both"/>
        <w:rPr>
          <w:b/>
          <w:bCs/>
        </w:rPr>
      </w:pPr>
    </w:p>
    <w:p w14:paraId="4F78EB63" w14:textId="77777777" w:rsidR="004F4793" w:rsidRPr="008A74B1" w:rsidRDefault="004F4793" w:rsidP="004F4793">
      <w:pPr>
        <w:jc w:val="both"/>
        <w:rPr>
          <w:b/>
          <w:bCs/>
        </w:rPr>
      </w:pPr>
      <w:r>
        <w:rPr>
          <w:b/>
          <w:bCs/>
        </w:rPr>
        <w:t xml:space="preserve">K bodu 3 </w:t>
      </w:r>
      <w:r w:rsidRPr="008A74B1">
        <w:rPr>
          <w:b/>
          <w:bCs/>
        </w:rPr>
        <w:t>[§ 3 písm. u)</w:t>
      </w:r>
      <w:r>
        <w:rPr>
          <w:b/>
          <w:bCs/>
        </w:rPr>
        <w:t xml:space="preserve"> až w)</w:t>
      </w:r>
      <w:r w:rsidRPr="008A74B1">
        <w:rPr>
          <w:b/>
          <w:bCs/>
        </w:rPr>
        <w:t>]</w:t>
      </w:r>
    </w:p>
    <w:p w14:paraId="6CEB1B17" w14:textId="77777777" w:rsidR="004F4793" w:rsidRDefault="004F4793" w:rsidP="004F4793">
      <w:pPr>
        <w:jc w:val="both"/>
      </w:pPr>
      <w:r w:rsidRPr="00A56F2A">
        <w:t xml:space="preserve">Písmenom </w:t>
      </w:r>
      <w:r>
        <w:t>u</w:t>
      </w:r>
      <w:r w:rsidRPr="00A56F2A">
        <w:t>) sa dopĺňa definícia pojmu aktívum</w:t>
      </w:r>
      <w:r>
        <w:t>, pričom sa p</w:t>
      </w:r>
      <w:r w:rsidRPr="00A56F2A">
        <w:t>reberá existujúca definícia z</w:t>
      </w:r>
      <w:r>
        <w:t xml:space="preserve"> vyhlášky Úradu podpredsedu vlády Slovenskej republiky pre investície a informatizáciu č. 78/2020 Z. z. o štandardoch pre informačné technológie verejnej správy </w:t>
      </w:r>
      <w:r w:rsidRPr="00F40ED5">
        <w:t>v znení vyhlášky č. 546/2021 Z. z.</w:t>
      </w:r>
    </w:p>
    <w:p w14:paraId="127B314D" w14:textId="77777777" w:rsidR="004F4793" w:rsidRPr="00FC3C89" w:rsidRDefault="004F4793" w:rsidP="004F4793">
      <w:pPr>
        <w:jc w:val="both"/>
      </w:pPr>
      <w:r>
        <w:t xml:space="preserve">Okrem toho sa definujú nové pojmy strategická a referenčná architektúra, ktoré sú základnými pojmami používanými v každej metodike riadenia enterprise architektúry, napr. v otvorenom štandarde TOGAF, ktorý je najrozšírenejší rámec a de facto štandard metodiky riadenia enterprise architektúry. </w:t>
      </w:r>
      <w:r w:rsidRPr="00FC3C89">
        <w:t>Certifikácia na znalosť tejto metodiky je súčasťou podmienok pre uchádzanie sa o financovanie z operačného programu Integrovaná infraštruktúra prioritnej osi 7 Informačná spoločnosť. Nastavenie systému pojmov architektúry teda vychádza z nasledovného:</w:t>
      </w:r>
    </w:p>
    <w:p w14:paraId="1B1F18D6" w14:textId="77777777" w:rsidR="004F4793" w:rsidRPr="007306F5" w:rsidRDefault="004F4793" w:rsidP="004F4793">
      <w:pPr>
        <w:pStyle w:val="Odsekzoznamu"/>
        <w:numPr>
          <w:ilvl w:val="0"/>
          <w:numId w:val="6"/>
        </w:numPr>
        <w:jc w:val="both"/>
        <w:rPr>
          <w:rFonts w:ascii="Times New Roman" w:hAnsi="Times New Roman"/>
          <w:sz w:val="24"/>
          <w:szCs w:val="24"/>
        </w:rPr>
      </w:pPr>
      <w:r w:rsidRPr="007306F5">
        <w:rPr>
          <w:rFonts w:ascii="Times New Roman" w:hAnsi="Times New Roman"/>
          <w:sz w:val="24"/>
          <w:szCs w:val="24"/>
        </w:rPr>
        <w:t>existuje centrálna architektúra a architektúra orgánu riadenia,</w:t>
      </w:r>
    </w:p>
    <w:p w14:paraId="1308969F" w14:textId="77777777" w:rsidR="004F4793" w:rsidRPr="007306F5" w:rsidRDefault="004F4793" w:rsidP="004F4793">
      <w:pPr>
        <w:pStyle w:val="Odsekzoznamu"/>
        <w:numPr>
          <w:ilvl w:val="0"/>
          <w:numId w:val="6"/>
        </w:numPr>
        <w:jc w:val="both"/>
        <w:rPr>
          <w:rFonts w:ascii="Times New Roman" w:hAnsi="Times New Roman"/>
          <w:sz w:val="24"/>
          <w:szCs w:val="24"/>
        </w:rPr>
      </w:pPr>
      <w:r w:rsidRPr="007306F5">
        <w:rPr>
          <w:rFonts w:ascii="Times New Roman" w:hAnsi="Times New Roman"/>
          <w:sz w:val="24"/>
          <w:szCs w:val="24"/>
        </w:rPr>
        <w:t>každá z nich pozostáva zo  strategickej architektúry a referenčnej architektúry,</w:t>
      </w:r>
    </w:p>
    <w:p w14:paraId="4B87132C" w14:textId="77777777" w:rsidR="004F4793" w:rsidRPr="007306F5" w:rsidRDefault="004F4793" w:rsidP="004F4793">
      <w:pPr>
        <w:pStyle w:val="Odsekzoznamu"/>
        <w:numPr>
          <w:ilvl w:val="0"/>
          <w:numId w:val="6"/>
        </w:numPr>
        <w:jc w:val="both"/>
        <w:rPr>
          <w:rFonts w:ascii="Times New Roman" w:hAnsi="Times New Roman"/>
          <w:sz w:val="24"/>
          <w:szCs w:val="24"/>
        </w:rPr>
      </w:pPr>
      <w:r w:rsidRPr="007306F5">
        <w:rPr>
          <w:rFonts w:ascii="Times New Roman" w:hAnsi="Times New Roman"/>
          <w:sz w:val="24"/>
          <w:szCs w:val="24"/>
        </w:rPr>
        <w:t>centrálna architektúra ITVS sa člení na strategickú architektúru a referenčnú architektúru [§ 9 ods. 1 písm. h)],</w:t>
      </w:r>
    </w:p>
    <w:p w14:paraId="17F76EC8" w14:textId="77777777" w:rsidR="004F4793" w:rsidRPr="00743F0C" w:rsidRDefault="004F4793" w:rsidP="004F4793">
      <w:pPr>
        <w:pStyle w:val="Odsekzoznamu"/>
        <w:numPr>
          <w:ilvl w:val="0"/>
          <w:numId w:val="6"/>
        </w:numPr>
        <w:jc w:val="both"/>
      </w:pPr>
      <w:r w:rsidRPr="007306F5">
        <w:rPr>
          <w:rFonts w:ascii="Times New Roman" w:hAnsi="Times New Roman"/>
          <w:sz w:val="24"/>
          <w:szCs w:val="24"/>
        </w:rPr>
        <w:t>architektúra orgánu riadenia sa člení na strategickú architektúru a referenčnú architektúru.</w:t>
      </w:r>
    </w:p>
    <w:p w14:paraId="0A61A26F" w14:textId="77777777" w:rsidR="004F4793" w:rsidRPr="00FC3C89" w:rsidRDefault="004F4793" w:rsidP="004F4793">
      <w:pPr>
        <w:jc w:val="both"/>
        <w:rPr>
          <w:b/>
          <w:bCs/>
        </w:rPr>
      </w:pPr>
    </w:p>
    <w:p w14:paraId="5EA14381" w14:textId="77777777" w:rsidR="004F4793" w:rsidRPr="008E3361" w:rsidRDefault="004F4793" w:rsidP="004F4793">
      <w:pPr>
        <w:jc w:val="both"/>
        <w:rPr>
          <w:b/>
          <w:bCs/>
        </w:rPr>
      </w:pPr>
      <w:r w:rsidRPr="008E3361">
        <w:rPr>
          <w:b/>
          <w:bCs/>
        </w:rPr>
        <w:t>K bodu 4 [§ 6 ods. 1 písm. e)]</w:t>
      </w:r>
    </w:p>
    <w:p w14:paraId="6BA79B21" w14:textId="77777777" w:rsidR="004F4793" w:rsidRPr="002C067D" w:rsidRDefault="004F4793" w:rsidP="004F4793">
      <w:pPr>
        <w:jc w:val="both"/>
      </w:pPr>
      <w:r w:rsidRPr="002C067D">
        <w:t>Legislatívno-technická úprava</w:t>
      </w:r>
      <w:r>
        <w:t xml:space="preserve"> odstraňujúca nesprávny pojem.</w:t>
      </w:r>
    </w:p>
    <w:p w14:paraId="17F73714" w14:textId="77777777" w:rsidR="004F4793" w:rsidRPr="008E3361" w:rsidRDefault="004F4793" w:rsidP="004F4793">
      <w:pPr>
        <w:jc w:val="both"/>
      </w:pPr>
    </w:p>
    <w:p w14:paraId="0208B7F0" w14:textId="77777777" w:rsidR="004F4793" w:rsidRDefault="004F4793" w:rsidP="004F4793">
      <w:pPr>
        <w:jc w:val="both"/>
        <w:rPr>
          <w:b/>
          <w:bCs/>
        </w:rPr>
      </w:pPr>
      <w:r>
        <w:rPr>
          <w:b/>
          <w:bCs/>
        </w:rPr>
        <w:t>K bodu 5 [§ 9 ods. 1 písm. h)]</w:t>
      </w:r>
    </w:p>
    <w:p w14:paraId="2385121C" w14:textId="77777777" w:rsidR="004F4793" w:rsidRPr="008E3361" w:rsidRDefault="004F4793" w:rsidP="004F4793">
      <w:pPr>
        <w:jc w:val="both"/>
      </w:pPr>
      <w:r w:rsidRPr="008E3361">
        <w:t>Navrhuje sa upraviť</w:t>
      </w:r>
      <w:r>
        <w:t xml:space="preserve"> obsah a </w:t>
      </w:r>
      <w:r w:rsidRPr="008E3361">
        <w:t>používanie pojmov „centrálna architektúra“ a „referenčná architektúra“</w:t>
      </w:r>
      <w:r>
        <w:t>. Zmena vychádza zo skutočnosti, že c</w:t>
      </w:r>
      <w:r w:rsidRPr="00847409">
        <w:t>entrálna a referenčná architektúra nie sú na rovnakej úrovni granularity</w:t>
      </w:r>
      <w:r>
        <w:t xml:space="preserve">. Existuje </w:t>
      </w:r>
      <w:r w:rsidRPr="00847409">
        <w:t>centráln</w:t>
      </w:r>
      <w:r>
        <w:t>a</w:t>
      </w:r>
      <w:r w:rsidRPr="00847409">
        <w:t xml:space="preserve"> architektúr</w:t>
      </w:r>
      <w:r>
        <w:t>a</w:t>
      </w:r>
      <w:r w:rsidRPr="00847409">
        <w:t xml:space="preserve"> a architektúr</w:t>
      </w:r>
      <w:r>
        <w:t>a</w:t>
      </w:r>
      <w:r w:rsidRPr="00847409">
        <w:t xml:space="preserve"> orgánu riadenia. Obe pozostávajú zo strategickej a referenčnej architektúry</w:t>
      </w:r>
      <w:r>
        <w:t>. V týchto intenciách sa navrhuje úprava predmetného ustanovenia.</w:t>
      </w:r>
    </w:p>
    <w:p w14:paraId="43147E30" w14:textId="77777777" w:rsidR="004F4793" w:rsidRDefault="004F4793" w:rsidP="004F4793">
      <w:pPr>
        <w:jc w:val="both"/>
        <w:rPr>
          <w:b/>
          <w:bCs/>
        </w:rPr>
      </w:pPr>
    </w:p>
    <w:p w14:paraId="0439C2E5" w14:textId="77777777" w:rsidR="004F4793" w:rsidRPr="00A56F2A" w:rsidRDefault="004F4793" w:rsidP="004F4793">
      <w:pPr>
        <w:jc w:val="both"/>
        <w:rPr>
          <w:b/>
          <w:bCs/>
        </w:rPr>
      </w:pPr>
      <w:r w:rsidRPr="00A56F2A">
        <w:rPr>
          <w:b/>
          <w:bCs/>
        </w:rPr>
        <w:t xml:space="preserve">K bodu </w:t>
      </w:r>
      <w:r>
        <w:rPr>
          <w:b/>
          <w:bCs/>
        </w:rPr>
        <w:t>6</w:t>
      </w:r>
      <w:r w:rsidRPr="00A56F2A">
        <w:rPr>
          <w:b/>
          <w:bCs/>
        </w:rPr>
        <w:t xml:space="preserve"> [§ 9 ods. 1 písm. </w:t>
      </w:r>
      <w:r>
        <w:rPr>
          <w:b/>
          <w:bCs/>
        </w:rPr>
        <w:t>w</w:t>
      </w:r>
      <w:r w:rsidRPr="00A56F2A">
        <w:rPr>
          <w:b/>
          <w:bCs/>
        </w:rPr>
        <w:t>)]</w:t>
      </w:r>
    </w:p>
    <w:p w14:paraId="36F67B4C" w14:textId="77777777" w:rsidR="004F4793" w:rsidRPr="008A74B1" w:rsidRDefault="004F4793" w:rsidP="004F4793">
      <w:pPr>
        <w:jc w:val="both"/>
      </w:pPr>
      <w:r w:rsidRPr="00A56F2A">
        <w:t>V</w:t>
      </w:r>
      <w:r>
        <w:t> </w:t>
      </w:r>
      <w:r w:rsidRPr="00A56F2A">
        <w:t>rámci životnej situácie sa vytvorí jednotný</w:t>
      </w:r>
      <w:r w:rsidRPr="008A74B1">
        <w:t xml:space="preserve"> celok elektronických služieb, ktoré budú na seba naviazané. Na tento účel je potrebné posilniť postavenie orgánu vedenia s</w:t>
      </w:r>
      <w:r>
        <w:t> </w:t>
      </w:r>
      <w:r w:rsidRPr="008A74B1">
        <w:t xml:space="preserve">cieľom koordinovať proces životných situácii. </w:t>
      </w:r>
    </w:p>
    <w:p w14:paraId="28E4DD9D" w14:textId="77777777" w:rsidR="004F4793" w:rsidRPr="008A74B1" w:rsidRDefault="004F4793" w:rsidP="004F4793">
      <w:pPr>
        <w:jc w:val="both"/>
      </w:pPr>
    </w:p>
    <w:p w14:paraId="6F16A30E" w14:textId="77777777" w:rsidR="004F4793" w:rsidRDefault="004F4793" w:rsidP="004F4793">
      <w:pPr>
        <w:jc w:val="both"/>
        <w:rPr>
          <w:b/>
          <w:bCs/>
        </w:rPr>
      </w:pPr>
      <w:r>
        <w:rPr>
          <w:b/>
          <w:bCs/>
        </w:rPr>
        <w:t>K bodu 7 (§ 10 ods. 1)</w:t>
      </w:r>
    </w:p>
    <w:p w14:paraId="527A33D1" w14:textId="77777777" w:rsidR="004F4793" w:rsidRDefault="004F4793" w:rsidP="004F4793">
      <w:pPr>
        <w:jc w:val="both"/>
        <w:rPr>
          <w:b/>
          <w:bCs/>
        </w:rPr>
      </w:pPr>
      <w:r w:rsidRPr="002C067D">
        <w:t>Legislatívno-technická úprava</w:t>
      </w:r>
      <w:r>
        <w:t xml:space="preserve"> nadväzujúca na zmeny v § 9 ods. 1 písm. h).</w:t>
      </w:r>
    </w:p>
    <w:p w14:paraId="3522A9C6" w14:textId="77777777" w:rsidR="004F4793" w:rsidRDefault="004F4793" w:rsidP="004F4793">
      <w:pPr>
        <w:jc w:val="both"/>
        <w:rPr>
          <w:b/>
          <w:bCs/>
        </w:rPr>
      </w:pPr>
    </w:p>
    <w:p w14:paraId="0DD7EA66" w14:textId="77777777" w:rsidR="004F4793" w:rsidRPr="008A74B1" w:rsidRDefault="004F4793" w:rsidP="004F4793">
      <w:pPr>
        <w:jc w:val="both"/>
        <w:rPr>
          <w:b/>
          <w:bCs/>
        </w:rPr>
      </w:pPr>
      <w:r w:rsidRPr="008A74B1">
        <w:rPr>
          <w:b/>
          <w:bCs/>
        </w:rPr>
        <w:t xml:space="preserve">K bodu </w:t>
      </w:r>
      <w:r>
        <w:rPr>
          <w:b/>
          <w:bCs/>
        </w:rPr>
        <w:t>8</w:t>
      </w:r>
      <w:r w:rsidRPr="008A74B1">
        <w:rPr>
          <w:b/>
          <w:bCs/>
        </w:rPr>
        <w:t xml:space="preserve"> (§ 11 ods. 4)</w:t>
      </w:r>
    </w:p>
    <w:p w14:paraId="2F47F9E3" w14:textId="77777777" w:rsidR="004F4793" w:rsidRPr="008A74B1" w:rsidRDefault="004F4793" w:rsidP="004F4793">
      <w:pPr>
        <w:jc w:val="both"/>
      </w:pPr>
      <w:r w:rsidRPr="008A74B1">
        <w:t xml:space="preserve">Vo vzťahu k plneniu povinností </w:t>
      </w:r>
      <w:r>
        <w:t xml:space="preserve">orgánom riadenia </w:t>
      </w:r>
      <w:r w:rsidRPr="008A74B1">
        <w:t>sa ustanovuje rozšíriť plnenie povinností aj vo vzťahu k poskytovaným elektronickým službám orgánov riadenia a taktiež k spôsobu financovania. Ako príklad uvádzame financovanie vlastnými finančnými prostriedkami, napríklad obec v rámci samosprávnej pôsobnosti.</w:t>
      </w:r>
      <w:r>
        <w:t xml:space="preserve"> V nadväznosti na doplnenie § 13a sa navrhuje upraviť aj vnútorný odkaz.</w:t>
      </w:r>
    </w:p>
    <w:p w14:paraId="774A4118" w14:textId="77777777" w:rsidR="004F4793" w:rsidRPr="008A74B1" w:rsidRDefault="004F4793" w:rsidP="004F4793"/>
    <w:p w14:paraId="76B0286E" w14:textId="77777777" w:rsidR="004F4793" w:rsidRDefault="004F4793" w:rsidP="004F4793">
      <w:pPr>
        <w:rPr>
          <w:b/>
          <w:bCs/>
        </w:rPr>
      </w:pPr>
      <w:r>
        <w:rPr>
          <w:b/>
          <w:bCs/>
        </w:rPr>
        <w:t>K bodu 9 (§ 11 ods. 5)</w:t>
      </w:r>
    </w:p>
    <w:p w14:paraId="5F0C07C2" w14:textId="77777777" w:rsidR="004F4793" w:rsidRDefault="004F4793" w:rsidP="004F4793">
      <w:r>
        <w:t>V nadväznosti na doplnenie § 13a sa navrhuje upraviť vnútorný odkaz.</w:t>
      </w:r>
    </w:p>
    <w:p w14:paraId="6B928ACB" w14:textId="77777777" w:rsidR="004F4793" w:rsidRPr="008E3361" w:rsidRDefault="004F4793" w:rsidP="004F4793"/>
    <w:p w14:paraId="6FE38E78" w14:textId="77777777" w:rsidR="004F4793" w:rsidRPr="008A74B1" w:rsidRDefault="004F4793" w:rsidP="004F4793">
      <w:pPr>
        <w:rPr>
          <w:b/>
          <w:bCs/>
        </w:rPr>
      </w:pPr>
      <w:r w:rsidRPr="008A74B1">
        <w:rPr>
          <w:b/>
          <w:bCs/>
        </w:rPr>
        <w:t xml:space="preserve">K bodu </w:t>
      </w:r>
      <w:r>
        <w:rPr>
          <w:b/>
          <w:bCs/>
        </w:rPr>
        <w:t>10</w:t>
      </w:r>
      <w:r w:rsidRPr="008A74B1">
        <w:rPr>
          <w:b/>
          <w:bCs/>
        </w:rPr>
        <w:t xml:space="preserve"> [§ 12 ods. 1 písm. b)]</w:t>
      </w:r>
    </w:p>
    <w:p w14:paraId="07DD9433" w14:textId="77777777" w:rsidR="004F4793" w:rsidRPr="008A74B1" w:rsidRDefault="004F4793" w:rsidP="004F4793">
      <w:pPr>
        <w:jc w:val="both"/>
      </w:pPr>
      <w:r w:rsidRPr="008A74B1">
        <w:t>Cieľom navrhovanej úpravy je upresniť povinnosť sprístupňovať informácie o elektronických službách a informačných technológiách vzhľadom na aplikačnú prax, kedy časť subjektov neaktualizuje informácie a</w:t>
      </w:r>
      <w:r>
        <w:t xml:space="preserve"> tak </w:t>
      </w:r>
      <w:r w:rsidRPr="008A74B1">
        <w:t>dochádza k zverejňovaniu neplatných informácií napríklad na ústrednom portáli verejnej správy, č</w:t>
      </w:r>
      <w:r>
        <w:t>o môže mať za následok nesprávne informovanie</w:t>
      </w:r>
      <w:r w:rsidRPr="008A74B1">
        <w:t xml:space="preserve"> používate</w:t>
      </w:r>
      <w:r>
        <w:t>ľov</w:t>
      </w:r>
      <w:r w:rsidRPr="008A74B1">
        <w:t>. Vzhľadom na previazanie funkčnosti služieb uvedením ich platných parametrov v centrálnom metainformačnom systéme je udržiavanie aktuálnych informácií nevyhnutné pre použiteľnosť služieb.</w:t>
      </w:r>
      <w:r>
        <w:t xml:space="preserve"> </w:t>
      </w:r>
      <w:r w:rsidRPr="008A74B1">
        <w:t>Centrálny metainformačný systém je primárnym zdrojom informácií o vlastnostiach a určených technických parametroch elektronickej služby. Cieľom úpravy je zabezpečiť, aby informácie a parametre služby vyžadované a uvedené v centrálnom metainformačnom systéme boli aktuálne a zodpovedali požiadavkám a funkciám danej elektronickej služby a splnenie požiadaviek bolo možné automatizovane kontrolovať. Ide napríklad o vyžadovanú autorizáciu, vyžadovanú úroveň prostriedkov elektronickej identifikácie pre prístup k službe, používané elektronické formuláre a podobne. Vzhľadom na prebiehajúcu implementáciu automatizácie preberania údajov o službách z centrálneho metainformačného systému do ústredného portálu verejnej správy je potrebné zabezpečiť aktuálnosť informácií.</w:t>
      </w:r>
    </w:p>
    <w:p w14:paraId="5A8B0CB7" w14:textId="77777777" w:rsidR="004F4793" w:rsidRPr="008A74B1" w:rsidRDefault="004F4793" w:rsidP="004F4793"/>
    <w:p w14:paraId="2373BE6B" w14:textId="77777777" w:rsidR="004F4793" w:rsidRDefault="004F4793" w:rsidP="004F4793">
      <w:pPr>
        <w:jc w:val="both"/>
        <w:rPr>
          <w:b/>
          <w:bCs/>
        </w:rPr>
      </w:pPr>
      <w:r>
        <w:rPr>
          <w:b/>
          <w:bCs/>
        </w:rPr>
        <w:t>K bodu 11 [§ 12 ods. 1 písm. k)]</w:t>
      </w:r>
    </w:p>
    <w:p w14:paraId="2A5CE4F7" w14:textId="77777777" w:rsidR="004F4793" w:rsidRPr="007306F5" w:rsidRDefault="004F4793" w:rsidP="004F4793">
      <w:pPr>
        <w:jc w:val="both"/>
      </w:pPr>
      <w:r w:rsidRPr="007306F5">
        <w:t xml:space="preserve">Už na základe národnej koncepcie z roku 2016 bola v zákone </w:t>
      </w:r>
      <w:r>
        <w:t>o e-Governmente ustanovená</w:t>
      </w:r>
      <w:r w:rsidRPr="007306F5">
        <w:t xml:space="preserve"> povinnosť pre všetky agendové systémy, poskytujúce elektronické služby verejnej správy, a ich správcov, publikovať formou aplikačných rozhraní služby pre spracovanie elektronických podaní, a zároveň všetky súvisiace (pomocné) služby pre úspešné vyplnenie a prípravu podania (napr. doťahovanie údajov, validácia vstupov). Dôvodom tejto povinnosti je splnenie strategických princípov a cieľov zameraných na zvýšenie otvorenosti verejnej správy pre využitie služieb VS v aplikáciách partnerov verejnej správy pre poskytovanie nových služieb využívajúcich výhod</w:t>
      </w:r>
      <w:r>
        <w:t>y</w:t>
      </w:r>
      <w:r w:rsidRPr="007306F5">
        <w:t xml:space="preserve"> takejto integrácie a zvyšovanie rozsahu využívaných služieb VS. Okrem zvýšenia otvorenosti verejnej správy pri využívaní služieb VS verejnosťou aj formou integrácie aplikačných rozhraní je jednotne manažované poskytovanie aplikačných rozhraní pre integráciu verejnej správy potrebné pre naplnenie strategických zámerov budovania multikanálového prostredia (napr. mobilné aplikácie) a aj využívania verejných cloudových služieb pre implementáciu ISVS. Pre zabezpečenie takéhoto jednotného, riadeného a monitorovaného spôsobu poskytovania služieb VS bolo zákonom definované používanie spoločného modulu procesnej integrácie a integrácie údajov, ktorý podľa zákona (§ 10 ods. 11) zabezpečuje jednotný prístup informačných systémov k informačným systémom orgánu verejnej moci na účely výkonu verejnej moci elektronicky. V zmysle schválených strategických dokumentov rozvoja ITVS využíva modul procesnej integrácie a integrácie údajov na manažment publikovaných aplikačných rozhraní (API manažment) technológiu „API gateway“ a súvisiacich technológií pre správu publikovaných aplikačných rozhraní. Z praxe a tiež na základe pripomienok verejnosti vyplýva potreba jednoznačnejšej legislatívnej podpory pre sprístupnenie aplikačných rozhraní ISVS a preto sa navrhuje nasledovná úprava zákona o ITVS a</w:t>
      </w:r>
      <w:r>
        <w:t> súvisiace úpravy v</w:t>
      </w:r>
      <w:r w:rsidRPr="004A24AB">
        <w:t xml:space="preserve"> zákone </w:t>
      </w:r>
      <w:r>
        <w:t>o e-Governmente</w:t>
      </w:r>
      <w:r w:rsidRPr="007306F5">
        <w:t>.</w:t>
      </w:r>
    </w:p>
    <w:p w14:paraId="48C8A641" w14:textId="77777777" w:rsidR="004F4793" w:rsidRDefault="004F4793" w:rsidP="004F4793">
      <w:pPr>
        <w:jc w:val="both"/>
        <w:rPr>
          <w:b/>
          <w:bCs/>
        </w:rPr>
      </w:pPr>
    </w:p>
    <w:p w14:paraId="549EF33D" w14:textId="77777777" w:rsidR="004F4793" w:rsidRPr="008A74B1" w:rsidRDefault="004F4793" w:rsidP="004F4793">
      <w:pPr>
        <w:jc w:val="both"/>
        <w:rPr>
          <w:b/>
          <w:bCs/>
        </w:rPr>
      </w:pPr>
      <w:r w:rsidRPr="008A74B1">
        <w:rPr>
          <w:b/>
          <w:bCs/>
        </w:rPr>
        <w:t>K bodu</w:t>
      </w:r>
      <w:r>
        <w:rPr>
          <w:b/>
          <w:bCs/>
        </w:rPr>
        <w:t xml:space="preserve"> 12</w:t>
      </w:r>
      <w:r w:rsidRPr="008A74B1">
        <w:rPr>
          <w:b/>
          <w:bCs/>
        </w:rPr>
        <w:t xml:space="preserve"> (§ 13 ods. 2)</w:t>
      </w:r>
    </w:p>
    <w:p w14:paraId="70E64D04" w14:textId="77777777" w:rsidR="004F4793" w:rsidRDefault="004F4793" w:rsidP="004F4793">
      <w:pPr>
        <w:jc w:val="both"/>
      </w:pPr>
      <w:r w:rsidRPr="008A74B1">
        <w:t>Navrhuje sa doplniť lehota predloženia koncepcie rozvoja ITVS orgánom riadenia, ktoré vzniknú</w:t>
      </w:r>
      <w:r>
        <w:t>, keďže v</w:t>
      </w:r>
      <w:r w:rsidRPr="008A74B1">
        <w:t xml:space="preserve"> súčasnom znení zákona o ITVS absentuje lehota, </w:t>
      </w:r>
      <w:r>
        <w:t>v akej</w:t>
      </w:r>
      <w:r w:rsidRPr="008A74B1">
        <w:t xml:space="preserve"> má novovzniknutý orgán riadenia predložiť koncepciu rozvoja orgánu vedenia.</w:t>
      </w:r>
    </w:p>
    <w:p w14:paraId="4E2574D5" w14:textId="77777777" w:rsidR="004F4793" w:rsidRDefault="004F4793" w:rsidP="004F4793">
      <w:pPr>
        <w:jc w:val="both"/>
      </w:pPr>
    </w:p>
    <w:p w14:paraId="0DFFFC41" w14:textId="77777777" w:rsidR="004F4793" w:rsidRPr="00035B32" w:rsidRDefault="004F4793" w:rsidP="004F4793">
      <w:pPr>
        <w:jc w:val="both"/>
        <w:rPr>
          <w:b/>
        </w:rPr>
      </w:pPr>
      <w:r w:rsidRPr="00035B32">
        <w:rPr>
          <w:b/>
        </w:rPr>
        <w:t>K bodu 13 (§ 13 ods. 5)</w:t>
      </w:r>
    </w:p>
    <w:p w14:paraId="307CFA2B" w14:textId="77777777" w:rsidR="004F4793" w:rsidRPr="008A74B1" w:rsidRDefault="004F4793" w:rsidP="004F4793">
      <w:pPr>
        <w:jc w:val="both"/>
      </w:pPr>
      <w:r w:rsidRPr="00F130A1">
        <w:t xml:space="preserve">Notárska komora Slovenskej republiky </w:t>
      </w:r>
      <w:r>
        <w:t xml:space="preserve">je samosprávnou stavovskou organizáciou, ktorá združuje všetkých notárov pôsobiacich v Slovenskej republike a vedie ich zoznam. </w:t>
      </w:r>
      <w:r w:rsidRPr="00F130A1">
        <w:t>Notárska komora Slovenskej republiky</w:t>
      </w:r>
      <w:r>
        <w:t xml:space="preserve"> taktiež vedie Centrálny informačný systém a zodpovedá za jeho plynulú a bezpečnú prevádzku. Súčasťou Centrálneho informačného systému sú notárske centrálne registre, ktorých vedenie je Notárskej komore</w:t>
      </w:r>
      <w:r w:rsidRPr="00F130A1">
        <w:t xml:space="preserve"> Slovenskej republiky</w:t>
      </w:r>
      <w:r>
        <w:t xml:space="preserve"> zverené zákonom alebo osobitným predpisom a iné notárske registre zriadené, so súhlasom Ministerstva spravodlivosti SR, interným predpisom Notárskej komore</w:t>
      </w:r>
      <w:r w:rsidRPr="00F130A1">
        <w:t xml:space="preserve"> Slovenskej republiky</w:t>
      </w:r>
      <w:r>
        <w:t>. Do Centrálneho informačného systému má prístup každý notár a iné osoby, ak to ustanoví osobitný predpis. Notárskej komore</w:t>
      </w:r>
      <w:r w:rsidRPr="00F130A1">
        <w:t xml:space="preserve"> Slovenskej republiky</w:t>
      </w:r>
      <w:r>
        <w:t xml:space="preserve"> za prístup do Centrálneho informačného systému patrí odmena a náhrada hotových výdavkov. Príjmy Notárskej komory</w:t>
      </w:r>
      <w:r w:rsidRPr="00F130A1">
        <w:t xml:space="preserve"> Slovenskej republiky</w:t>
      </w:r>
      <w:r>
        <w:t xml:space="preserve"> tvoria členské príspevky, dary a iné príjmy. Koncepcia rozvoja Centrálneho informačného systému Notárskej komory</w:t>
      </w:r>
      <w:r w:rsidRPr="00F130A1">
        <w:t xml:space="preserve"> Slovenskej republiky</w:t>
      </w:r>
      <w:r>
        <w:t xml:space="preserve"> vychádza z požiadaviek notárov na úpravu systému, ktorý denne využívajú na plnenie pracovných povinností a keďže je to interný systém financovaný výhradne z poplatkov jeho používateľov máme za to, že v prípade, ak si subjekt pre zabezpečenie svojej prevádzky vytvára vlastné informačné systémy, bez akéhokoľvek financovania zo štátnych zdrojov alebo zdrojov Európskej únie, tak absentuje opodstatnenie, aby vývoj a rozvoj takéhoto ISVS podliehal schváleniu orgánom vedenia, ktoré je definované ako povinnosť daná orgánu riadenia zákonom o ITVS.</w:t>
      </w:r>
    </w:p>
    <w:p w14:paraId="45961212" w14:textId="77777777" w:rsidR="004F4793" w:rsidRPr="008A74B1" w:rsidRDefault="004F4793" w:rsidP="004F4793">
      <w:pPr>
        <w:jc w:val="both"/>
      </w:pPr>
    </w:p>
    <w:p w14:paraId="29401D33" w14:textId="77777777" w:rsidR="004F4793" w:rsidRPr="008A74B1" w:rsidRDefault="004F4793" w:rsidP="004F4793">
      <w:pPr>
        <w:jc w:val="both"/>
      </w:pPr>
      <w:r w:rsidRPr="008A74B1">
        <w:rPr>
          <w:b/>
          <w:bCs/>
        </w:rPr>
        <w:t xml:space="preserve">K bodu </w:t>
      </w:r>
      <w:r>
        <w:rPr>
          <w:b/>
          <w:bCs/>
        </w:rPr>
        <w:t>14</w:t>
      </w:r>
      <w:r w:rsidRPr="008A74B1">
        <w:rPr>
          <w:b/>
          <w:bCs/>
        </w:rPr>
        <w:t xml:space="preserve"> (§ 13 ods. 6 a 7)</w:t>
      </w:r>
    </w:p>
    <w:p w14:paraId="1BACED25" w14:textId="77777777" w:rsidR="004F4793" w:rsidRPr="008A74B1" w:rsidRDefault="004F4793" w:rsidP="004F4793">
      <w:pPr>
        <w:jc w:val="both"/>
      </w:pPr>
      <w:r w:rsidRPr="008A74B1">
        <w:t>Navrhuje sa zavedenie povinnosti pre orgány riadenia aktualizovať koncepciu rozvoja tak, aby bol zabezpečený súlad s národnou koncepciou a schváleným akčným plánom, ktorý je vydaný na jej základe, najmenej raz za 12 mesiacov. Orgány riadenia budú povinné evidovať v centrálnom metainformačnom systéme verejnej správy koncepcie rozvoja a ich aktualizácie</w:t>
      </w:r>
      <w:r>
        <w:t>,  a to bezodkladne po vypracovaní alebo jej aktualizácií</w:t>
      </w:r>
      <w:r w:rsidRPr="008A74B1">
        <w:t>.</w:t>
      </w:r>
    </w:p>
    <w:p w14:paraId="54126015" w14:textId="77777777" w:rsidR="004F4793" w:rsidRPr="008A74B1" w:rsidRDefault="004F4793" w:rsidP="004F4793">
      <w:pPr>
        <w:jc w:val="both"/>
      </w:pPr>
    </w:p>
    <w:p w14:paraId="5FFCF5F2" w14:textId="77777777" w:rsidR="004F4793" w:rsidRDefault="004F4793" w:rsidP="004F4793">
      <w:pPr>
        <w:jc w:val="both"/>
        <w:rPr>
          <w:b/>
          <w:bCs/>
        </w:rPr>
      </w:pPr>
      <w:r>
        <w:rPr>
          <w:b/>
          <w:bCs/>
        </w:rPr>
        <w:t>K bodu 15 (§ 13a)</w:t>
      </w:r>
    </w:p>
    <w:p w14:paraId="06742979" w14:textId="77777777" w:rsidR="004F4793" w:rsidRDefault="004F4793" w:rsidP="004F4793">
      <w:pPr>
        <w:jc w:val="both"/>
      </w:pPr>
      <w:r>
        <w:t>Podľa Národnej koncepcie informatizácie verejnej správy 2021 je dosiahnutie strategického cieľa (dosiahnuť do roku 2026 pokrok v DESI indexe o 40 %) premietnuté do štyroch prioritných osí, kde prvou z nich je prioritná os 1 Lepšie služby, zameraná na zvyšovanie spokojnosti s elektronickými službami, ich zjednodušovanie a zavádzanie komplexných životných situácií. Z tohto dôvodu sa navrhuje popri povinnostiach v jednotlivých fázach riadenia v správe ITVS ustanoviť prierezové a paralelné povinnosti vo vzťahu špecificky k elektronizácii agendy a ku kvalite používateľskej skúsenosti, ktoré sú postavené na troch hlavných pilieroch.</w:t>
      </w:r>
    </w:p>
    <w:p w14:paraId="3167B14B" w14:textId="77777777" w:rsidR="004F4793" w:rsidRDefault="004F4793" w:rsidP="004F4793">
      <w:pPr>
        <w:jc w:val="both"/>
      </w:pPr>
      <w:r>
        <w:t xml:space="preserve">Prvým sú priorizácia služieb a prístup k elektronizácii z pohľadu životnej situácie, ktoré úzko súvisia s efektívnym vynakladaním zdrojov na budovanie a rozvoj ITVS a skvalitňovaním používateľskej skúsenosti. Tento princíp vychádza rovnako z Národnej koncepcie informatizácie verejnej správy,  podľa ktorej okrem metodického štandardu používateľskej kvality (kritériá dobrej služby) bude pre prioritné služby zavedený proces centrálnej kontroly návrhu a vývoja v súlade so štandardom používateľskej kvality (tzv. Service Design Authority). Táto požiadavka následne súvisí aj s cieľom, aby boli prioritne implementované tie služby a životné situácie, pri ktorých bude dosiahnuté najväčšie zníženie administratívy, resp. odbúrajú najväčšiu časť problémov existujúceho stavu. Z hľadiska procesu bude určovanie prioritných elektronických služieb prebiehať na základe posúdenia identifikačných kritérií, ktoré budú ustanovené v štandardoch (teda vo vykonávacom predpise k zákonu o ITVS). Určovanie prioritnej elektronickej služby bude primárne v pôsobnosti orgánu riadenia, pričom orgán vedenia bude mať to isté oprávnenie pre prípady, kedy elektronická služba aj po splnení kritérií nebude určená za prioritnú orgánom riadenia. Dôsledkom určenia elektronickej služby za prioritnú je vytváranie a schvaľovanie zámeru na jej vytvorenie, alebo zmenu – inými slovami silnejšia kontrola nad vytváraním a zmenou takejto služby zo strany orgánu vedenia. Samotné podmienky, ktoré dnes pre vytváranie a zmenu elektronickej služby platia sa týmto nemenia. </w:t>
      </w:r>
    </w:p>
    <w:p w14:paraId="720955C5" w14:textId="77777777" w:rsidR="004F4793" w:rsidRDefault="004F4793" w:rsidP="004F4793">
      <w:pPr>
        <w:jc w:val="both"/>
      </w:pPr>
      <w:r w:rsidRPr="00D81BCF">
        <w:t xml:space="preserve">V rámci životnej situácie </w:t>
      </w:r>
      <w:r>
        <w:t>je cieľom vytvoriť</w:t>
      </w:r>
      <w:r w:rsidRPr="00D81BCF">
        <w:t xml:space="preserve"> jednotný celok elektronických služieb, ktoré budú na seba naviazané. </w:t>
      </w:r>
      <w:r w:rsidRPr="007306F5">
        <w:t>Povinnosť poskytnutia súčinnosti sa zároveň viaže na elektronizáciu agendy a na vytváranie "nadväzujúcich" elektronických služieb v rámci používateľskej cesty k jednej životnej situácii. Z povahy veci je vylúčená v procese, v ktorom je daná agenda podľa zákona vykonávaná v listinnej podobe.</w:t>
      </w:r>
      <w:r>
        <w:t xml:space="preserve"> </w:t>
      </w:r>
      <w:r w:rsidRPr="007306F5">
        <w:t xml:space="preserve">Záväzok, resp. povinnosť poskytovať súčinnosť je v slovenskom právnom poriadku pomerne bežný, najmä ako povinnosť poskytovať súčinnosť rôznym orgánom verejnej moci, častokrát vymedzená len cieľom (umožniť plnenie úloh týchto orgánov). Obsah takýchto záväzkov, resp. povinností sa vždy vykladá v súlade s gramatickým významom slova (spolupracovať, zúčastniť sa na činnosti), avšak nikdy nejde o „neobmedzenú možnosť prikázať urobiť čokoľvek“. Súčinnosť je vždy vykladaná ako spolupráca, pomoc v rozsahu, v akom sa dá rozumne vyžadovať a v akom to je v rámci možností povinnej osoby vo vzťahu k veciam, ktorými ona disponuje. </w:t>
      </w:r>
      <w:r>
        <w:t>V tejto súvislosti je tiež</w:t>
      </w:r>
      <w:r w:rsidRPr="00D81BCF">
        <w:t xml:space="preserve"> potrebné posilniť postavenie orgánu vedenia s cieľom koordinovať proces životných situácii a zároveň stanoviť povinnosť orgánov riadenia poskytovať si vzájomnú súčinnosť smerujúcu k dosiahnutiu účelu procesu elektronizácie smerom k občanovi k vyriešeniu jeho životnej situácie.</w:t>
      </w:r>
    </w:p>
    <w:p w14:paraId="6B2C6A5D" w14:textId="77777777" w:rsidR="004F4793" w:rsidRPr="00500647" w:rsidRDefault="004F4793" w:rsidP="004F4793">
      <w:pPr>
        <w:jc w:val="both"/>
      </w:pPr>
      <w:r w:rsidRPr="00500647">
        <w:t>Druhým je zlepšovanie používateľskej skúsenosti a rešpektovanie potrieb koncových používateľov. Návrhom zákona sa stanovuje právny základ pre povinnú aplikáciu postupov elektronizácie agendy verejnej správy, ktoré zabezpečuje zlepšovanie používateľskej skúsenosti pri používaní digitálnych služieb koncovým používateľom služieb. Uvedená povinnosť nadväzuje na strategickú iniciatívu Orientácia na použiteľnosť a prívetivú skúsenosť vyplývajúcu z Národnej koncepcie informatizácie verejnej správy z roku 2021.</w:t>
      </w:r>
    </w:p>
    <w:p w14:paraId="21F95F1C" w14:textId="77777777" w:rsidR="004F4793" w:rsidRPr="00500647" w:rsidRDefault="004F4793" w:rsidP="004F4793">
      <w:pPr>
        <w:jc w:val="both"/>
      </w:pPr>
      <w:r w:rsidRPr="00500647">
        <w:t>Účelom zberu spätnej väzby používateľskej skúsenosti koncových služieb je získanie údajov potrebných na vyhodnocovanie používateľskej skúsenosti pri využívaní služieb, vyhodnocovanie problémových bodov za účelom návrhu zmeny vedúcej k zlepšeniu používateľskej skúsenosti. Koncovou službou je služba, ktorá napĺňa určitú potrebu používateľa pri komunikácii s verejnou správou. Používateľská skúsenosť má byť plynulá, to znamená služba je jednoduchá na vyhľadanie, porozumenie a realizáciu. Poskytuje prehľadné informácie k ďalším krokom. Cieľom zberu spätnej väzby koncových služieb je evidencia potenciálu zlepšenia služby z pohľadu jej koncového používateľa s účelom ďalšieho rozvoja služby.</w:t>
      </w:r>
    </w:p>
    <w:p w14:paraId="76C2693E" w14:textId="77777777" w:rsidR="004F4793" w:rsidRPr="007865C1" w:rsidRDefault="004F4793" w:rsidP="004F4793">
      <w:pPr>
        <w:jc w:val="both"/>
        <w:rPr>
          <w:highlight w:val="yellow"/>
        </w:rPr>
      </w:pPr>
      <w:r w:rsidRPr="00500647">
        <w:t>Je dôležité, aby bol spôsob zberu spätnej väzby rovnaký a konzistentný pre všetky elektronické služby (dostupný na: https://idsk.gov.sk/vzory/stranky-so-spatnou-vazbou), aby bolo následne možné navzájom porovnávať spokojnosť používateľov s jednotlivými elektronickými službami a identifikovať tak elektronické služby, s ktorými sú používatelia najspokojnejší, respektíve najnespokojnejší. Toto vyhodnocovanie porovnania elektronických služieb má pripravovať orgán vedenia, ktorému údaje vo vhodnom formáte poskytnú orgány riadenia.</w:t>
      </w:r>
    </w:p>
    <w:p w14:paraId="1B4C78F2" w14:textId="77777777" w:rsidR="004F4793" w:rsidRPr="008E3361" w:rsidRDefault="004F4793" w:rsidP="004F4793">
      <w:pPr>
        <w:jc w:val="both"/>
      </w:pPr>
      <w:r w:rsidRPr="00500647">
        <w:t xml:space="preserve">V neposlednom rade dôležitým krokom je </w:t>
      </w:r>
      <w:r>
        <w:t xml:space="preserve">ustanoviť </w:t>
      </w:r>
      <w:r w:rsidRPr="00500647">
        <w:t xml:space="preserve">štandard pre dizajnový manuál </w:t>
      </w:r>
      <w:r>
        <w:t>priamo v zákone o ITVS.</w:t>
      </w:r>
      <w:r w:rsidRPr="007865C1">
        <w:rPr>
          <w:shd w:val="clear" w:color="auto" w:fill="FFFFFF" w:themeFill="background1"/>
        </w:rPr>
        <w:t xml:space="preserve"> Navrhované</w:t>
      </w:r>
      <w:r w:rsidRPr="00500647">
        <w:t xml:space="preserve"> povinnosti orgánu riadenia v tejto oblasti nadväzujú na požiadavku zjednocovania elektronických služieb vyplývajúcu z Národnej koncepcie informatizácie verejnej správy z roku 2016, ktorá si dala za cieľ efektívne prepojiť informačné systémy, minimalizovať používateľské interakcie a nevyhnutnosť manuálneho vypĺňania údajov. Zároveň nadväzuje aj na uznesenie vlády Slovenskej republiky č. 654 zo 14. októbra 2020, ktorým bol schválený materiál Základné princípy realizácie IT projektov financovaných z verejných zdrojov a zdrojov EÚ, v ktorých je ako základný princíp č. 5 písm. g) uvedený dôraz na implementovanie diela pri dodržaní pravidiel jednotného dizajnového manuálu ID-SK (dostupné na </w:t>
      </w:r>
      <w:hyperlink r:id="rId19" w:history="1">
        <w:r w:rsidRPr="00500647">
          <w:rPr>
            <w:rStyle w:val="Hypertextovprepojenie"/>
          </w:rPr>
          <w:t>www.idsk.gov.sk</w:t>
        </w:r>
      </w:hyperlink>
      <w:r w:rsidRPr="00500647">
        <w:t>). Navrhuje sa, aby mal orgán riadenia povinnosť používať pri tvorbe a zmene grafických používateľských rozhraní elektronických služieb, webových stránok, ktoré ich zobrazujú a hlavných webových sídiel jednotný dizajnový manuál.</w:t>
      </w:r>
    </w:p>
    <w:p w14:paraId="5FC8947C" w14:textId="77777777" w:rsidR="004F4793" w:rsidRPr="008A74B1" w:rsidRDefault="004F4793" w:rsidP="004F4793">
      <w:pPr>
        <w:jc w:val="both"/>
      </w:pPr>
    </w:p>
    <w:p w14:paraId="2CF53835" w14:textId="77777777" w:rsidR="004F4793" w:rsidRDefault="004F4793" w:rsidP="004F4793">
      <w:pPr>
        <w:jc w:val="both"/>
        <w:rPr>
          <w:b/>
          <w:bCs/>
        </w:rPr>
      </w:pPr>
      <w:r w:rsidRPr="008A74B1">
        <w:rPr>
          <w:b/>
          <w:bCs/>
        </w:rPr>
        <w:t>K bod</w:t>
      </w:r>
      <w:r>
        <w:rPr>
          <w:b/>
          <w:bCs/>
        </w:rPr>
        <w:t>u</w:t>
      </w:r>
      <w:r w:rsidRPr="008A74B1">
        <w:rPr>
          <w:b/>
          <w:bCs/>
        </w:rPr>
        <w:t xml:space="preserve"> 1</w:t>
      </w:r>
      <w:r>
        <w:rPr>
          <w:b/>
          <w:bCs/>
        </w:rPr>
        <w:t>6</w:t>
      </w:r>
      <w:r w:rsidRPr="008A74B1">
        <w:rPr>
          <w:b/>
          <w:bCs/>
        </w:rPr>
        <w:t xml:space="preserve"> </w:t>
      </w:r>
      <w:r>
        <w:rPr>
          <w:b/>
          <w:bCs/>
        </w:rPr>
        <w:t>(§ 14 ods. 3)</w:t>
      </w:r>
    </w:p>
    <w:p w14:paraId="567A16F4" w14:textId="77777777" w:rsidR="004F4793" w:rsidRPr="008A74B1" w:rsidRDefault="004F4793" w:rsidP="004F4793">
      <w:pPr>
        <w:jc w:val="both"/>
      </w:pPr>
      <w:r w:rsidRPr="008A74B1">
        <w:t>Legislatívno-technická úprava</w:t>
      </w:r>
      <w:r>
        <w:t xml:space="preserve"> nadväzujúca na zmeny v § 13.</w:t>
      </w:r>
    </w:p>
    <w:p w14:paraId="24CF7658" w14:textId="77777777" w:rsidR="004F4793" w:rsidRDefault="004F4793" w:rsidP="004F4793">
      <w:pPr>
        <w:jc w:val="both"/>
      </w:pPr>
    </w:p>
    <w:p w14:paraId="45FBD06E" w14:textId="77777777" w:rsidR="004F4793" w:rsidRPr="007306F5" w:rsidRDefault="004F4793" w:rsidP="004F4793">
      <w:pPr>
        <w:jc w:val="both"/>
        <w:rPr>
          <w:b/>
          <w:bCs/>
        </w:rPr>
      </w:pPr>
      <w:r w:rsidRPr="007306F5">
        <w:rPr>
          <w:b/>
          <w:bCs/>
        </w:rPr>
        <w:t>K bodu 1</w:t>
      </w:r>
      <w:r>
        <w:rPr>
          <w:b/>
          <w:bCs/>
        </w:rPr>
        <w:t>7</w:t>
      </w:r>
      <w:r w:rsidRPr="007306F5">
        <w:rPr>
          <w:b/>
          <w:bCs/>
        </w:rPr>
        <w:t xml:space="preserve"> (§ 14 ods. 4)</w:t>
      </w:r>
    </w:p>
    <w:p w14:paraId="6877EA38" w14:textId="77777777" w:rsidR="004F4793" w:rsidRPr="008A74B1" w:rsidRDefault="004F4793" w:rsidP="004F4793">
      <w:pPr>
        <w:jc w:val="both"/>
      </w:pPr>
      <w:r w:rsidRPr="008A74B1">
        <w:t>Legislatívno-technická úprava</w:t>
      </w:r>
      <w:r>
        <w:t xml:space="preserve"> nadväzujúca na zmeny pojmov v § 9.</w:t>
      </w:r>
    </w:p>
    <w:p w14:paraId="5B615383" w14:textId="77777777" w:rsidR="004F4793" w:rsidRDefault="004F4793" w:rsidP="004F4793">
      <w:pPr>
        <w:jc w:val="both"/>
        <w:rPr>
          <w:b/>
          <w:bCs/>
        </w:rPr>
      </w:pPr>
    </w:p>
    <w:p w14:paraId="3FCDBB61" w14:textId="77777777" w:rsidR="004F4793" w:rsidRPr="008A74B1" w:rsidRDefault="004F4793" w:rsidP="004F4793">
      <w:pPr>
        <w:jc w:val="both"/>
        <w:rPr>
          <w:b/>
          <w:bCs/>
        </w:rPr>
      </w:pPr>
      <w:r>
        <w:rPr>
          <w:b/>
          <w:bCs/>
        </w:rPr>
        <w:t xml:space="preserve">K bodu 18 </w:t>
      </w:r>
      <w:r w:rsidRPr="008A74B1">
        <w:rPr>
          <w:b/>
          <w:bCs/>
        </w:rPr>
        <w:t>[§ 15 ods. 4 písm. f)]</w:t>
      </w:r>
    </w:p>
    <w:p w14:paraId="529A5C91" w14:textId="77777777" w:rsidR="004F4793" w:rsidRDefault="004F4793" w:rsidP="004F4793">
      <w:pPr>
        <w:jc w:val="both"/>
      </w:pPr>
      <w:r w:rsidRPr="008A74B1">
        <w:t>Návrhom zákona sa stanovuje povinnosť orgánov riadenia získať súhlas orgánu vedenia so zámerom vytvorenia, obstarania a prevádzkovania mobilnej aplikácie. Uvedená povinnosť sa zavádza z dôvodu zachovania základných princípov správy ITVS, najmä povinnosti dodržiavať princíp hospodárnosti [§ 6 ods. 1 písm. a)] a povinnosti prednostne využívať už existujúce informačné technológie [§ 6 ods. 1 písm. d)] s účelom zabrániť vzniku duplicitných informačných technológii. Udeľovanie súhlasu práve orgánom vedenia nadväzuje na povinnosť orgánu vedenia koordinovať budovanie ITVS a rozhodovať o využívaní finančných zdrojov na ich budovanie a rozvoj podľa § 9 ods. 1 písm. e).</w:t>
      </w:r>
    </w:p>
    <w:p w14:paraId="06DE08D6" w14:textId="77777777" w:rsidR="004F4793" w:rsidRPr="008A74B1" w:rsidRDefault="004F4793" w:rsidP="004F4793">
      <w:pPr>
        <w:jc w:val="both"/>
      </w:pPr>
      <w:r>
        <w:t>Z dôvodu plynulosti procesu sa navrhuje, aby mal orgán vedenia lehotu 20 pracovných dní na vyslovenie súhlasu, pričom márnym uplynutím tejto lehoty by bol súhlas udelený fikciou. V prípade orgánov riadenia podľa § 13a ods. 10 sa upravuje predkladanie zámeru na vytvorenie a prevádzkovanie mobilnej aplikácie prostredníctvom neverejnej časti centrálneho metainformačného systému, a to z dôvodov, že ide o orgány riadenia, ktoré nezriedka v tejto pozícii existujú na voľnom trhu a zverejnenie zámeru by mohlo byť zneužité v konkurenčnom boji.</w:t>
      </w:r>
    </w:p>
    <w:p w14:paraId="0F05AB46" w14:textId="77777777" w:rsidR="004F4793" w:rsidRPr="008A74B1" w:rsidRDefault="004F4793" w:rsidP="004F4793">
      <w:pPr>
        <w:jc w:val="both"/>
      </w:pPr>
    </w:p>
    <w:p w14:paraId="67885260" w14:textId="77777777" w:rsidR="004F4793" w:rsidRPr="008A74B1" w:rsidRDefault="004F4793" w:rsidP="004F4793">
      <w:pPr>
        <w:jc w:val="both"/>
        <w:rPr>
          <w:b/>
          <w:bCs/>
        </w:rPr>
      </w:pPr>
      <w:r w:rsidRPr="008A74B1">
        <w:rPr>
          <w:b/>
          <w:bCs/>
        </w:rPr>
        <w:t>K bodu 1</w:t>
      </w:r>
      <w:r>
        <w:rPr>
          <w:b/>
          <w:bCs/>
        </w:rPr>
        <w:t>9</w:t>
      </w:r>
      <w:r w:rsidRPr="008A74B1">
        <w:rPr>
          <w:b/>
          <w:bCs/>
        </w:rPr>
        <w:t xml:space="preserve"> [§ 15 ods. 5 písm. a)] </w:t>
      </w:r>
    </w:p>
    <w:p w14:paraId="73CD24AF" w14:textId="77777777" w:rsidR="004F4793" w:rsidRDefault="004F4793" w:rsidP="004F4793">
      <w:pPr>
        <w:jc w:val="both"/>
      </w:pPr>
      <w:r w:rsidRPr="008A74B1">
        <w:t>Legislatívno-technická úprava.</w:t>
      </w:r>
      <w:r>
        <w:t xml:space="preserve"> </w:t>
      </w:r>
      <w:r w:rsidRPr="00AD4CC9">
        <w:t>Predmetná povinnosť sa týka vytvárania ITVS a jej obsahom je postup v súlade so známymi potrebami koncových používateľov. Ich identifikácia sa vykonáva používateľským prieskumom. Podrobnosti k používateľskému prieskumu upravuje vyhláška MIRRI SR č. 547/2021 Z. z. a rozsah povinnosti vykonávať používateľský prieskum, ako ho ustanovuje citovaná vyhláška, sa týmto novelizačným bodom nemení.</w:t>
      </w:r>
    </w:p>
    <w:p w14:paraId="2005386D" w14:textId="77777777" w:rsidR="004F4793" w:rsidRPr="008A74B1" w:rsidRDefault="004F4793" w:rsidP="004F4793"/>
    <w:p w14:paraId="035261FA" w14:textId="77777777" w:rsidR="004F4793" w:rsidRDefault="004F4793" w:rsidP="004F4793">
      <w:pPr>
        <w:rPr>
          <w:b/>
          <w:bCs/>
        </w:rPr>
      </w:pPr>
      <w:r>
        <w:rPr>
          <w:b/>
          <w:bCs/>
        </w:rPr>
        <w:t>K bodu 20 [§ 15 ods. 5 písm. c)]</w:t>
      </w:r>
    </w:p>
    <w:p w14:paraId="0A856607" w14:textId="77777777" w:rsidR="004F4793" w:rsidRPr="008A74B1" w:rsidRDefault="004F4793" w:rsidP="004F4793">
      <w:pPr>
        <w:jc w:val="both"/>
      </w:pPr>
      <w:r w:rsidRPr="008A74B1">
        <w:t>Legislatívno-technická úprava</w:t>
      </w:r>
      <w:r>
        <w:t xml:space="preserve"> nadväzujúca na zmeny pojmov v § 9.</w:t>
      </w:r>
    </w:p>
    <w:p w14:paraId="3AA7C27C" w14:textId="77777777" w:rsidR="004F4793" w:rsidRDefault="004F4793" w:rsidP="004F4793">
      <w:pPr>
        <w:rPr>
          <w:b/>
          <w:bCs/>
        </w:rPr>
      </w:pPr>
    </w:p>
    <w:p w14:paraId="50DCD266" w14:textId="77777777" w:rsidR="004F4793" w:rsidRPr="008A74B1" w:rsidRDefault="004F4793" w:rsidP="004F4793">
      <w:r w:rsidRPr="008A74B1">
        <w:rPr>
          <w:b/>
          <w:bCs/>
        </w:rPr>
        <w:t xml:space="preserve">K bodu </w:t>
      </w:r>
      <w:r>
        <w:rPr>
          <w:b/>
          <w:bCs/>
        </w:rPr>
        <w:t>21</w:t>
      </w:r>
      <w:r w:rsidRPr="008A74B1">
        <w:rPr>
          <w:b/>
          <w:bCs/>
        </w:rPr>
        <w:t xml:space="preserve"> (§15 ods. 11</w:t>
      </w:r>
      <w:r>
        <w:rPr>
          <w:b/>
          <w:bCs/>
        </w:rPr>
        <w:t xml:space="preserve"> až 13</w:t>
      </w:r>
      <w:r w:rsidRPr="008A74B1">
        <w:rPr>
          <w:b/>
          <w:bCs/>
        </w:rPr>
        <w:t>)</w:t>
      </w:r>
    </w:p>
    <w:p w14:paraId="428068EC" w14:textId="77777777" w:rsidR="004F4793" w:rsidRDefault="004F4793" w:rsidP="004F4793">
      <w:pPr>
        <w:jc w:val="both"/>
      </w:pPr>
      <w:r>
        <w:t>K § 15 ods. 11 a 12</w:t>
      </w:r>
    </w:p>
    <w:p w14:paraId="534605B7" w14:textId="77777777" w:rsidR="004F4793" w:rsidRDefault="004F4793" w:rsidP="004F4793">
      <w:pPr>
        <w:jc w:val="both"/>
      </w:pPr>
      <w:r w:rsidRPr="008A74B1">
        <w:t xml:space="preserve">Cieľom navrhovanej právnej úpravy </w:t>
      </w:r>
      <w:r>
        <w:t xml:space="preserve">odseku 11 </w:t>
      </w:r>
      <w:r w:rsidRPr="008A74B1">
        <w:t>je zabezpečiť plnenie povinnosti uvádzania informácií o elektronických službách v centrálnom metainformačnom systéme, ktorý má byť primárnym zdrojom týchto informácií a má umožniť poskytovanie aktuálnych informácií koncovým používateľom ako aj automatizované využitie a kontrolu v informačných systémoch tretích strán a na ústrednom portáli verejnej správy. Bez sprístupnenia informácií o danej elektronickej službe v centrálnom metainformačnom systéme nebude možné elektronickú službu sprístupniť.</w:t>
      </w:r>
    </w:p>
    <w:p w14:paraId="40563178" w14:textId="77777777" w:rsidR="004F4793" w:rsidRDefault="004F4793" w:rsidP="004F4793">
      <w:pPr>
        <w:jc w:val="both"/>
      </w:pPr>
      <w:r>
        <w:t xml:space="preserve">Cieľom navrhovaného odseku 12 je ustanoviť výnimky vo vzťahu k povinnosti predkladať zámer na vytvorenie a prevádzkovanie mobilnej aplikácie. Výnimky sú dvojakej povahy. V prvom rade je táto povinnosť zúžená na mobilné aplikácie, ktoré nie sú určené verejnosti. Inak povedané, schvaľovanie zámeru sa má týkať mobilnej aplikácie určenej na použitie vo vzťahoch G2C alebo G2B, ale nie vo vzťahoch </w:t>
      </w:r>
      <w:r w:rsidRPr="009D5020">
        <w:t>G</w:t>
      </w:r>
      <w:r w:rsidRPr="007306F5">
        <w:t>2</w:t>
      </w:r>
      <w:r w:rsidRPr="009D5020">
        <w:t>G</w:t>
      </w:r>
      <w:r>
        <w:t>, alebo G2E. Druhá výnimka je statusovo ustanovená – povinnosť predkladania zámeru sa nemá vzťahovať na konkrétne vymedzené orgány riadenia, a to buď z dôvodu ich postavenia v rámci verejnej správy len v časti ich činnosti, alebo z pohľadu ich samosprávnej povahy, či už územnej, alebo profesnej.</w:t>
      </w:r>
    </w:p>
    <w:p w14:paraId="45B4A953" w14:textId="77777777" w:rsidR="004F4793" w:rsidRDefault="004F4793" w:rsidP="004F4793">
      <w:pPr>
        <w:jc w:val="both"/>
      </w:pPr>
    </w:p>
    <w:p w14:paraId="3ED0C219" w14:textId="77777777" w:rsidR="004F4793" w:rsidRDefault="004F4793" w:rsidP="004F4793">
      <w:pPr>
        <w:jc w:val="both"/>
      </w:pPr>
      <w:r>
        <w:t>K § 15 ods. 13</w:t>
      </w:r>
    </w:p>
    <w:p w14:paraId="69B316F7" w14:textId="77777777" w:rsidR="004F4793" w:rsidRPr="008A74B1" w:rsidRDefault="004F4793" w:rsidP="004F4793">
      <w:pPr>
        <w:jc w:val="both"/>
      </w:pPr>
      <w:r>
        <w:t>Ak by rozvoj Centrálneho informačného systému Notárskej komory</w:t>
      </w:r>
      <w:r w:rsidRPr="00F130A1">
        <w:t xml:space="preserve"> Slovenskej republiky</w:t>
      </w:r>
      <w:r>
        <w:t xml:space="preserve"> podliehal zabezpečeniu riadenia projektov v súlade s vyhláškou o riadení projektov v plnom rozsahu znenia, tak by to neúmerne zaťažilo málopočetný personál Notárskej komory</w:t>
      </w:r>
      <w:r w:rsidRPr="00F130A1">
        <w:t xml:space="preserve"> Slovenskej republiky</w:t>
      </w:r>
      <w:r>
        <w:t xml:space="preserve"> a to tak po administratívnej, byrokratickej a v neposlednom rade aj finančnej stránke. V konečnom dopade  by to výrazne spomalilo proces rozvoja informačných systémov vytváraných Notárskou komorou</w:t>
      </w:r>
      <w:r w:rsidRPr="00F130A1">
        <w:t xml:space="preserve"> Slovenskej republiky</w:t>
      </w:r>
      <w:r>
        <w:t>. V prípade, ak si subjekt pre zabezpečenie svojej prevádzky vytvára vlastné informačné systémy, bez akéhokoľvek financovania zo štátnych zdrojov alebo zdrojov Európskej únie, tak absentuje opodstatnenie, aby vývoj a rozvoj takéhoto ISVS podliehal pravidlám projektového riadenia definovaným zákonom a následne vyhláškou. Konkrétne k § 15 ods. 2 písm. d) prvý bod absentuje opodstatnenie, aby vývoj a rozvoj takéhoto ISVS podliehal licenčným pravidlám verejnej softvérovej licencie EÚ. Ďalej k § 15 ods. 4) písm. e) absentuje opodstatnenie, aby vývoj a rozvoj takéhoto ISVS podliehal schváleniu orgánom vedenia, ktoré je definované ako povinnosť daná orgánu riadenia zákonom o ITVS a k § 15 ods. 10) absentuje potreba zverejňovať internú projektovú dokumentáciu na webovom sídle.</w:t>
      </w:r>
    </w:p>
    <w:p w14:paraId="1684F26D" w14:textId="77777777" w:rsidR="004F4793" w:rsidRPr="008A74B1" w:rsidRDefault="004F4793" w:rsidP="004F4793"/>
    <w:p w14:paraId="0554FA45" w14:textId="77777777" w:rsidR="004F4793" w:rsidRDefault="004F4793" w:rsidP="004F4793">
      <w:pPr>
        <w:jc w:val="both"/>
        <w:rPr>
          <w:b/>
          <w:bCs/>
        </w:rPr>
      </w:pPr>
      <w:r>
        <w:rPr>
          <w:b/>
          <w:bCs/>
        </w:rPr>
        <w:t>K bodu 22 (§ 16 ods. 5)</w:t>
      </w:r>
    </w:p>
    <w:p w14:paraId="2811E529" w14:textId="77777777" w:rsidR="004F4793" w:rsidRDefault="004F4793" w:rsidP="004F4793">
      <w:pPr>
        <w:jc w:val="both"/>
      </w:pPr>
      <w:r>
        <w:t>Prevádzka centrálneho informačného systému Notárskej komory</w:t>
      </w:r>
      <w:r w:rsidRPr="00F130A1">
        <w:t xml:space="preserve"> Slovenskej republiky</w:t>
      </w:r>
      <w:r>
        <w:t xml:space="preserve"> je financovaná výhradne z vlastných finančných prostriedkov Notárskej komory</w:t>
      </w:r>
      <w:r w:rsidRPr="00F130A1">
        <w:t xml:space="preserve"> Slovenskej republiky</w:t>
      </w:r>
      <w:r>
        <w:t>. Máme za to, že v prípade, ak si subjekt pre zabezpečenie svojej prevádzky vytvára vlastné informačné systémy, bez akéhokoľvek financovania zo štátnych zdrojov alebo zdrojov Európskej únie, tak absentuje opodstatnenie, aby bol povinný pravidelne predkladať správu o servisných požiadavkách, prevádzkových problémoch a incidentoch svojho IS orgánu vedenia a zároveň absentuje opodstatnenie absentuje opodstatnenie, aby vývoj a rozvoj takéhoto ISVS podliehal schváleniu orgánom vedenia, ktoré je definované ako povinnosť daná orgánu riadenia zákonom o ITVS.</w:t>
      </w:r>
    </w:p>
    <w:p w14:paraId="5191234B" w14:textId="77777777" w:rsidR="004F4793" w:rsidRDefault="004F4793" w:rsidP="004F4793">
      <w:pPr>
        <w:jc w:val="both"/>
        <w:rPr>
          <w:b/>
          <w:bCs/>
        </w:rPr>
      </w:pPr>
    </w:p>
    <w:p w14:paraId="4803E670" w14:textId="77777777" w:rsidR="004F4793" w:rsidRPr="008A74B1" w:rsidRDefault="004F4793" w:rsidP="004F4793">
      <w:pPr>
        <w:jc w:val="both"/>
        <w:rPr>
          <w:b/>
          <w:bCs/>
        </w:rPr>
      </w:pPr>
      <w:r w:rsidRPr="008A74B1">
        <w:rPr>
          <w:b/>
          <w:bCs/>
        </w:rPr>
        <w:t xml:space="preserve">K bodu </w:t>
      </w:r>
      <w:r>
        <w:rPr>
          <w:b/>
          <w:bCs/>
        </w:rPr>
        <w:t>23</w:t>
      </w:r>
      <w:r w:rsidRPr="008A74B1">
        <w:rPr>
          <w:b/>
          <w:bCs/>
        </w:rPr>
        <w:t xml:space="preserve">  [§ 19 ods. 3 písm. e)]</w:t>
      </w:r>
    </w:p>
    <w:p w14:paraId="58AC29A2" w14:textId="77777777" w:rsidR="004F4793" w:rsidRPr="008A74B1" w:rsidRDefault="004F4793" w:rsidP="004F4793">
      <w:pPr>
        <w:jc w:val="both"/>
        <w:rPr>
          <w:szCs w:val="22"/>
        </w:rPr>
      </w:pPr>
      <w:r w:rsidRPr="008A74B1">
        <w:rPr>
          <w:szCs w:val="22"/>
        </w:rPr>
        <w:t xml:space="preserve">Návrhom zákona sa upravuje ustanovenie tak, aby bolo zrejmé, že </w:t>
      </w:r>
      <w:r>
        <w:rPr>
          <w:szCs w:val="22"/>
        </w:rPr>
        <w:t>sa jedná o internú koordináciu</w:t>
      </w:r>
      <w:r w:rsidRPr="008A74B1">
        <w:rPr>
          <w:szCs w:val="22"/>
        </w:rPr>
        <w:t xml:space="preserve"> riešenia kybernetického bezpečnostného incidentu </w:t>
      </w:r>
      <w:r>
        <w:rPr>
          <w:szCs w:val="22"/>
        </w:rPr>
        <w:t>správcu.</w:t>
      </w:r>
    </w:p>
    <w:p w14:paraId="5FC6089C" w14:textId="77777777" w:rsidR="004F4793" w:rsidRPr="008A74B1" w:rsidRDefault="004F4793" w:rsidP="004F4793">
      <w:pPr>
        <w:jc w:val="both"/>
      </w:pPr>
    </w:p>
    <w:p w14:paraId="4B4543EE" w14:textId="77777777" w:rsidR="004F4793" w:rsidRPr="008A74B1" w:rsidRDefault="004F4793" w:rsidP="004F4793">
      <w:pPr>
        <w:jc w:val="both"/>
      </w:pPr>
    </w:p>
    <w:p w14:paraId="3B4BD395" w14:textId="77777777" w:rsidR="004F4793" w:rsidRPr="008A74B1" w:rsidRDefault="004F4793" w:rsidP="004F4793">
      <w:pPr>
        <w:jc w:val="both"/>
        <w:rPr>
          <w:b/>
          <w:bCs/>
        </w:rPr>
      </w:pPr>
      <w:r w:rsidRPr="008A74B1">
        <w:rPr>
          <w:b/>
          <w:bCs/>
        </w:rPr>
        <w:t>K bod</w:t>
      </w:r>
      <w:r>
        <w:rPr>
          <w:b/>
          <w:bCs/>
        </w:rPr>
        <w:t>u</w:t>
      </w:r>
      <w:r w:rsidRPr="008A74B1">
        <w:rPr>
          <w:b/>
          <w:bCs/>
        </w:rPr>
        <w:t xml:space="preserve"> </w:t>
      </w:r>
      <w:r>
        <w:rPr>
          <w:b/>
          <w:bCs/>
        </w:rPr>
        <w:t xml:space="preserve">24 </w:t>
      </w:r>
      <w:r w:rsidRPr="008A74B1">
        <w:rPr>
          <w:b/>
          <w:bCs/>
        </w:rPr>
        <w:t xml:space="preserve"> (</w:t>
      </w:r>
      <w:r>
        <w:rPr>
          <w:b/>
          <w:bCs/>
        </w:rPr>
        <w:t>§ 23 ods. 1</w:t>
      </w:r>
      <w:r w:rsidRPr="008A74B1">
        <w:rPr>
          <w:b/>
          <w:bCs/>
        </w:rPr>
        <w:t>)</w:t>
      </w:r>
    </w:p>
    <w:p w14:paraId="6700D7F7" w14:textId="77777777" w:rsidR="004F4793" w:rsidRPr="008A74B1" w:rsidRDefault="004F4793" w:rsidP="004F4793">
      <w:pPr>
        <w:jc w:val="both"/>
      </w:pPr>
      <w:r w:rsidRPr="008A74B1">
        <w:t>Legislatívno-technická úprava.</w:t>
      </w:r>
    </w:p>
    <w:p w14:paraId="2669FA98" w14:textId="77777777" w:rsidR="004F4793" w:rsidRPr="008A74B1" w:rsidRDefault="004F4793" w:rsidP="004F4793">
      <w:pPr>
        <w:jc w:val="both"/>
      </w:pPr>
    </w:p>
    <w:p w14:paraId="4ABF6738" w14:textId="77777777" w:rsidR="004F4793" w:rsidRPr="008A74B1" w:rsidRDefault="004F4793" w:rsidP="004F4793">
      <w:pPr>
        <w:jc w:val="both"/>
        <w:rPr>
          <w:b/>
          <w:bCs/>
        </w:rPr>
      </w:pPr>
      <w:r w:rsidRPr="008A74B1">
        <w:rPr>
          <w:b/>
          <w:bCs/>
        </w:rPr>
        <w:t xml:space="preserve">K bodom </w:t>
      </w:r>
      <w:r>
        <w:rPr>
          <w:b/>
          <w:bCs/>
        </w:rPr>
        <w:t>25</w:t>
      </w:r>
      <w:r w:rsidRPr="008A74B1">
        <w:rPr>
          <w:b/>
          <w:bCs/>
        </w:rPr>
        <w:t xml:space="preserve"> a</w:t>
      </w:r>
      <w:r>
        <w:rPr>
          <w:b/>
          <w:bCs/>
        </w:rPr>
        <w:t>ž</w:t>
      </w:r>
      <w:r w:rsidRPr="008A74B1">
        <w:rPr>
          <w:b/>
          <w:bCs/>
        </w:rPr>
        <w:t xml:space="preserve"> 2</w:t>
      </w:r>
      <w:r>
        <w:rPr>
          <w:b/>
          <w:bCs/>
        </w:rPr>
        <w:t>7</w:t>
      </w:r>
      <w:r w:rsidRPr="008A74B1">
        <w:rPr>
          <w:b/>
          <w:bCs/>
        </w:rPr>
        <w:t xml:space="preserve"> (§ 23 ods. 3</w:t>
      </w:r>
      <w:r>
        <w:rPr>
          <w:b/>
          <w:bCs/>
        </w:rPr>
        <w:t xml:space="preserve"> až 5</w:t>
      </w:r>
      <w:r w:rsidRPr="008A74B1">
        <w:rPr>
          <w:b/>
          <w:bCs/>
        </w:rPr>
        <w:t>, § 23a)</w:t>
      </w:r>
    </w:p>
    <w:p w14:paraId="2BE7AC8E" w14:textId="77777777" w:rsidR="004F4793" w:rsidRPr="008A74B1" w:rsidRDefault="004F4793" w:rsidP="004F4793">
      <w:pPr>
        <w:jc w:val="both"/>
        <w:rPr>
          <w:bCs/>
          <w:szCs w:val="22"/>
        </w:rPr>
      </w:pPr>
      <w:r w:rsidRPr="008A74B1">
        <w:rPr>
          <w:bCs/>
          <w:szCs w:val="22"/>
        </w:rPr>
        <w:t>K § 23 ods. 3 písm. a)</w:t>
      </w:r>
    </w:p>
    <w:p w14:paraId="71D39BEC" w14:textId="77777777" w:rsidR="004F4793" w:rsidRPr="008A74B1" w:rsidRDefault="004F4793" w:rsidP="004F4793">
      <w:pPr>
        <w:jc w:val="both"/>
        <w:rPr>
          <w:szCs w:val="22"/>
        </w:rPr>
      </w:pPr>
      <w:r w:rsidRPr="008A74B1">
        <w:rPr>
          <w:szCs w:val="22"/>
        </w:rPr>
        <w:t xml:space="preserve">Navrhované ustanovenie </w:t>
      </w:r>
      <w:r>
        <w:rPr>
          <w:szCs w:val="22"/>
        </w:rPr>
        <w:t>zachováva</w:t>
      </w:r>
      <w:r w:rsidRPr="008A74B1">
        <w:rPr>
          <w:szCs w:val="22"/>
        </w:rPr>
        <w:t xml:space="preserve"> povinnosť </w:t>
      </w:r>
      <w:r>
        <w:rPr>
          <w:szCs w:val="22"/>
        </w:rPr>
        <w:t xml:space="preserve">pre </w:t>
      </w:r>
      <w:r w:rsidRPr="008A74B1">
        <w:rPr>
          <w:szCs w:val="22"/>
        </w:rPr>
        <w:t>konkrétn</w:t>
      </w:r>
      <w:r>
        <w:rPr>
          <w:szCs w:val="22"/>
        </w:rPr>
        <w:t>e</w:t>
      </w:r>
      <w:r w:rsidRPr="008A74B1">
        <w:rPr>
          <w:szCs w:val="22"/>
        </w:rPr>
        <w:t xml:space="preserve"> orgán</w:t>
      </w:r>
      <w:r>
        <w:rPr>
          <w:szCs w:val="22"/>
        </w:rPr>
        <w:t>y</w:t>
      </w:r>
      <w:r w:rsidRPr="008A74B1">
        <w:rPr>
          <w:szCs w:val="22"/>
        </w:rPr>
        <w:t xml:space="preserve"> riadenia nahlasovať kybernetické bezpečnostné incidenty</w:t>
      </w:r>
      <w:r>
        <w:rPr>
          <w:szCs w:val="22"/>
        </w:rPr>
        <w:t xml:space="preserve"> postupom podľa osobitného predpisu</w:t>
      </w:r>
      <w:r w:rsidRPr="008A74B1">
        <w:rPr>
          <w:szCs w:val="22"/>
        </w:rPr>
        <w:t xml:space="preserve">. </w:t>
      </w:r>
    </w:p>
    <w:p w14:paraId="5E11B2DB" w14:textId="77777777" w:rsidR="004F4793" w:rsidRPr="008A74B1" w:rsidRDefault="004F4793" w:rsidP="004F4793">
      <w:pPr>
        <w:jc w:val="both"/>
        <w:rPr>
          <w:szCs w:val="22"/>
        </w:rPr>
      </w:pPr>
    </w:p>
    <w:p w14:paraId="68075ACA" w14:textId="77777777" w:rsidR="004F4793" w:rsidRPr="008A74B1" w:rsidRDefault="004F4793" w:rsidP="004F4793">
      <w:pPr>
        <w:jc w:val="both"/>
        <w:rPr>
          <w:b/>
          <w:bCs/>
          <w:szCs w:val="22"/>
        </w:rPr>
      </w:pPr>
      <w:r w:rsidRPr="008A74B1">
        <w:rPr>
          <w:bCs/>
          <w:szCs w:val="22"/>
        </w:rPr>
        <w:t>K § 23 ods. 3 písm. b)</w:t>
      </w:r>
    </w:p>
    <w:p w14:paraId="7D32F269" w14:textId="77777777" w:rsidR="004F4793" w:rsidRPr="008A74B1" w:rsidRDefault="004F4793" w:rsidP="004F4793">
      <w:pPr>
        <w:jc w:val="both"/>
      </w:pPr>
      <w:r>
        <w:t>Ustanovenie</w:t>
      </w:r>
      <w:r w:rsidRPr="00C510FC">
        <w:t xml:space="preserve"> vyjadruje povinnosť orgánu </w:t>
      </w:r>
      <w:r>
        <w:t>riadenia</w:t>
      </w:r>
      <w:r w:rsidRPr="00C510FC">
        <w:t xml:space="preserve"> pomôcť </w:t>
      </w:r>
      <w:r>
        <w:t>orgánu vedenia pri výkone jeho kompetencií podľa zákona o ITVS</w:t>
      </w:r>
      <w:r w:rsidRPr="00C510FC">
        <w:t>.</w:t>
      </w:r>
      <w:r w:rsidRPr="008A74B1">
        <w:t xml:space="preserve"> </w:t>
      </w:r>
    </w:p>
    <w:p w14:paraId="268AB017" w14:textId="77777777" w:rsidR="004F4793" w:rsidRPr="008A74B1" w:rsidRDefault="004F4793" w:rsidP="004F4793">
      <w:pPr>
        <w:jc w:val="both"/>
        <w:rPr>
          <w:szCs w:val="22"/>
        </w:rPr>
      </w:pPr>
    </w:p>
    <w:p w14:paraId="31922545" w14:textId="77777777" w:rsidR="004F4793" w:rsidRPr="008A74B1" w:rsidRDefault="004F4793" w:rsidP="004F4793">
      <w:pPr>
        <w:jc w:val="both"/>
      </w:pPr>
      <w:r w:rsidRPr="008A74B1">
        <w:t xml:space="preserve">K § 23 ods. 3 písm. </w:t>
      </w:r>
      <w:r>
        <w:t>c</w:t>
      </w:r>
      <w:r w:rsidRPr="008A74B1">
        <w:t>)</w:t>
      </w:r>
    </w:p>
    <w:p w14:paraId="4EAC8369" w14:textId="77777777" w:rsidR="004F4793" w:rsidRPr="008A74B1" w:rsidRDefault="004F4793" w:rsidP="004F4793">
      <w:pPr>
        <w:jc w:val="both"/>
      </w:pPr>
      <w:r w:rsidRPr="00C510FC">
        <w:t xml:space="preserve">Príslušná úprava </w:t>
      </w:r>
      <w:r>
        <w:t>je</w:t>
      </w:r>
      <w:r w:rsidRPr="00C510FC">
        <w:t xml:space="preserve"> aj v súčasnosti obsiahnutá v zákone o ITVS a dochádza k legislatívno-technickej úprave</w:t>
      </w:r>
      <w:r w:rsidRPr="008A74B1">
        <w:t>.</w:t>
      </w:r>
    </w:p>
    <w:p w14:paraId="4B3A2797" w14:textId="77777777" w:rsidR="004F4793" w:rsidRPr="008A74B1" w:rsidRDefault="004F4793" w:rsidP="004F4793">
      <w:pPr>
        <w:jc w:val="both"/>
        <w:rPr>
          <w:szCs w:val="22"/>
        </w:rPr>
      </w:pPr>
    </w:p>
    <w:p w14:paraId="110D9A89" w14:textId="77777777" w:rsidR="004F4793" w:rsidRPr="008A74B1" w:rsidRDefault="004F4793" w:rsidP="004F4793">
      <w:pPr>
        <w:jc w:val="both"/>
        <w:rPr>
          <w:b/>
          <w:bCs/>
          <w:szCs w:val="22"/>
        </w:rPr>
      </w:pPr>
      <w:r w:rsidRPr="008A74B1">
        <w:rPr>
          <w:bCs/>
          <w:szCs w:val="22"/>
        </w:rPr>
        <w:t xml:space="preserve">K § 23 ods. 3 písm. </w:t>
      </w:r>
      <w:r>
        <w:rPr>
          <w:bCs/>
          <w:szCs w:val="22"/>
        </w:rPr>
        <w:t>d</w:t>
      </w:r>
      <w:r w:rsidRPr="008A74B1">
        <w:rPr>
          <w:bCs/>
          <w:szCs w:val="22"/>
        </w:rPr>
        <w:t>)</w:t>
      </w:r>
    </w:p>
    <w:p w14:paraId="51EE229B" w14:textId="77777777" w:rsidR="004F4793" w:rsidRPr="008A74B1" w:rsidRDefault="004F4793" w:rsidP="004F4793">
      <w:pPr>
        <w:jc w:val="both"/>
        <w:rPr>
          <w:szCs w:val="22"/>
        </w:rPr>
      </w:pPr>
      <w:r w:rsidRPr="008A74B1">
        <w:rPr>
          <w:szCs w:val="22"/>
        </w:rPr>
        <w:t xml:space="preserve">Navrhovaná právna úprava reaguje na aplikačnú prax a na riešenie kybernetických bezpečnostných incidentov, resp. aktivity smerované k ich predchádzaniu (napr. pri riešení bezpečnostných zraniteľností alebo aplikovaní bezpečnostných opatrení). Pre efektívne riešenie kybernetických bezpečnostných incidentov ako aj ich predchádzaniu je dôležité, aby existoval centrálny register informácií relevantných pre riešenie a predchádzanie kybernetických bezpečnostných incidentov. Pre tieto aktivity je potrebné mať k dispozícii presne zadefinované rozsahy verejných IP adries, na ktorých sú prevádzkované ITVS a ich priradenie ku konkrétnym orgánom riadenia. </w:t>
      </w:r>
    </w:p>
    <w:p w14:paraId="37B26DEC" w14:textId="77777777" w:rsidR="004F4793" w:rsidRPr="008A74B1" w:rsidRDefault="004F4793" w:rsidP="004F4793">
      <w:pPr>
        <w:jc w:val="both"/>
        <w:rPr>
          <w:szCs w:val="22"/>
        </w:rPr>
      </w:pPr>
      <w:r w:rsidRPr="008A74B1">
        <w:rPr>
          <w:szCs w:val="22"/>
        </w:rPr>
        <w:t>Štandardnou súčasťou proaktívnych opatrení v kybernetickej bezpečnosti je riešenie bezpečnostných zraniteľností. Na ich efektívne a rýchle riešenie je nevyhnutné mať podrobnejšie informácie o ITVS. Tieto informácie umožnia efektívnu identifikáciu a následné odstránenie zverejnených zraniteľností dotknutých ITVS ako aj efektívne neinvazívne testovanie zraniteľností. Rozsah poskytovaných informácií bude upravený</w:t>
      </w:r>
      <w:r>
        <w:rPr>
          <w:szCs w:val="22"/>
        </w:rPr>
        <w:t xml:space="preserve"> vo</w:t>
      </w:r>
      <w:r>
        <w:t xml:space="preserve"> v</w:t>
      </w:r>
      <w:r w:rsidRPr="00743D8B">
        <w:t>yhlášk</w:t>
      </w:r>
      <w:r>
        <w:t>e</w:t>
      </w:r>
      <w:r w:rsidRPr="00743D8B">
        <w:t xml:space="preserve"> Úradu podpredsedu vlády Slovenskej republiky pre investície a informatizáciu č. 179/2020 Z. z.  ktorou sa ustanovuje spôsob kategorizácie a obsah bezpečnostných opatrení informačných technológií verejnej správy</w:t>
      </w:r>
      <w:r w:rsidRPr="008A74B1">
        <w:rPr>
          <w:szCs w:val="22"/>
        </w:rPr>
        <w:t>.</w:t>
      </w:r>
    </w:p>
    <w:p w14:paraId="532FD9DD" w14:textId="77777777" w:rsidR="004F4793" w:rsidRPr="00C510FC" w:rsidRDefault="004F4793" w:rsidP="004F4793">
      <w:pPr>
        <w:jc w:val="both"/>
        <w:rPr>
          <w:rStyle w:val="Internetovodkaz"/>
          <w:color w:val="auto"/>
          <w:szCs w:val="22"/>
        </w:rPr>
      </w:pPr>
      <w:r w:rsidRPr="00C510FC">
        <w:rPr>
          <w:szCs w:val="22"/>
        </w:rPr>
        <w:t xml:space="preserve">Je potrebné zaviesť </w:t>
      </w:r>
      <w:r w:rsidRPr="008A74B1">
        <w:rPr>
          <w:szCs w:val="22"/>
        </w:rPr>
        <w:t>povinnosť pre správcov k  § 23 ods. 4 písm. b) návrhu zákona zbierať, spracúvať a vyhodnocovať systémové informácie na účely predchádzania kybernetickým bezpečnostným incidentom, ich riešenia a obnovenia kybernetickej bezpečnosti.</w:t>
      </w:r>
      <w:r>
        <w:rPr>
          <w:szCs w:val="22"/>
        </w:rPr>
        <w:t xml:space="preserve"> Medzi takto zbierané informácie sa neradia systémové záznamy (logy) o udalostiach informačných technológii.</w:t>
      </w:r>
    </w:p>
    <w:p w14:paraId="6DC5D909" w14:textId="77777777" w:rsidR="004F4793" w:rsidRPr="008A74B1" w:rsidRDefault="004F4793" w:rsidP="004F4793">
      <w:pPr>
        <w:jc w:val="both"/>
        <w:rPr>
          <w:szCs w:val="22"/>
        </w:rPr>
      </w:pPr>
      <w:r w:rsidRPr="008A74B1">
        <w:rPr>
          <w:szCs w:val="22"/>
        </w:rPr>
        <w:t>Pravidelná aktualizácia systémových informácií minimalizuje dĺžku trvania prvotnej reakcie na kybernetický bezpečnostný incident, keďže dôjde k rýchlejšej identifikácii orgánu riadenia, jeho kontaktného miesta a identifikácie dotknutej ITVS. Súčasne takáto aktualizácia minimalizuje nepresnosti pri proaktívnom neinvazívnom testovaní bezpečnostných zraniteľností v sektore verejnej správy</w:t>
      </w:r>
      <w:r>
        <w:rPr>
          <w:szCs w:val="22"/>
        </w:rPr>
        <w:t xml:space="preserve"> a zvýšenou viditeľnosťou napomáha k proaktívnemu sledovaniu trendov, vydávaniu varovaní pre verejnú správu a strategickému rozhodovaniu v rámci budovania bezpečnosti ITVS</w:t>
      </w:r>
      <w:r w:rsidRPr="008A74B1">
        <w:rPr>
          <w:szCs w:val="22"/>
        </w:rPr>
        <w:t>.</w:t>
      </w:r>
    </w:p>
    <w:p w14:paraId="5A2421BC" w14:textId="77777777" w:rsidR="004F4793" w:rsidRPr="008A74B1" w:rsidRDefault="004F4793" w:rsidP="004F4793">
      <w:pPr>
        <w:jc w:val="both"/>
        <w:rPr>
          <w:b/>
          <w:bCs/>
          <w:szCs w:val="22"/>
        </w:rPr>
      </w:pPr>
      <w:r w:rsidRPr="008A74B1">
        <w:rPr>
          <w:bCs/>
          <w:szCs w:val="22"/>
        </w:rPr>
        <w:t xml:space="preserve">K § 23 ods. 3 písm. </w:t>
      </w:r>
      <w:r>
        <w:rPr>
          <w:bCs/>
          <w:szCs w:val="22"/>
        </w:rPr>
        <w:t>e</w:t>
      </w:r>
      <w:r w:rsidRPr="008A74B1">
        <w:rPr>
          <w:bCs/>
          <w:szCs w:val="22"/>
        </w:rPr>
        <w:t>)</w:t>
      </w:r>
    </w:p>
    <w:p w14:paraId="372EFFB1" w14:textId="77777777" w:rsidR="004F4793" w:rsidRDefault="004F4793" w:rsidP="004F4793">
      <w:pPr>
        <w:jc w:val="both"/>
        <w:rPr>
          <w:szCs w:val="22"/>
        </w:rPr>
      </w:pPr>
      <w:r w:rsidRPr="008A74B1">
        <w:rPr>
          <w:szCs w:val="22"/>
        </w:rPr>
        <w:t>Problematika koordinovaného zverejňovania informácií o bezpečnostných zraniteľnostiach predstavuje komplexnú úpravu vzťahov, ktorých cieľom je zabrániť negatívnym dôsledkom zverejnenia bezpečnostných zraniteľností. Cieľom navrhovanej úpravy týchto vzťahov je minimalizovať škody, ktoré by mohli vzniknúť pre správcov. V poslednom období sa vyskytlo niekoľko príkladov, v rámci ktorých bolo nutné postupovať podľa pravidiel zodpovedného zverejňovania informácií o</w:t>
      </w:r>
      <w:r>
        <w:rPr>
          <w:szCs w:val="22"/>
        </w:rPr>
        <w:t> </w:t>
      </w:r>
      <w:r w:rsidRPr="008A74B1">
        <w:rPr>
          <w:szCs w:val="22"/>
        </w:rPr>
        <w:t>zraniteľnostiach</w:t>
      </w:r>
      <w:r>
        <w:rPr>
          <w:szCs w:val="22"/>
        </w:rPr>
        <w:t xml:space="preserve"> </w:t>
      </w:r>
    </w:p>
    <w:p w14:paraId="2113ED56" w14:textId="77777777" w:rsidR="004F4793" w:rsidRPr="008A74B1" w:rsidRDefault="004F4793" w:rsidP="004F4793">
      <w:pPr>
        <w:jc w:val="both"/>
        <w:rPr>
          <w:szCs w:val="22"/>
        </w:rPr>
      </w:pPr>
      <w:r w:rsidRPr="008A74B1">
        <w:rPr>
          <w:szCs w:val="22"/>
        </w:rPr>
        <w:t>(</w:t>
      </w:r>
      <w:hyperlink r:id="rId20" w:history="1">
        <w:r w:rsidRPr="008E7321">
          <w:rPr>
            <w:rStyle w:val="Hypertextovprepojenie"/>
            <w:szCs w:val="22"/>
          </w:rPr>
          <w:t>http://www.nczisk.sk/Aktuality/Pages/Zranitelnost-aplikacie-Moje-ezdravie-neohrozuje-sluzby-ani-udaje-z-ezdravia.aspx</w:t>
        </w:r>
      </w:hyperlink>
      <w:r>
        <w:rPr>
          <w:szCs w:val="22"/>
        </w:rPr>
        <w:t xml:space="preserve"> </w:t>
      </w:r>
      <w:r w:rsidRPr="008A74B1">
        <w:rPr>
          <w:szCs w:val="22"/>
        </w:rPr>
        <w:t xml:space="preserve">, </w:t>
      </w:r>
      <w:hyperlink r:id="rId21" w:history="1">
        <w:r w:rsidRPr="008E7321">
          <w:rPr>
            <w:rStyle w:val="Hypertextovprepojenie"/>
            <w:szCs w:val="22"/>
          </w:rPr>
          <w:t>https://nethemba.com/sk/stanovisko-spolocnosti-nethemba-k-vyjadreniu-financnej-spravy-na-zranitelnost-e-kasa/</w:t>
        </w:r>
      </w:hyperlink>
      <w:r>
        <w:rPr>
          <w:szCs w:val="22"/>
        </w:rPr>
        <w:t xml:space="preserve"> </w:t>
      </w:r>
      <w:r w:rsidRPr="008A74B1">
        <w:rPr>
          <w:szCs w:val="22"/>
        </w:rPr>
        <w:t xml:space="preserve"> ). Nahlasovateľ týchto bezpečnostných zraniteľností postupoval podľa zvyklostí, ktoré sa uplatňujú v oblasti etického hekingu, ale samotný proces riešenia bezpečnostných zraniteľností ukázal nutnosť zadefinovania pravidiel, práv a povinností jednotlivých subjektov.</w:t>
      </w:r>
    </w:p>
    <w:p w14:paraId="1484D363" w14:textId="77777777" w:rsidR="004F4793" w:rsidRPr="008A74B1" w:rsidRDefault="004F4793" w:rsidP="004F4793">
      <w:pPr>
        <w:jc w:val="both"/>
        <w:rPr>
          <w:szCs w:val="22"/>
        </w:rPr>
      </w:pPr>
      <w:r w:rsidRPr="008A74B1">
        <w:rPr>
          <w:szCs w:val="22"/>
        </w:rPr>
        <w:t>Zodpovedné zverejňovanie zraniteľností má úplne, resp. čiastočne upravené 12 z 20 krajín G20 (</w:t>
      </w:r>
      <w:hyperlink r:id="rId22" w:history="1">
        <w:r w:rsidRPr="008E7321">
          <w:rPr>
            <w:rStyle w:val="Hypertextovprepojenie"/>
            <w:szCs w:val="22"/>
          </w:rPr>
          <w:t>https://www.cybersecurepolicy.ca/vulnerability-disclosure</w:t>
        </w:r>
      </w:hyperlink>
      <w:r>
        <w:rPr>
          <w:szCs w:val="22"/>
        </w:rPr>
        <w:t xml:space="preserve"> </w:t>
      </w:r>
      <w:r w:rsidRPr="008A74B1">
        <w:rPr>
          <w:szCs w:val="22"/>
        </w:rPr>
        <w:t xml:space="preserve"> ). Návrh smernice NIS2 sa venuje tejto problematike, keďže vytvára základný rámec so zodpovednými kľúčovými aktérmi pre koordinované zverejňovanie novoobjavených zraniteľností v celej Európskej únii a vytvára register Európskej únie, ktorý prevádzkuje Agentúra Európskej únie pre kybernetickú bezpečnosť (ENISA) (</w:t>
      </w:r>
      <w:hyperlink r:id="rId23" w:history="1">
        <w:r w:rsidRPr="008E7321">
          <w:rPr>
            <w:rStyle w:val="Hypertextovprepojenie"/>
          </w:rPr>
          <w:t>https://digital-strategy.ec.europa.eu/en/library/proposal-directive-measures-high-common-level-cybersecurity-across-union</w:t>
        </w:r>
      </w:hyperlink>
      <w:r>
        <w:t xml:space="preserve"> </w:t>
      </w:r>
      <w:r w:rsidRPr="008A74B1">
        <w:t>)</w:t>
      </w:r>
      <w:r w:rsidRPr="008A74B1">
        <w:rPr>
          <w:szCs w:val="22"/>
        </w:rPr>
        <w:t>.</w:t>
      </w:r>
    </w:p>
    <w:p w14:paraId="46AE39F5" w14:textId="77777777" w:rsidR="004F4793" w:rsidRPr="008A74B1" w:rsidRDefault="004F4793" w:rsidP="004F4793">
      <w:pPr>
        <w:jc w:val="both"/>
        <w:rPr>
          <w:szCs w:val="22"/>
        </w:rPr>
      </w:pPr>
      <w:r w:rsidRPr="008A74B1">
        <w:rPr>
          <w:szCs w:val="22"/>
        </w:rPr>
        <w:t xml:space="preserve">Navrhovaná právna úprava stanovuje povinnosť pre správcu uverejniť politiku </w:t>
      </w:r>
      <w:r>
        <w:rPr>
          <w:szCs w:val="22"/>
        </w:rPr>
        <w:t>oznamovanie</w:t>
      </w:r>
      <w:r w:rsidRPr="008A74B1">
        <w:rPr>
          <w:szCs w:val="22"/>
        </w:rPr>
        <w:t xml:space="preserve">zraniteľnosti k IT, ktorú má v pôsobnosti. </w:t>
      </w:r>
    </w:p>
    <w:p w14:paraId="24F2404D" w14:textId="77777777" w:rsidR="004F4793" w:rsidRPr="008A74B1" w:rsidRDefault="004F4793" w:rsidP="004F4793">
      <w:pPr>
        <w:jc w:val="both"/>
        <w:rPr>
          <w:szCs w:val="22"/>
        </w:rPr>
      </w:pPr>
      <w:r w:rsidRPr="008A74B1">
        <w:rPr>
          <w:szCs w:val="22"/>
        </w:rPr>
        <w:t xml:space="preserve">Pravidlá etického hekingu nastavujú pravidlá pre etických hekerov a ich postup pri nahlasovaní bezpečnostných zraniteľností. Jednou zo základných zásad je dodržiavanie právnej úpravy vzťahujúcej sa na technológiu, ktorá je testovaná. Z tohto dôvodu je koncept zavedenia pravidiel pre zodpovedné nahlasovanie zraniteľnosti riešený prostredníctvom povinnosti správcu zverejniť pravidlá </w:t>
      </w:r>
      <w:r>
        <w:rPr>
          <w:szCs w:val="22"/>
        </w:rPr>
        <w:t>oznamovanie</w:t>
      </w:r>
      <w:r w:rsidRPr="008A74B1">
        <w:rPr>
          <w:szCs w:val="22"/>
        </w:rPr>
        <w:t xml:space="preserve"> zraniteľností. </w:t>
      </w:r>
      <w:r>
        <w:rPr>
          <w:szCs w:val="22"/>
        </w:rPr>
        <w:t>Oznamovateľ</w:t>
      </w:r>
      <w:r w:rsidRPr="008A74B1">
        <w:rPr>
          <w:szCs w:val="22"/>
        </w:rPr>
        <w:t xml:space="preserve"> (aj výskumník v oblasti kybernetickej bezpečnosti) bude v tomto prípade povinný zohľadňovať tieto pravidlá.</w:t>
      </w:r>
    </w:p>
    <w:p w14:paraId="7C998AB5" w14:textId="77777777" w:rsidR="004F4793" w:rsidRDefault="004F4793" w:rsidP="004F4793">
      <w:pPr>
        <w:jc w:val="both"/>
        <w:rPr>
          <w:bCs/>
          <w:szCs w:val="22"/>
        </w:rPr>
      </w:pPr>
    </w:p>
    <w:p w14:paraId="296B3F8F" w14:textId="77777777" w:rsidR="004F4793" w:rsidRPr="008A74B1" w:rsidRDefault="004F4793" w:rsidP="004F4793">
      <w:pPr>
        <w:jc w:val="both"/>
        <w:rPr>
          <w:b/>
          <w:bCs/>
          <w:szCs w:val="22"/>
        </w:rPr>
      </w:pPr>
      <w:r w:rsidRPr="008A74B1">
        <w:rPr>
          <w:bCs/>
          <w:szCs w:val="22"/>
        </w:rPr>
        <w:t>K § 23 ods. 4</w:t>
      </w:r>
      <w:r>
        <w:rPr>
          <w:bCs/>
          <w:szCs w:val="22"/>
        </w:rPr>
        <w:t xml:space="preserve"> a 5</w:t>
      </w:r>
    </w:p>
    <w:p w14:paraId="127229E4" w14:textId="77777777" w:rsidR="004F4793" w:rsidRPr="008A74B1" w:rsidRDefault="004F4793" w:rsidP="004F4793">
      <w:pPr>
        <w:jc w:val="both"/>
        <w:rPr>
          <w:szCs w:val="22"/>
        </w:rPr>
      </w:pPr>
      <w:r w:rsidRPr="008A74B1">
        <w:rPr>
          <w:szCs w:val="22"/>
        </w:rPr>
        <w:t xml:space="preserve">Povinnosti orgánov riadenia uvedené v predchádzajúcich ustanoveniach predstavujú ucelený rámec povinností a prislúchajúcej zodpovednosti, ktoré musia orgány riadenia plniť pre riešenie a predchádzanie kybernetických bezpečnostných incidentov. Keďže rozsah a dopad kybernetických bezpečnostných incidentov je iný v prípade rôznych orgánov riadenia, je nutné nastaviť určitú formu granularity v týchto povinnostiach. </w:t>
      </w:r>
    </w:p>
    <w:p w14:paraId="40BDDA9B" w14:textId="77777777" w:rsidR="004F4793" w:rsidRPr="008A74B1" w:rsidRDefault="004F4793" w:rsidP="004F4793">
      <w:pPr>
        <w:jc w:val="both"/>
        <w:rPr>
          <w:szCs w:val="22"/>
        </w:rPr>
      </w:pPr>
    </w:p>
    <w:p w14:paraId="4E7850C9" w14:textId="77777777" w:rsidR="004F4793" w:rsidRPr="008A74B1" w:rsidRDefault="004F4793" w:rsidP="004F4793">
      <w:pPr>
        <w:jc w:val="both"/>
        <w:rPr>
          <w:b/>
          <w:bCs/>
          <w:szCs w:val="22"/>
        </w:rPr>
      </w:pPr>
      <w:r w:rsidRPr="008A74B1">
        <w:rPr>
          <w:bCs/>
          <w:szCs w:val="22"/>
        </w:rPr>
        <w:t>K § 23a ods. 1</w:t>
      </w:r>
    </w:p>
    <w:p w14:paraId="78C01F1C" w14:textId="77777777" w:rsidR="004F4793" w:rsidRPr="008A74B1" w:rsidRDefault="004F4793" w:rsidP="004F4793">
      <w:pPr>
        <w:jc w:val="both"/>
        <w:rPr>
          <w:szCs w:val="22"/>
        </w:rPr>
      </w:pPr>
      <w:r>
        <w:rPr>
          <w:szCs w:val="22"/>
        </w:rPr>
        <w:t>Navrhovanou právnou úpravou sa upravujú pravidlá</w:t>
      </w:r>
      <w:r w:rsidRPr="00CD114C">
        <w:rPr>
          <w:szCs w:val="22"/>
        </w:rPr>
        <w:t xml:space="preserve"> na úseku bezpečnosti informačných technológií verejnej správy</w:t>
      </w:r>
      <w:r>
        <w:rPr>
          <w:szCs w:val="22"/>
        </w:rPr>
        <w:t xml:space="preserve"> z pohľadu orgánu vedenia</w:t>
      </w:r>
      <w:r w:rsidRPr="008A74B1">
        <w:rPr>
          <w:szCs w:val="22"/>
        </w:rPr>
        <w:t xml:space="preserve">, </w:t>
      </w:r>
      <w:r>
        <w:rPr>
          <w:szCs w:val="22"/>
        </w:rPr>
        <w:t>vrátane jeho</w:t>
      </w:r>
      <w:r w:rsidRPr="008A74B1">
        <w:rPr>
          <w:szCs w:val="22"/>
        </w:rPr>
        <w:t xml:space="preserve"> metodick</w:t>
      </w:r>
      <w:r>
        <w:rPr>
          <w:szCs w:val="22"/>
        </w:rPr>
        <w:t>ej</w:t>
      </w:r>
      <w:r w:rsidRPr="008A74B1">
        <w:rPr>
          <w:szCs w:val="22"/>
        </w:rPr>
        <w:t xml:space="preserve"> a koordinačn</w:t>
      </w:r>
      <w:r>
        <w:rPr>
          <w:szCs w:val="22"/>
        </w:rPr>
        <w:t>ej</w:t>
      </w:r>
      <w:r w:rsidRPr="008A74B1">
        <w:rPr>
          <w:szCs w:val="22"/>
        </w:rPr>
        <w:t xml:space="preserve"> pôsobnos</w:t>
      </w:r>
      <w:r>
        <w:rPr>
          <w:szCs w:val="22"/>
        </w:rPr>
        <w:t>ti.</w:t>
      </w:r>
      <w:r w:rsidRPr="008A74B1">
        <w:rPr>
          <w:szCs w:val="22"/>
        </w:rPr>
        <w:t>.</w:t>
      </w:r>
    </w:p>
    <w:p w14:paraId="7D766B2E" w14:textId="77777777" w:rsidR="004F4793" w:rsidRPr="008A74B1" w:rsidRDefault="004F4793" w:rsidP="004F4793">
      <w:pPr>
        <w:jc w:val="both"/>
        <w:rPr>
          <w:szCs w:val="22"/>
        </w:rPr>
      </w:pPr>
      <w:r w:rsidRPr="008A74B1">
        <w:rPr>
          <w:szCs w:val="22"/>
        </w:rPr>
        <w:t>Navrhovaná právna úprava reaguje na aplikačnú prax a na riešenie kybernetických bezpečnostných incidentov, resp. aktivity smerované k ich predchádzaniu (napr. pri riešení bezpečnostných zraniteľností alebo aplikovaní bezpečnostných opatrení).</w:t>
      </w:r>
    </w:p>
    <w:p w14:paraId="42FAC736" w14:textId="77777777" w:rsidR="004F4793" w:rsidRPr="008A74B1" w:rsidRDefault="004F4793" w:rsidP="004F4793">
      <w:pPr>
        <w:jc w:val="both"/>
        <w:rPr>
          <w:szCs w:val="22"/>
        </w:rPr>
      </w:pPr>
      <w:r>
        <w:rPr>
          <w:szCs w:val="22"/>
        </w:rPr>
        <w:t>Zároveň sa</w:t>
      </w:r>
      <w:r w:rsidRPr="008A74B1">
        <w:rPr>
          <w:szCs w:val="22"/>
        </w:rPr>
        <w:t xml:space="preserve"> špecifikuj</w:t>
      </w:r>
      <w:r>
        <w:rPr>
          <w:szCs w:val="22"/>
        </w:rPr>
        <w:t>ú</w:t>
      </w:r>
      <w:r w:rsidRPr="008A74B1">
        <w:rPr>
          <w:szCs w:val="22"/>
        </w:rPr>
        <w:t xml:space="preserve"> aktuálne kompetencie orgánu vedenia predtým uvedené v § 23 ods. 4 písm. d), ktoré zmenou znenia lepšie naviaže na logiku vymedzenia ďalších ustanovení zákona o ITVS týkajúcich sa auditov.</w:t>
      </w:r>
    </w:p>
    <w:p w14:paraId="29B93411" w14:textId="77777777" w:rsidR="004F4793" w:rsidRPr="008A74B1" w:rsidRDefault="004F4793" w:rsidP="004F4793">
      <w:pPr>
        <w:jc w:val="both"/>
        <w:rPr>
          <w:szCs w:val="22"/>
        </w:rPr>
      </w:pPr>
    </w:p>
    <w:p w14:paraId="410F34A9" w14:textId="77777777" w:rsidR="004F4793" w:rsidRDefault="004F4793" w:rsidP="004F4793">
      <w:pPr>
        <w:jc w:val="both"/>
        <w:rPr>
          <w:bCs/>
          <w:szCs w:val="22"/>
        </w:rPr>
      </w:pPr>
      <w:r w:rsidRPr="008A74B1">
        <w:rPr>
          <w:bCs/>
          <w:szCs w:val="22"/>
        </w:rPr>
        <w:t xml:space="preserve">K § 23a ods. </w:t>
      </w:r>
      <w:r>
        <w:rPr>
          <w:bCs/>
          <w:szCs w:val="22"/>
        </w:rPr>
        <w:t>2</w:t>
      </w:r>
    </w:p>
    <w:p w14:paraId="7F6411FB" w14:textId="77777777" w:rsidR="004F4793" w:rsidRDefault="004F4793" w:rsidP="004F4793">
      <w:pPr>
        <w:jc w:val="both"/>
      </w:pPr>
      <w:r>
        <w:t xml:space="preserve">Základnou ideou úpravy bezpečnosti informačných technológií verejnej správy (ITVS) v zákone o informačných technológiách vo verejnej správe je zohľadnenie špecifík verejných informačných technológií oproti ostatným sektorom, ktoré sú upravené v zákone o kybernetickej bezpečnosti. Jedným z takých špecifík je napríklad skutočnosť, že vzhľadom na východiskové právne vzťahy podriadenosti a nadriadenosti vychádzajúce z kompetencií jednotlivých zákonov upravujúcich orgány verejnej správy ako aj množstvo centralizovaných prvkov ITVS je možné a zároveň efektívne upraviť vzťahy voči prevádzkovateľom základnej služby v podsektore ITVS ako správcom a ústrednými prvkami podsektora ako orgánom vedenia odlišne, nad rámec zákona o kybernetickej bezpečnosti. Vzhľadom na uvedené, súčasťou navrhovanej úpravy je rozšírenie kompetencií uvedených v aktuálne účinnom znení v § 23 ods. 4. Tieto už dnes siahajú nad rámec úpravy zákona o kybernetickej bezpečnosti a smerníc NIS a NIS2 z uvedených dôvodov. </w:t>
      </w:r>
    </w:p>
    <w:p w14:paraId="3D12BB2D" w14:textId="77777777" w:rsidR="004F4793" w:rsidRPr="008A74B1" w:rsidRDefault="004F4793" w:rsidP="004F4793">
      <w:pPr>
        <w:jc w:val="both"/>
        <w:rPr>
          <w:b/>
          <w:bCs/>
          <w:szCs w:val="22"/>
        </w:rPr>
      </w:pPr>
      <w:r>
        <w:t>Zároveň, priradenie týchto kompetencií špecializovanému technickému útvaru kybernetickej bezpečnosti na výkon služieb kybernetickej bezpečnosti pre správcov a to akreditovanej jednotke CSIRT – vládnej jednotke CSIRT zriadenej § 11 zákona o kybernetickej bezpečnosti s cieľom garancie náležitej kvality výkonu týchto služieb, resp. kompetenci. Z dôvodu, že sa jedná o špeciálnu úpravu viažucu sa nie na sektor alebo podsektor ITVS ale na všetky orgány riadenia, resp. správcov a s ohľadom na § 1 ods. 3 sú navrhované tieto úpravy v zákone o ITVS ako úpravy týkajúce sa organizácie správy informačných technológií verejnej správy; práv a povinností orgánu vedenia a orgánu riadenia v oblasti informačných technológií verejnej správy a základných požiadaviek kladených na informačné technológie verejnej správy a na ich správu.</w:t>
      </w:r>
    </w:p>
    <w:p w14:paraId="12A383E5" w14:textId="77777777" w:rsidR="004F4793" w:rsidRPr="008A74B1" w:rsidRDefault="004F4793" w:rsidP="004F4793">
      <w:pPr>
        <w:jc w:val="both"/>
        <w:rPr>
          <w:szCs w:val="22"/>
        </w:rPr>
      </w:pPr>
      <w:r w:rsidRPr="008A74B1">
        <w:rPr>
          <w:szCs w:val="22"/>
        </w:rPr>
        <w:t>Navrhované ustanovenie zavádza novú činnosť orgánu vedenia a vládnej jednotky CSIRT, ktorá spočíva v službách nepretržitého monitorovania. Služby nepretržitého monitorovania podľa písmena a) spoločne s rozvitím zberu centralizácie informácii o kybernetickej bezpečnosti verejnej správy podľa písmen</w:t>
      </w:r>
      <w:r>
        <w:rPr>
          <w:szCs w:val="22"/>
        </w:rPr>
        <w:t>a</w:t>
      </w:r>
      <w:r w:rsidRPr="008A74B1">
        <w:rPr>
          <w:szCs w:val="22"/>
        </w:rPr>
        <w:t> d) (pôvodne § 23 ods. 4 písm. b)) a zároveň s neinvazívnymi testovaniami podľa písmena b) (pôvodne § 23 ods. 4 písm. c)) tvoria základ prechodu kybernetickej bezpečnosti verejnej správy z reaktívnej bezpečnosti k proaktívnej kybernetickej bezpečnosti. Najvýraznejšou črtou proaktívnej bezpečnosti je najmä silnejší prevenčný efekt ako pri reaktívnych činnostiach v rámci kybernetickej bezpečnosti.</w:t>
      </w:r>
    </w:p>
    <w:p w14:paraId="260793CD" w14:textId="77777777" w:rsidR="004F4793" w:rsidRPr="008A74B1" w:rsidRDefault="004F4793" w:rsidP="004F4793">
      <w:pPr>
        <w:jc w:val="both"/>
        <w:rPr>
          <w:szCs w:val="22"/>
        </w:rPr>
      </w:pPr>
    </w:p>
    <w:p w14:paraId="0BBDEE60" w14:textId="77777777" w:rsidR="004F4793" w:rsidRPr="008A74B1" w:rsidRDefault="004F4793" w:rsidP="004F4793">
      <w:pPr>
        <w:jc w:val="both"/>
        <w:rPr>
          <w:b/>
          <w:bCs/>
        </w:rPr>
      </w:pPr>
      <w:r w:rsidRPr="008A74B1">
        <w:rPr>
          <w:b/>
          <w:bCs/>
        </w:rPr>
        <w:t xml:space="preserve">K bodu </w:t>
      </w:r>
      <w:r>
        <w:rPr>
          <w:b/>
          <w:bCs/>
        </w:rPr>
        <w:t xml:space="preserve">28 </w:t>
      </w:r>
      <w:r w:rsidRPr="008A74B1">
        <w:rPr>
          <w:b/>
          <w:bCs/>
        </w:rPr>
        <w:t>[§ 24 ods. 1 písm. k)</w:t>
      </w:r>
      <w:r>
        <w:rPr>
          <w:b/>
          <w:bCs/>
        </w:rPr>
        <w:t xml:space="preserve"> a l)</w:t>
      </w:r>
      <w:r w:rsidRPr="008A74B1">
        <w:rPr>
          <w:b/>
          <w:bCs/>
        </w:rPr>
        <w:t>]</w:t>
      </w:r>
    </w:p>
    <w:p w14:paraId="106E969F" w14:textId="77777777" w:rsidR="004F4793" w:rsidRPr="008A74B1" w:rsidRDefault="004F4793" w:rsidP="004F4793">
      <w:pPr>
        <w:jc w:val="both"/>
        <w:rPr>
          <w:bCs/>
        </w:rPr>
      </w:pPr>
      <w:r w:rsidRPr="008A74B1">
        <w:rPr>
          <w:bCs/>
        </w:rPr>
        <w:t>Navrhovaným ustanovením sa dopĺňa štandard pre dizajnový manuál</w:t>
      </w:r>
      <w:r>
        <w:rPr>
          <w:bCs/>
        </w:rPr>
        <w:t xml:space="preserve"> a kritériá prioritnej služby</w:t>
      </w:r>
      <w:r w:rsidRPr="008A74B1">
        <w:rPr>
          <w:bCs/>
        </w:rPr>
        <w:t>, ktor</w:t>
      </w:r>
      <w:r>
        <w:rPr>
          <w:bCs/>
        </w:rPr>
        <w:t>ých</w:t>
      </w:r>
      <w:r w:rsidRPr="008A74B1">
        <w:rPr>
          <w:bCs/>
        </w:rPr>
        <w:t xml:space="preserve"> podrobnosti </w:t>
      </w:r>
      <w:r>
        <w:rPr>
          <w:bCs/>
        </w:rPr>
        <w:t>budú</w:t>
      </w:r>
      <w:r w:rsidRPr="008A74B1">
        <w:rPr>
          <w:bCs/>
        </w:rPr>
        <w:t xml:space="preserve"> ustanovené vykonávacím právnym predpisom.</w:t>
      </w:r>
      <w:r>
        <w:rPr>
          <w:bCs/>
        </w:rPr>
        <w:t xml:space="preserve"> Dôvodom je, že ide o oblasti v riadení ITVS, ktoré by mali byť upravené nielen jednotne, ale najmä by mali mať povahu všeobecnej záväznosti. Preto sa v rámci zákonom ustanovených limitov § 13a a § 24c budú podrobnosti vydávať aj vykonávacím predpisom, ako štandardy ITVS.</w:t>
      </w:r>
    </w:p>
    <w:p w14:paraId="7D94F8A5" w14:textId="77777777" w:rsidR="004F4793" w:rsidRPr="008A74B1" w:rsidRDefault="004F4793" w:rsidP="004F4793">
      <w:pPr>
        <w:jc w:val="both"/>
        <w:rPr>
          <w:b/>
          <w:bCs/>
        </w:rPr>
      </w:pPr>
    </w:p>
    <w:p w14:paraId="5713DC8F" w14:textId="77777777" w:rsidR="004F4793" w:rsidRPr="008A74B1" w:rsidRDefault="004F4793" w:rsidP="004F4793">
      <w:pPr>
        <w:jc w:val="both"/>
        <w:rPr>
          <w:b/>
          <w:bCs/>
        </w:rPr>
      </w:pPr>
      <w:r w:rsidRPr="008A74B1">
        <w:rPr>
          <w:b/>
          <w:bCs/>
        </w:rPr>
        <w:t xml:space="preserve">K bodu </w:t>
      </w:r>
      <w:r>
        <w:rPr>
          <w:b/>
          <w:bCs/>
        </w:rPr>
        <w:t>29</w:t>
      </w:r>
      <w:r w:rsidRPr="008A74B1">
        <w:rPr>
          <w:b/>
          <w:bCs/>
        </w:rPr>
        <w:t xml:space="preserve"> (§ 24b ods. 7)</w:t>
      </w:r>
    </w:p>
    <w:p w14:paraId="3001354A" w14:textId="77777777" w:rsidR="004F4793" w:rsidRPr="008A74B1" w:rsidRDefault="004F4793" w:rsidP="004F4793">
      <w:pPr>
        <w:jc w:val="both"/>
      </w:pPr>
      <w:r w:rsidRPr="008A74B1">
        <w:t>Legislatívno-technická úprava.</w:t>
      </w:r>
    </w:p>
    <w:p w14:paraId="39661B78" w14:textId="77777777" w:rsidR="004F4793" w:rsidRPr="008A74B1" w:rsidRDefault="004F4793" w:rsidP="004F4793">
      <w:pPr>
        <w:jc w:val="both"/>
      </w:pPr>
    </w:p>
    <w:p w14:paraId="1D389E4B" w14:textId="77777777" w:rsidR="004F4793" w:rsidRPr="008A74B1" w:rsidRDefault="004F4793" w:rsidP="004F4793">
      <w:pPr>
        <w:jc w:val="both"/>
        <w:rPr>
          <w:b/>
          <w:bCs/>
        </w:rPr>
      </w:pPr>
      <w:r w:rsidRPr="008A74B1">
        <w:rPr>
          <w:b/>
          <w:bCs/>
        </w:rPr>
        <w:t xml:space="preserve">K bodu </w:t>
      </w:r>
      <w:r>
        <w:rPr>
          <w:b/>
          <w:bCs/>
        </w:rPr>
        <w:t>30</w:t>
      </w:r>
      <w:r w:rsidRPr="008A74B1">
        <w:rPr>
          <w:b/>
          <w:bCs/>
        </w:rPr>
        <w:t xml:space="preserve"> (§ 24c)</w:t>
      </w:r>
    </w:p>
    <w:p w14:paraId="201D529A" w14:textId="77777777" w:rsidR="004F4793" w:rsidRPr="008A74B1" w:rsidRDefault="004F4793" w:rsidP="004F4793">
      <w:pPr>
        <w:jc w:val="both"/>
        <w:rPr>
          <w:szCs w:val="22"/>
        </w:rPr>
      </w:pPr>
      <w:r w:rsidRPr="008A74B1">
        <w:rPr>
          <w:szCs w:val="22"/>
        </w:rPr>
        <w:t>Návrhom zákona sa stanovuje základný právny rámec pre zákonnú existenciu dizajnového manuálu. Určujú sa práva a povinnosti orgánu vedenia vo vzťahu k dizajnovému manuálu. Zároveň sa určujú práva a povinnosti orgánov riadenia vo vzťahu k dizajnovému manuálu pre grafické používateľské rozhranie elektronických služieb a hlavných webových sídiel.</w:t>
      </w:r>
    </w:p>
    <w:p w14:paraId="1FF6AFFE" w14:textId="77777777" w:rsidR="004F4793" w:rsidRPr="008A74B1" w:rsidRDefault="004F4793" w:rsidP="004F4793">
      <w:pPr>
        <w:jc w:val="both"/>
        <w:rPr>
          <w:szCs w:val="22"/>
        </w:rPr>
      </w:pPr>
      <w:r w:rsidRPr="008A74B1">
        <w:rPr>
          <w:szCs w:val="22"/>
        </w:rPr>
        <w:t xml:space="preserve">Hlavným webovým sídlom je také webové sídlo orgánu riadenia, na ktorom orgán riadenia uverejňuje aktuálne informácie o svojej činnosti, kontaktné údaje a informácie podľa osobitných predpisov. Orgán vedenia zverejní na stránke </w:t>
      </w:r>
      <w:hyperlink r:id="rId24" w:history="1">
        <w:r w:rsidRPr="008E7321">
          <w:rPr>
            <w:rStyle w:val="Hypertextovprepojenie"/>
            <w:szCs w:val="22"/>
          </w:rPr>
          <w:t>https://idsk.gov.sk/</w:t>
        </w:r>
      </w:hyperlink>
      <w:r>
        <w:rPr>
          <w:szCs w:val="22"/>
        </w:rPr>
        <w:t xml:space="preserve"> </w:t>
      </w:r>
      <w:r w:rsidRPr="008A74B1">
        <w:rPr>
          <w:szCs w:val="22"/>
        </w:rPr>
        <w:t>zoznam hlavných webových sídiel orgánov riadenia, ktorých sa uvedená povinnosť týka.</w:t>
      </w:r>
    </w:p>
    <w:p w14:paraId="55CA7924" w14:textId="77777777" w:rsidR="004F4793" w:rsidRPr="008A74B1" w:rsidRDefault="004F4793" w:rsidP="004F4793">
      <w:pPr>
        <w:jc w:val="both"/>
        <w:rPr>
          <w:szCs w:val="22"/>
        </w:rPr>
      </w:pPr>
      <w:r w:rsidRPr="008A74B1">
        <w:rPr>
          <w:szCs w:val="22"/>
        </w:rPr>
        <w:t>Zároveň sa nadväzuje aj na uznesenie vlády Slovenskej republiky č. 654 zo 14. októbra 2020, ktorým boli schválené Základné princípy realizácie IT projektov financovaných z verejných zdrojov a zdrojov EÚ</w:t>
      </w:r>
      <w:r>
        <w:rPr>
          <w:szCs w:val="22"/>
        </w:rPr>
        <w:t>,</w:t>
      </w:r>
      <w:r w:rsidRPr="008A74B1">
        <w:rPr>
          <w:szCs w:val="22"/>
        </w:rPr>
        <w:t xml:space="preserve"> v ktorých je ako základný princíp č. 5 písm. g) uvedený dôraz na implementovanie diela pri dodržaní pravidiel jednotného dizajnového manuálu ID-SK (dostupné na </w:t>
      </w:r>
      <w:hyperlink r:id="rId25" w:history="1">
        <w:r w:rsidRPr="008E7321">
          <w:rPr>
            <w:rStyle w:val="Hypertextovprepojenie"/>
            <w:szCs w:val="22"/>
          </w:rPr>
          <w:t>www.idsk.gov.sk</w:t>
        </w:r>
      </w:hyperlink>
      <w:r w:rsidRPr="008A74B1">
        <w:rPr>
          <w:szCs w:val="22"/>
        </w:rPr>
        <w:t>).</w:t>
      </w:r>
    </w:p>
    <w:p w14:paraId="53963A0F" w14:textId="77777777" w:rsidR="004F4793" w:rsidRPr="008A74B1" w:rsidRDefault="004F4793" w:rsidP="004F4793">
      <w:pPr>
        <w:jc w:val="both"/>
        <w:rPr>
          <w:szCs w:val="22"/>
        </w:rPr>
      </w:pPr>
      <w:r w:rsidRPr="008A74B1">
        <w:rPr>
          <w:szCs w:val="22"/>
        </w:rPr>
        <w:t>Účel dizajnového manuálu je poskytovať používateľsky kvalitné služby verejnej správy, ktoré budú reflektovať potreby a požiadavky koncových používateľov, budú vytvárané, spravované a rozvíjané s dôrazom na používateľa a budú zrozumiteľné s jednotným používateľským grafickým rozhraním.</w:t>
      </w:r>
    </w:p>
    <w:p w14:paraId="453E4570" w14:textId="77777777" w:rsidR="004F4793" w:rsidRPr="008A74B1" w:rsidRDefault="004F4793" w:rsidP="004F4793">
      <w:pPr>
        <w:jc w:val="both"/>
      </w:pPr>
      <w:r w:rsidRPr="008A74B1">
        <w:t>Cieľom dizajnového manuálu je zjednotiť používateľské rozhrania a spôsob komunikácie s používateľom pri poskytovaní elektronických služieb v Slovenskej republike.</w:t>
      </w:r>
    </w:p>
    <w:p w14:paraId="00FABA6D" w14:textId="77777777" w:rsidR="004F4793" w:rsidRPr="008A74B1" w:rsidRDefault="004F4793" w:rsidP="004F4793">
      <w:pPr>
        <w:jc w:val="both"/>
      </w:pPr>
      <w:r w:rsidRPr="008A74B1">
        <w:t>Zavádza sa aj oprávnenie orgánu riadenia vyvíjať vlastné komponenty, avšak v súlade s princípmi dizajnového manuálu. Pre zachovanie tejto podmienky je potrebná dohoda s orgánom vedenia. Konzultácie orgánu vedenia s implementátormi už prebiehajú aj v súčasnosti, pri predkladaní projektovej dokumentácie na schválenie orgánu vedenia. V tomto prípade sa môže orgán riadenia dohodnúť s orgánom vedenia na úprave existujúcich komponentov podľa svojej potreby.</w:t>
      </w:r>
    </w:p>
    <w:p w14:paraId="2DCE87D1" w14:textId="77777777" w:rsidR="004F4793" w:rsidRPr="008A74B1" w:rsidRDefault="004F4793" w:rsidP="004F4793">
      <w:pPr>
        <w:jc w:val="both"/>
        <w:rPr>
          <w:rFonts w:eastAsia="Calibri"/>
        </w:rPr>
      </w:pPr>
    </w:p>
    <w:p w14:paraId="673D3ACF" w14:textId="77777777" w:rsidR="004F4793" w:rsidRPr="008A74B1" w:rsidRDefault="004F4793" w:rsidP="004F4793">
      <w:pPr>
        <w:jc w:val="both"/>
        <w:rPr>
          <w:b/>
          <w:bCs/>
        </w:rPr>
      </w:pPr>
      <w:r w:rsidRPr="008A74B1">
        <w:rPr>
          <w:b/>
          <w:bCs/>
        </w:rPr>
        <w:t>K bod</w:t>
      </w:r>
      <w:r>
        <w:rPr>
          <w:b/>
          <w:bCs/>
        </w:rPr>
        <w:t>om</w:t>
      </w:r>
      <w:r w:rsidRPr="008A74B1">
        <w:rPr>
          <w:b/>
          <w:bCs/>
        </w:rPr>
        <w:t xml:space="preserve"> </w:t>
      </w:r>
      <w:r>
        <w:rPr>
          <w:b/>
          <w:bCs/>
        </w:rPr>
        <w:t>31 a 32</w:t>
      </w:r>
      <w:r w:rsidRPr="008A74B1">
        <w:rPr>
          <w:b/>
          <w:bCs/>
        </w:rPr>
        <w:t xml:space="preserve"> [§ 29 ods. 1 písm. a)</w:t>
      </w:r>
      <w:r>
        <w:rPr>
          <w:b/>
          <w:bCs/>
        </w:rPr>
        <w:t xml:space="preserve"> a </w:t>
      </w:r>
      <w:r w:rsidRPr="008A74B1">
        <w:rPr>
          <w:b/>
          <w:bCs/>
          <w:szCs w:val="22"/>
        </w:rPr>
        <w:t>§ 29 ods. 1 písm. b) prvý bod</w:t>
      </w:r>
      <w:r w:rsidRPr="008A74B1">
        <w:rPr>
          <w:b/>
          <w:bCs/>
        </w:rPr>
        <w:t>]</w:t>
      </w:r>
    </w:p>
    <w:p w14:paraId="33061365" w14:textId="77777777" w:rsidR="004F4793" w:rsidRPr="008A74B1" w:rsidRDefault="004F4793" w:rsidP="004F4793">
      <w:pPr>
        <w:tabs>
          <w:tab w:val="center" w:pos="4536"/>
          <w:tab w:val="right" w:pos="9072"/>
        </w:tabs>
        <w:jc w:val="both"/>
        <w:rPr>
          <w:szCs w:val="22"/>
        </w:rPr>
      </w:pPr>
      <w:r w:rsidRPr="008A74B1">
        <w:rPr>
          <w:szCs w:val="22"/>
        </w:rPr>
        <w:t>Legislatívno-technická úprava.</w:t>
      </w:r>
    </w:p>
    <w:p w14:paraId="0B22D2FA" w14:textId="77777777" w:rsidR="004F4793" w:rsidRPr="008A74B1" w:rsidRDefault="004F4793" w:rsidP="004F4793">
      <w:pPr>
        <w:tabs>
          <w:tab w:val="center" w:pos="4536"/>
          <w:tab w:val="right" w:pos="9072"/>
        </w:tabs>
        <w:jc w:val="both"/>
        <w:rPr>
          <w:b/>
          <w:bCs/>
          <w:szCs w:val="22"/>
        </w:rPr>
      </w:pPr>
    </w:p>
    <w:p w14:paraId="520466A9" w14:textId="77777777" w:rsidR="004F4793" w:rsidRPr="008A74B1" w:rsidRDefault="004F4793" w:rsidP="004F4793">
      <w:pPr>
        <w:tabs>
          <w:tab w:val="center" w:pos="4536"/>
          <w:tab w:val="right" w:pos="9072"/>
        </w:tabs>
        <w:jc w:val="both"/>
        <w:rPr>
          <w:b/>
          <w:bCs/>
          <w:szCs w:val="22"/>
        </w:rPr>
      </w:pPr>
      <w:r w:rsidRPr="008A74B1">
        <w:rPr>
          <w:b/>
          <w:bCs/>
          <w:szCs w:val="22"/>
        </w:rPr>
        <w:t xml:space="preserve">K bodu </w:t>
      </w:r>
      <w:r>
        <w:rPr>
          <w:b/>
          <w:bCs/>
          <w:szCs w:val="22"/>
        </w:rPr>
        <w:t>33</w:t>
      </w:r>
      <w:r w:rsidRPr="008A74B1">
        <w:rPr>
          <w:b/>
          <w:bCs/>
          <w:szCs w:val="22"/>
        </w:rPr>
        <w:t xml:space="preserve"> (§ 29 ods. 1 písm. c) tretí bod)</w:t>
      </w:r>
    </w:p>
    <w:p w14:paraId="0DE330D2" w14:textId="77777777" w:rsidR="004F4793" w:rsidRPr="008A74B1" w:rsidRDefault="004F4793" w:rsidP="004F4793">
      <w:pPr>
        <w:tabs>
          <w:tab w:val="center" w:pos="4536"/>
          <w:tab w:val="right" w:pos="9072"/>
        </w:tabs>
        <w:jc w:val="both"/>
        <w:rPr>
          <w:szCs w:val="22"/>
        </w:rPr>
      </w:pPr>
      <w:r w:rsidRPr="008A74B1">
        <w:rPr>
          <w:szCs w:val="22"/>
        </w:rPr>
        <w:t>Navrhuje sa doplnenie sankcie pre orgán riadenia, ktorý neposkytne súčinnosť pre iný orgán riadenia pri elektronizácií životnej situácie, ktorá je súčasťou digitálneho ekosystému v jeho pôsobnosti</w:t>
      </w:r>
      <w:r>
        <w:rPr>
          <w:szCs w:val="22"/>
        </w:rPr>
        <w:t xml:space="preserve"> alebo neplní povinnosti vo vzťahu k elektronizácii agendy vo väzbe na životné situácie</w:t>
      </w:r>
      <w:r w:rsidRPr="008A74B1">
        <w:rPr>
          <w:szCs w:val="22"/>
        </w:rPr>
        <w:t xml:space="preserve">. </w:t>
      </w:r>
    </w:p>
    <w:p w14:paraId="5FD4B072" w14:textId="77777777" w:rsidR="004F4793" w:rsidRPr="008A74B1" w:rsidRDefault="004F4793" w:rsidP="004F4793">
      <w:pPr>
        <w:tabs>
          <w:tab w:val="center" w:pos="4536"/>
          <w:tab w:val="right" w:pos="9072"/>
        </w:tabs>
        <w:jc w:val="both"/>
        <w:rPr>
          <w:szCs w:val="22"/>
        </w:rPr>
      </w:pPr>
    </w:p>
    <w:p w14:paraId="7D81DC2D" w14:textId="77777777" w:rsidR="004F4793" w:rsidRPr="008A74B1" w:rsidRDefault="004F4793" w:rsidP="004F4793">
      <w:pPr>
        <w:tabs>
          <w:tab w:val="center" w:pos="4536"/>
          <w:tab w:val="right" w:pos="9072"/>
        </w:tabs>
        <w:jc w:val="both"/>
        <w:rPr>
          <w:b/>
          <w:bCs/>
          <w:szCs w:val="22"/>
        </w:rPr>
      </w:pPr>
      <w:r w:rsidRPr="008A74B1">
        <w:rPr>
          <w:b/>
          <w:bCs/>
          <w:szCs w:val="22"/>
        </w:rPr>
        <w:t xml:space="preserve">K bodu </w:t>
      </w:r>
      <w:r>
        <w:rPr>
          <w:b/>
          <w:bCs/>
          <w:szCs w:val="22"/>
        </w:rPr>
        <w:t>34</w:t>
      </w:r>
      <w:r w:rsidRPr="008A74B1">
        <w:rPr>
          <w:b/>
          <w:bCs/>
          <w:szCs w:val="22"/>
        </w:rPr>
        <w:t xml:space="preserve"> (§ 29 ods. 2)</w:t>
      </w:r>
    </w:p>
    <w:p w14:paraId="79E8B796" w14:textId="77777777" w:rsidR="004F4793" w:rsidRPr="008A74B1" w:rsidRDefault="004F4793" w:rsidP="004F4793">
      <w:pPr>
        <w:tabs>
          <w:tab w:val="center" w:pos="4536"/>
          <w:tab w:val="right" w:pos="9072"/>
        </w:tabs>
        <w:jc w:val="both"/>
        <w:rPr>
          <w:szCs w:val="22"/>
        </w:rPr>
      </w:pPr>
      <w:r w:rsidRPr="008A74B1">
        <w:rPr>
          <w:szCs w:val="22"/>
        </w:rPr>
        <w:t>Legislatívno-technická úprava.</w:t>
      </w:r>
    </w:p>
    <w:p w14:paraId="6FD7DE77" w14:textId="77777777" w:rsidR="004F4793" w:rsidRPr="008A74B1" w:rsidRDefault="004F4793" w:rsidP="004F4793">
      <w:pPr>
        <w:tabs>
          <w:tab w:val="center" w:pos="4536"/>
          <w:tab w:val="right" w:pos="9072"/>
        </w:tabs>
        <w:jc w:val="both"/>
        <w:rPr>
          <w:szCs w:val="22"/>
        </w:rPr>
      </w:pPr>
    </w:p>
    <w:p w14:paraId="477E6780" w14:textId="77777777" w:rsidR="004F4793" w:rsidRDefault="004F4793" w:rsidP="004F4793">
      <w:pPr>
        <w:rPr>
          <w:b/>
          <w:bCs/>
        </w:rPr>
      </w:pPr>
      <w:r>
        <w:rPr>
          <w:b/>
          <w:bCs/>
        </w:rPr>
        <w:t>K bodu 35 [§ 31 písm. i)]</w:t>
      </w:r>
    </w:p>
    <w:p w14:paraId="57558578" w14:textId="77777777" w:rsidR="004F4793" w:rsidRDefault="004F4793" w:rsidP="004F4793">
      <w:r>
        <w:t>V nadväznosti na doplnenie § 13a sa navrhuje upraviť vnútorný odkaz.</w:t>
      </w:r>
    </w:p>
    <w:p w14:paraId="06EE42FC" w14:textId="77777777" w:rsidR="004F4793" w:rsidRDefault="004F4793" w:rsidP="004F4793">
      <w:pPr>
        <w:tabs>
          <w:tab w:val="center" w:pos="4536"/>
          <w:tab w:val="right" w:pos="9072"/>
        </w:tabs>
        <w:jc w:val="both"/>
        <w:rPr>
          <w:b/>
          <w:bCs/>
          <w:szCs w:val="22"/>
        </w:rPr>
      </w:pPr>
    </w:p>
    <w:p w14:paraId="7D8C70B8" w14:textId="77777777" w:rsidR="004F4793" w:rsidRPr="008A74B1" w:rsidRDefault="004F4793" w:rsidP="004F4793">
      <w:pPr>
        <w:tabs>
          <w:tab w:val="center" w:pos="4536"/>
          <w:tab w:val="right" w:pos="9072"/>
        </w:tabs>
        <w:jc w:val="both"/>
        <w:rPr>
          <w:b/>
          <w:bCs/>
          <w:szCs w:val="22"/>
        </w:rPr>
      </w:pPr>
      <w:r w:rsidRPr="008A74B1">
        <w:rPr>
          <w:b/>
          <w:bCs/>
          <w:szCs w:val="22"/>
        </w:rPr>
        <w:t xml:space="preserve">K bodu </w:t>
      </w:r>
      <w:r>
        <w:rPr>
          <w:b/>
          <w:bCs/>
          <w:szCs w:val="22"/>
        </w:rPr>
        <w:t>36</w:t>
      </w:r>
      <w:r w:rsidRPr="008A74B1">
        <w:rPr>
          <w:b/>
          <w:bCs/>
          <w:szCs w:val="22"/>
        </w:rPr>
        <w:t xml:space="preserve"> </w:t>
      </w:r>
      <w:r w:rsidRPr="008A74B1">
        <w:rPr>
          <w:b/>
          <w:bCs/>
        </w:rPr>
        <w:t>[</w:t>
      </w:r>
      <w:r w:rsidRPr="008A74B1">
        <w:rPr>
          <w:b/>
          <w:bCs/>
          <w:szCs w:val="22"/>
        </w:rPr>
        <w:t>§ 31 písm. j)</w:t>
      </w:r>
      <w:r w:rsidRPr="008A74B1">
        <w:rPr>
          <w:b/>
          <w:bCs/>
        </w:rPr>
        <w:t>]</w:t>
      </w:r>
    </w:p>
    <w:p w14:paraId="0FCD455F" w14:textId="77777777" w:rsidR="004F4793" w:rsidRPr="008A74B1" w:rsidRDefault="004F4793" w:rsidP="004F4793">
      <w:pPr>
        <w:tabs>
          <w:tab w:val="center" w:pos="4536"/>
          <w:tab w:val="right" w:pos="9072"/>
        </w:tabs>
        <w:jc w:val="both"/>
        <w:rPr>
          <w:szCs w:val="22"/>
        </w:rPr>
      </w:pPr>
      <w:r w:rsidRPr="008A74B1">
        <w:rPr>
          <w:szCs w:val="22"/>
        </w:rPr>
        <w:t>Navrhuje sa rozšíriť splnomocňovacie ustanovenie v nadväznosti na § 23 ods. 1 návrhu zákona.</w:t>
      </w:r>
    </w:p>
    <w:p w14:paraId="50EB112C" w14:textId="77777777" w:rsidR="004F4793" w:rsidRPr="008A74B1" w:rsidRDefault="004F4793" w:rsidP="004F4793">
      <w:pPr>
        <w:tabs>
          <w:tab w:val="center" w:pos="4536"/>
          <w:tab w:val="right" w:pos="9072"/>
        </w:tabs>
        <w:jc w:val="both"/>
        <w:rPr>
          <w:szCs w:val="22"/>
        </w:rPr>
      </w:pPr>
    </w:p>
    <w:p w14:paraId="64FE9FA5" w14:textId="77777777" w:rsidR="004F4793" w:rsidRDefault="004F4793" w:rsidP="004F4793">
      <w:pPr>
        <w:tabs>
          <w:tab w:val="center" w:pos="4536"/>
          <w:tab w:val="right" w:pos="9072"/>
        </w:tabs>
        <w:jc w:val="both"/>
        <w:rPr>
          <w:b/>
          <w:bCs/>
          <w:szCs w:val="22"/>
        </w:rPr>
      </w:pPr>
      <w:r>
        <w:rPr>
          <w:b/>
          <w:bCs/>
          <w:szCs w:val="22"/>
        </w:rPr>
        <w:t>K bodu 37 [§ 31 písm. k)]</w:t>
      </w:r>
    </w:p>
    <w:p w14:paraId="173F74E8" w14:textId="77777777" w:rsidR="004F4793" w:rsidRDefault="004F4793" w:rsidP="004F4793">
      <w:pPr>
        <w:tabs>
          <w:tab w:val="center" w:pos="4536"/>
          <w:tab w:val="right" w:pos="9072"/>
        </w:tabs>
        <w:jc w:val="both"/>
        <w:rPr>
          <w:szCs w:val="22"/>
        </w:rPr>
      </w:pPr>
      <w:r>
        <w:rPr>
          <w:szCs w:val="22"/>
        </w:rPr>
        <w:t xml:space="preserve">Vzhľadom na to, že sa dodržiavanie základných zásad </w:t>
      </w:r>
      <w:r w:rsidRPr="006371A2">
        <w:rPr>
          <w:szCs w:val="22"/>
        </w:rPr>
        <w:t>elektronizácie agendy verejnej správy, tvorby a rozvoja elektronických služieb a používateľských rozhraní</w:t>
      </w:r>
      <w:r>
        <w:rPr>
          <w:szCs w:val="22"/>
        </w:rPr>
        <w:t xml:space="preserve"> ustanovuje explicitne ako povinnosť, navrhuje sa spresniť aj splnomocňovacie ustanovenie a rozšíriť ho výslovne aj o úpravu týchto zásad.</w:t>
      </w:r>
    </w:p>
    <w:p w14:paraId="78749456" w14:textId="77777777" w:rsidR="004F4793" w:rsidRDefault="004F4793" w:rsidP="004F4793">
      <w:pPr>
        <w:tabs>
          <w:tab w:val="center" w:pos="4536"/>
          <w:tab w:val="right" w:pos="9072"/>
        </w:tabs>
        <w:jc w:val="both"/>
        <w:rPr>
          <w:szCs w:val="22"/>
        </w:rPr>
      </w:pPr>
    </w:p>
    <w:p w14:paraId="2B6B9FF4" w14:textId="77777777" w:rsidR="004F4793" w:rsidRPr="008A74B1" w:rsidRDefault="004F4793" w:rsidP="004F4793">
      <w:pPr>
        <w:tabs>
          <w:tab w:val="center" w:pos="4536"/>
          <w:tab w:val="right" w:pos="9072"/>
        </w:tabs>
        <w:jc w:val="both"/>
        <w:rPr>
          <w:szCs w:val="22"/>
        </w:rPr>
      </w:pPr>
    </w:p>
    <w:p w14:paraId="5AE41F18" w14:textId="77777777" w:rsidR="004F4793" w:rsidRDefault="004F4793" w:rsidP="004F4793">
      <w:pPr>
        <w:jc w:val="both"/>
        <w:rPr>
          <w:b/>
          <w:bCs/>
        </w:rPr>
      </w:pPr>
      <w:r w:rsidRPr="008A74B1">
        <w:rPr>
          <w:b/>
          <w:bCs/>
        </w:rPr>
        <w:t>K čl. II (zákon o e-Governmente)</w:t>
      </w:r>
    </w:p>
    <w:p w14:paraId="7C89B22F" w14:textId="77777777" w:rsidR="004F4793" w:rsidRDefault="004F4793" w:rsidP="004F4793">
      <w:pPr>
        <w:jc w:val="both"/>
        <w:rPr>
          <w:b/>
        </w:rPr>
      </w:pPr>
      <w:r w:rsidRPr="004251E6">
        <w:rPr>
          <w:b/>
        </w:rPr>
        <w:t xml:space="preserve">K bodu 1 </w:t>
      </w:r>
      <w:r>
        <w:rPr>
          <w:b/>
        </w:rPr>
        <w:t>[§ 3 písm. i)]</w:t>
      </w:r>
    </w:p>
    <w:p w14:paraId="4985A671" w14:textId="77777777" w:rsidR="004F4793" w:rsidRDefault="004F4793" w:rsidP="004F4793">
      <w:pPr>
        <w:jc w:val="both"/>
        <w:rPr>
          <w:bCs/>
        </w:rPr>
      </w:pPr>
      <w:r w:rsidRPr="00504EEA">
        <w:rPr>
          <w:bCs/>
        </w:rPr>
        <w:t>Zmen</w:t>
      </w:r>
      <w:r>
        <w:rPr>
          <w:bCs/>
        </w:rPr>
        <w:t xml:space="preserve">a definície elektronického formulára je súčasťou zmien v úprave elektronických formulárov, ktoré súvisia s novým prístupom k ich prezentácii, resp. prezentácii údajov vyplnených prostredníctvom elektronického formulára a s presunom technických podrobností do vykonávacieho predpisu. </w:t>
      </w:r>
    </w:p>
    <w:p w14:paraId="274F1026" w14:textId="77777777" w:rsidR="004F4793" w:rsidRDefault="004F4793" w:rsidP="004F4793">
      <w:pPr>
        <w:jc w:val="both"/>
        <w:rPr>
          <w:bCs/>
        </w:rPr>
      </w:pPr>
      <w:r w:rsidRPr="00E3703B">
        <w:rPr>
          <w:bCs/>
        </w:rPr>
        <w:t xml:space="preserve">Navrhuje sa </w:t>
      </w:r>
      <w:r>
        <w:rPr>
          <w:bCs/>
        </w:rPr>
        <w:t xml:space="preserve">umožniť prezentáciu pre vypĺňanie a prezentáciu vyplnených údajov použiteľnú na úradné účely aj prostredníctvom novej technológie </w:t>
      </w:r>
      <w:r w:rsidRPr="00E3703B">
        <w:rPr>
          <w:bCs/>
        </w:rPr>
        <w:t>pre vytváranie elektronických formulárov</w:t>
      </w:r>
      <w:r>
        <w:rPr>
          <w:bCs/>
        </w:rPr>
        <w:t>, ktorá</w:t>
      </w:r>
      <w:r w:rsidRPr="00E3703B">
        <w:rPr>
          <w:bCs/>
        </w:rPr>
        <w:t xml:space="preserve"> nebude vyžadovať jej uvádzanie vo formulári a </w:t>
      </w:r>
      <w:r>
        <w:rPr>
          <w:bCs/>
        </w:rPr>
        <w:t>prezentáciu</w:t>
      </w:r>
      <w:r w:rsidRPr="00E3703B">
        <w:rPr>
          <w:bCs/>
        </w:rPr>
        <w:t xml:space="preserve"> bude zabezpečovať táto technológia na základe údajov o službe a identifikátora formulára.</w:t>
      </w:r>
      <w:r>
        <w:rPr>
          <w:bCs/>
        </w:rPr>
        <w:t xml:space="preserve"> </w:t>
      </w:r>
      <w:r w:rsidRPr="00F111F7">
        <w:rPr>
          <w:bCs/>
        </w:rPr>
        <w:t>Zároveň budú zachované aj existujúce štandardy elektronických formulárov, preto navrhovaná úprava definície formulára nemá dopad na existujúce systémy.</w:t>
      </w:r>
    </w:p>
    <w:p w14:paraId="1F2B4624" w14:textId="77777777" w:rsidR="004F4793" w:rsidRDefault="004F4793" w:rsidP="004F4793">
      <w:pPr>
        <w:jc w:val="both"/>
        <w:rPr>
          <w:bCs/>
        </w:rPr>
      </w:pPr>
    </w:p>
    <w:p w14:paraId="5A2E9FBA" w14:textId="77777777" w:rsidR="004F4793" w:rsidRPr="00067FC5" w:rsidRDefault="004F4793" w:rsidP="004F4793">
      <w:pPr>
        <w:jc w:val="both"/>
        <w:rPr>
          <w:b/>
        </w:rPr>
      </w:pPr>
      <w:r w:rsidRPr="00067FC5">
        <w:rPr>
          <w:b/>
        </w:rPr>
        <w:t>K bodu 2 (§ 5 ods. 7)</w:t>
      </w:r>
    </w:p>
    <w:p w14:paraId="49B29BCE" w14:textId="77777777" w:rsidR="004F4793" w:rsidRPr="00067FC5" w:rsidRDefault="004F4793" w:rsidP="004F4793">
      <w:pPr>
        <w:jc w:val="both"/>
        <w:rPr>
          <w:bCs/>
        </w:rPr>
      </w:pPr>
      <w:r>
        <w:rPr>
          <w:bCs/>
        </w:rPr>
        <w:t>V nadväznosti na novú úpravu § 25 ods. 8 sa navrhuje § 5 ods. 7 vypustiť. Predmetná povinnosť bude zachovaná v § 24 ods. 8 v novej úprave.</w:t>
      </w:r>
    </w:p>
    <w:p w14:paraId="641003A1" w14:textId="77777777" w:rsidR="004F4793" w:rsidRDefault="004F4793" w:rsidP="004F4793">
      <w:pPr>
        <w:jc w:val="both"/>
        <w:rPr>
          <w:b/>
        </w:rPr>
      </w:pPr>
    </w:p>
    <w:p w14:paraId="55681081" w14:textId="77777777" w:rsidR="004F4793" w:rsidRPr="004251E6" w:rsidRDefault="004F4793" w:rsidP="004F4793">
      <w:pPr>
        <w:jc w:val="both"/>
        <w:rPr>
          <w:b/>
        </w:rPr>
      </w:pPr>
      <w:r>
        <w:rPr>
          <w:b/>
        </w:rPr>
        <w:t xml:space="preserve">K bodu 3 </w:t>
      </w:r>
      <w:r w:rsidRPr="004251E6">
        <w:rPr>
          <w:b/>
        </w:rPr>
        <w:t>(§</w:t>
      </w:r>
      <w:r>
        <w:rPr>
          <w:b/>
        </w:rPr>
        <w:t xml:space="preserve"> </w:t>
      </w:r>
      <w:r w:rsidRPr="004251E6">
        <w:rPr>
          <w:b/>
        </w:rPr>
        <w:t>6 ods. 4)</w:t>
      </w:r>
    </w:p>
    <w:p w14:paraId="144DF69D" w14:textId="77777777" w:rsidR="004F4793" w:rsidRPr="008A74B1" w:rsidRDefault="004F4793" w:rsidP="004F4793">
      <w:pPr>
        <w:jc w:val="both"/>
      </w:pPr>
      <w:r w:rsidRPr="008A74B1">
        <w:t>Cieľom úpravy je zabezpečiť plnenie povinnosti uvádzania aktuálnych informácií o elektronických službách v centrálnom metainformačnom systéme, ktorý má byť primárnym zdrojom týchto informácií a má umožniť poskytovanie aktuálnych informácií koncovým používateľom ako aj automatizované využitie a kontrolu v informačných systémoch tretích strán a na ústrednom portáli verejnej správy. Bez sprístupnenia informácií o danej elektronickej službe v centrálnom metainformačnom systéme nebude možné elektronickú službu sprístupniť.</w:t>
      </w:r>
    </w:p>
    <w:p w14:paraId="0DFA9F08" w14:textId="77777777" w:rsidR="004F4793" w:rsidRDefault="004F4793" w:rsidP="004F4793">
      <w:pPr>
        <w:jc w:val="both"/>
      </w:pPr>
    </w:p>
    <w:p w14:paraId="62B3C002" w14:textId="77777777" w:rsidR="004F4793" w:rsidRPr="007306F5" w:rsidRDefault="004F4793" w:rsidP="004F4793">
      <w:pPr>
        <w:jc w:val="both"/>
        <w:rPr>
          <w:b/>
          <w:bCs/>
        </w:rPr>
      </w:pPr>
      <w:r w:rsidRPr="007306F5">
        <w:rPr>
          <w:b/>
          <w:bCs/>
        </w:rPr>
        <w:t>K bodom 4 a 5 (§ 10)</w:t>
      </w:r>
    </w:p>
    <w:p w14:paraId="24D9FF38" w14:textId="77777777" w:rsidR="004F4793" w:rsidRDefault="004F4793" w:rsidP="004F4793">
      <w:pPr>
        <w:jc w:val="both"/>
      </w:pPr>
      <w:r>
        <w:t>V nadväznosti na doplnenie povinnosti pre orgány riadenia v § 12 zákona o ITVS sa navrhuje rozšíriť funkcionality modulu procesnej integrácie a integrácie údajov, ktorými sa uvedená povinnosť bude realizovať, a to tak vo vzťahu k sprístupňovaniu API rozhraní, ako aj vo vzťahu k cezhraničnej výmene údajov.</w:t>
      </w:r>
    </w:p>
    <w:p w14:paraId="5A20CFCC" w14:textId="77777777" w:rsidR="004F4793" w:rsidRDefault="004F4793" w:rsidP="004F4793">
      <w:pPr>
        <w:jc w:val="both"/>
      </w:pPr>
      <w:r w:rsidRPr="007306F5">
        <w:t>Modul procesnej integrácie a integrácie údajov, resp. jeho integrálna súčasť Informačný systém Centrálna správa referenčných údajov/IS CSRÚ (Centrálna integračná platforma) aktuálne slúži na výmenu údajov medzi orgánmi verejnej moci, a to najmä v zmysle zákona o e-Governmente, zákona č. 177/2018 Z. z. o niektorých opatreniach na znižovanie administratívnej záťaže využívaním informačných systémov verejnej správy a o zmene a doplnení niektorých zákonov (zákon proti byrokracii) a ďalších osobitných predpisov, ako centrálna informačná technológia napĺňajúca princíp 1 x a</w:t>
      </w:r>
      <w:r>
        <w:t xml:space="preserve"> d</w:t>
      </w:r>
      <w:r w:rsidRPr="007306F5">
        <w:t>osť, čiže ide o</w:t>
      </w:r>
      <w:r>
        <w:t xml:space="preserve"> „</w:t>
      </w:r>
      <w:r w:rsidRPr="007306F5">
        <w:t>National Once Only technical system</w:t>
      </w:r>
      <w:r>
        <w:t>“</w:t>
      </w:r>
      <w:r w:rsidRPr="007306F5">
        <w:t xml:space="preserve"> zabezpečujúci zdieľanie údajov medzi orgánmi moci na účely ich úradnej činnosti podľa osobitných predpisov bez nutnosti zaťažovania dotknutých účastníkov konaní, či inak dotknutých fyzických alebo právnických osôb zbytočnou byrokraciou spočívajúcou v</w:t>
      </w:r>
      <w:r>
        <w:t xml:space="preserve"> </w:t>
      </w:r>
      <w:r w:rsidRPr="007306F5">
        <w:t>predkladaní dokladov/potvrdení/výpisov, čiže v</w:t>
      </w:r>
      <w:r>
        <w:t xml:space="preserve"> </w:t>
      </w:r>
      <w:r w:rsidRPr="007306F5">
        <w:t xml:space="preserve">terminológii nariadenia </w:t>
      </w:r>
      <w:r w:rsidRPr="00D77A5C">
        <w:rPr>
          <w:rStyle w:val="eop"/>
          <w:rFonts w:eastAsiaTheme="minorHAnsi"/>
        </w:rPr>
        <w:t xml:space="preserve">Európskeho parlamentu a Rady (EÚ) 2018/1724 </w:t>
      </w:r>
      <w:r w:rsidRPr="007306F5">
        <w:t xml:space="preserve">„dôkazov“. V zmysle článku 14 ods. 1 </w:t>
      </w:r>
      <w:r>
        <w:t xml:space="preserve">tohto </w:t>
      </w:r>
      <w:r w:rsidRPr="007306F5">
        <w:t>nariadenia bude vytvorený technický systém na úrovni Európskej únie – „</w:t>
      </w:r>
      <w:r w:rsidRPr="00665497">
        <w:t xml:space="preserve">Once </w:t>
      </w:r>
      <w:r w:rsidRPr="007306F5">
        <w:t>Only Technical System“ zabezpečujúci napĺňanie princípu 1x a dosť na európskej úrovni, prepojený na národné informačné systémy, zabezpečujúci technickú možnosť predkladať dôkazy (údaje) do vybraných úradných konan</w:t>
      </w:r>
      <w:r>
        <w:t>í</w:t>
      </w:r>
      <w:r w:rsidRPr="007306F5">
        <w:t xml:space="preserve"> riešených vo všetkých členských štáto</w:t>
      </w:r>
      <w:r>
        <w:t>ch</w:t>
      </w:r>
      <w:r w:rsidRPr="007306F5">
        <w:t xml:space="preserve"> Európskej únie (životné situáci</w:t>
      </w:r>
      <w:r>
        <w:t>e</w:t>
      </w:r>
      <w:r w:rsidRPr="007306F5">
        <w:t>), čo vyžaduje zdieľanie údajov medzi jednotlivými orgánmi členských štátov Európskej únie. V podmienkach Slovenskej republiky je takýmto národným informačným systémom IS CSRÚ. Z pohľadu uvedeného nariadenia má preto Slovenská republika, resp. presnejšie jej orgán verejnej moci, dvojaké postavenie: – poskytovateľ dôkazov (údajov), ak sa úradné konanie uskutočňuje v inom členskom štáte Európskej únie, – konzument dôkazov (údajov), ak sa úradné konanie uskutočňuje v Slovenskej republike. IS CSRÚ/CIP bude plniť úlohu centrálneho dátového uzla, prostredníctvom ktorého prebieha obojsmerná cezhraničná výmena dôkazov, ktoré sú potrebné pre úradné konania riešiace životné situácie podľa prílohy II nariadenia č. 2018/1724, a to v plnej funkcionalite s účinnosťou najneskôr od 12.12.2023, v súlade s jeho aktuálnym účelom naplnenia princípu 1x a dosť.</w:t>
      </w:r>
    </w:p>
    <w:p w14:paraId="37D0B7C0" w14:textId="77777777" w:rsidR="004F4793" w:rsidRDefault="004F4793" w:rsidP="004F4793">
      <w:pPr>
        <w:jc w:val="both"/>
      </w:pPr>
    </w:p>
    <w:p w14:paraId="5D261724" w14:textId="77777777" w:rsidR="004F4793" w:rsidRPr="004251E6" w:rsidRDefault="004F4793" w:rsidP="004F4793">
      <w:pPr>
        <w:jc w:val="both"/>
        <w:rPr>
          <w:b/>
        </w:rPr>
      </w:pPr>
      <w:r w:rsidRPr="004251E6">
        <w:rPr>
          <w:b/>
        </w:rPr>
        <w:t xml:space="preserve">K bodu </w:t>
      </w:r>
      <w:r>
        <w:rPr>
          <w:b/>
        </w:rPr>
        <w:t>6</w:t>
      </w:r>
      <w:r w:rsidRPr="004251E6">
        <w:rPr>
          <w:b/>
        </w:rPr>
        <w:t xml:space="preserve"> </w:t>
      </w:r>
      <w:r w:rsidRPr="004251E6">
        <w:rPr>
          <w:b/>
          <w:bCs/>
        </w:rPr>
        <w:t>[</w:t>
      </w:r>
      <w:r>
        <w:rPr>
          <w:b/>
          <w:bCs/>
        </w:rPr>
        <w:t xml:space="preserve">§ </w:t>
      </w:r>
      <w:r w:rsidRPr="004251E6">
        <w:rPr>
          <w:b/>
        </w:rPr>
        <w:t xml:space="preserve">12 ods. 4 písm. </w:t>
      </w:r>
      <w:r>
        <w:rPr>
          <w:b/>
        </w:rPr>
        <w:t>g</w:t>
      </w:r>
      <w:r w:rsidRPr="004251E6">
        <w:rPr>
          <w:b/>
        </w:rPr>
        <w:t>)</w:t>
      </w:r>
      <w:r w:rsidRPr="004251E6">
        <w:rPr>
          <w:b/>
          <w:bCs/>
        </w:rPr>
        <w:t>]</w:t>
      </w:r>
    </w:p>
    <w:p w14:paraId="1952AA7B" w14:textId="77777777" w:rsidR="004F4793" w:rsidRDefault="004F4793" w:rsidP="004F4793">
      <w:pPr>
        <w:jc w:val="both"/>
      </w:pPr>
      <w:r w:rsidRPr="004251E6">
        <w:t>Navrhuje sa automatické zakladanie elektronických schránok cudzincov</w:t>
      </w:r>
      <w:r>
        <w:t xml:space="preserve"> z iných členských štátov Európskej únie, ktorí sa prihlásia k štátnym portálom prostredníctvom identifikačnej schémy (nástroja), notifikovaného v rámci pravidiel nariadenia eIDAS.</w:t>
      </w:r>
      <w:r w:rsidRPr="004251E6">
        <w:t xml:space="preserve"> </w:t>
      </w:r>
      <w:r>
        <w:t xml:space="preserve">Cieľom je </w:t>
      </w:r>
      <w:r w:rsidRPr="004251E6">
        <w:t>obmedzeni</w:t>
      </w:r>
      <w:r>
        <w:t>e</w:t>
      </w:r>
      <w:r w:rsidRPr="004251E6">
        <w:t xml:space="preserve"> administratívnej záťaže spojenej so spracovaním žiadostí o</w:t>
      </w:r>
      <w:r>
        <w:t> </w:t>
      </w:r>
      <w:r w:rsidRPr="004251E6">
        <w:t>zriaďovanie elektronických schránok</w:t>
      </w:r>
      <w:r>
        <w:t xml:space="preserve"> a umožnenie </w:t>
      </w:r>
      <w:r w:rsidRPr="004251E6">
        <w:t>využívani</w:t>
      </w:r>
      <w:r>
        <w:t>a</w:t>
      </w:r>
      <w:r w:rsidRPr="004251E6">
        <w:t xml:space="preserve"> elektronických služieb vrátane cezhraničných služieb </w:t>
      </w:r>
      <w:r>
        <w:t>aj týmto osobám</w:t>
      </w:r>
      <w:r w:rsidRPr="004251E6">
        <w:t>.</w:t>
      </w:r>
    </w:p>
    <w:p w14:paraId="1362E177" w14:textId="77777777" w:rsidR="004F4793" w:rsidRDefault="004F4793" w:rsidP="004F4793">
      <w:pPr>
        <w:jc w:val="both"/>
      </w:pPr>
    </w:p>
    <w:p w14:paraId="53704F39" w14:textId="77777777" w:rsidR="004F4793" w:rsidRPr="00615E1E" w:rsidRDefault="004F4793" w:rsidP="004F4793">
      <w:pPr>
        <w:jc w:val="both"/>
        <w:rPr>
          <w:b/>
        </w:rPr>
      </w:pPr>
      <w:r w:rsidRPr="00615E1E">
        <w:rPr>
          <w:b/>
        </w:rPr>
        <w:t>K bodu 7 (§ 13 ods. 6)</w:t>
      </w:r>
    </w:p>
    <w:p w14:paraId="169C1201" w14:textId="77777777" w:rsidR="004F4793" w:rsidRDefault="004F4793" w:rsidP="004F4793">
      <w:pPr>
        <w:jc w:val="both"/>
      </w:pPr>
      <w:r w:rsidRPr="00503FC1">
        <w:t xml:space="preserve">Vzhľadom na aplikačnú prax sa explicitne vyjadruje, že udelenie oprávnenia na disponovanie s elektronickou schránkou a prístup k nej nie je totožné s plnomocenstvom udeleným podľa </w:t>
      </w:r>
      <w:r>
        <w:t>iných predpisov a ani nezakladá oprávnenie na konanie za majiteľa schránky</w:t>
      </w:r>
      <w:r w:rsidRPr="00503FC1">
        <w:t xml:space="preserve">. Inak povedané, to že má oprávnená osoba udelený prístup k elektronickej schránke, neznamená automaticky, že má právo autorizovať elektronické podania alebo iné dokumenty v mene </w:t>
      </w:r>
      <w:r>
        <w:t xml:space="preserve">alebo za </w:t>
      </w:r>
      <w:r w:rsidRPr="00503FC1">
        <w:t>majiteľa elektronickej schránky; toto oprávnenie jej musí vyplývať z</w:t>
      </w:r>
      <w:r>
        <w:t> osobitného zákona, plnomocenstva,</w:t>
      </w:r>
      <w:r w:rsidRPr="00503FC1">
        <w:t xml:space="preserve"> interných predpisov alebo iného právneho titulu. Uvedené znamená, že ak osobitný predpis vyžaduje preukázanie </w:t>
      </w:r>
      <w:r>
        <w:t>oprávnenia</w:t>
      </w:r>
      <w:r w:rsidRPr="00503FC1">
        <w:t xml:space="preserve"> na určitý úkon </w:t>
      </w:r>
      <w:r>
        <w:t xml:space="preserve">v mene, alebo </w:t>
      </w:r>
      <w:r w:rsidRPr="00503FC1">
        <w:t xml:space="preserve">za majiteľa elektronickej schránky, udelenie oprávnenia na disponovanie elektronickou schránkou nenahrádza toto </w:t>
      </w:r>
      <w:r>
        <w:t>oprávnenie</w:t>
      </w:r>
      <w:r w:rsidRPr="00503FC1">
        <w:t xml:space="preserve"> podľa osobitného predpisu. Zároveň však udelenie prístupu k elektronickej schránke je právnym úkonom majiteľa, pričom majiteľ a osoba oprávnená si musia </w:t>
      </w:r>
      <w:r>
        <w:t xml:space="preserve">(najmä) </w:t>
      </w:r>
      <w:r w:rsidRPr="00503FC1">
        <w:t xml:space="preserve">vlastnými vnútornými predpismi a pokynmi </w:t>
      </w:r>
      <w:r>
        <w:t>určiť</w:t>
      </w:r>
      <w:r w:rsidRPr="00503FC1">
        <w:t>, ktoré úkony v elektronickej schránke má táto osoba oprávnenie vykonávať.</w:t>
      </w:r>
    </w:p>
    <w:p w14:paraId="7C6B7119" w14:textId="77777777" w:rsidR="004F4793" w:rsidRDefault="004F4793" w:rsidP="004F4793">
      <w:pPr>
        <w:jc w:val="both"/>
      </w:pPr>
    </w:p>
    <w:p w14:paraId="40DEC9E3" w14:textId="77777777" w:rsidR="004F4793" w:rsidRPr="00615E1E" w:rsidRDefault="004F4793" w:rsidP="004F4793">
      <w:pPr>
        <w:jc w:val="both"/>
        <w:rPr>
          <w:b/>
        </w:rPr>
      </w:pPr>
      <w:r w:rsidRPr="00615E1E">
        <w:rPr>
          <w:b/>
        </w:rPr>
        <w:t>K bodom 8 až 11 (§ 16)</w:t>
      </w:r>
    </w:p>
    <w:p w14:paraId="3DF3E268" w14:textId="77777777" w:rsidR="004F4793" w:rsidRDefault="004F4793" w:rsidP="004F4793">
      <w:pPr>
        <w:jc w:val="both"/>
      </w:pPr>
      <w:r>
        <w:t>Zmeny navrhované v ustanoveniach o elektronických schránkach majú za cieľ upustiť od regulácie konkrétnej kapacity elektronickej schránky a jej spoplatneného navyšovania. Pre elektronickú schránku a jej kapacitu sa predpisujú len dve pravidlá – musí zodpovedať bežným potrebám schránok elektronickej pošty v pomeroch jej majiteľa a možno ju kapacitne obmedziť vo väzbe na kapacity modulu elektronických schránok. Nastavenie úložnej kapacity preto bude zohľadňovať typ majiteľa elektronickej schránky (najmä v základnom delení medzi orgánmi verejnej moci a osobami súkromného práva, prípadne medzi podnikateľmi a fyzickými osobami nepodnikateľmi) avšak inak už nebude limitované ani pravidlami o rovnakej veľkosti úložnej kapacity, resp. o povinnom dvojnásobku pre orgány verejnej moci. V tomto kontexte sa ruší aj spoplatnenie zvyšovania kapacity schránky. Pravidlá odstraňovania elektronických správ sa zachovávajú ako možnosť, ktorou sa dá reagovať na kapacitné obmedzenia modulu elektronických schránok, samozrejme pri zachovaní všetkých obmedzení odstraňovania, ako sú dnes zákonom ustanovené. S tým je spojené zrušenie povinného „premazávania“ správ.</w:t>
      </w:r>
    </w:p>
    <w:p w14:paraId="50417A8F" w14:textId="77777777" w:rsidR="004F4793" w:rsidRDefault="004F4793" w:rsidP="004F4793">
      <w:pPr>
        <w:jc w:val="both"/>
      </w:pPr>
    </w:p>
    <w:p w14:paraId="7B07A46D" w14:textId="77777777" w:rsidR="004F4793" w:rsidRPr="00067FC5" w:rsidRDefault="004F4793" w:rsidP="004F4793">
      <w:pPr>
        <w:jc w:val="both"/>
        <w:rPr>
          <w:b/>
          <w:bCs/>
        </w:rPr>
      </w:pPr>
      <w:r w:rsidRPr="00067FC5">
        <w:rPr>
          <w:b/>
          <w:bCs/>
        </w:rPr>
        <w:t>K bod</w:t>
      </w:r>
      <w:r>
        <w:rPr>
          <w:b/>
          <w:bCs/>
        </w:rPr>
        <w:t>u 12</w:t>
      </w:r>
      <w:r w:rsidRPr="00067FC5">
        <w:rPr>
          <w:b/>
          <w:bCs/>
        </w:rPr>
        <w:t xml:space="preserve"> [§ 24 ods. 2 písm. a)]</w:t>
      </w:r>
    </w:p>
    <w:p w14:paraId="6F3BD9B0" w14:textId="77777777" w:rsidR="004F4793" w:rsidRDefault="004F4793" w:rsidP="004F4793">
      <w:pPr>
        <w:jc w:val="both"/>
      </w:pPr>
      <w:r>
        <w:t>Vypustenie časti ustanovenia § 24 ods. 2 písm. a) sa navrhuje z dôvodu, že toto pravidlo sa „presunie“ do nového § 28 ods. 4.</w:t>
      </w:r>
    </w:p>
    <w:p w14:paraId="661B2AF3" w14:textId="77777777" w:rsidR="004F4793" w:rsidRDefault="004F4793" w:rsidP="004F4793">
      <w:pPr>
        <w:jc w:val="both"/>
      </w:pPr>
    </w:p>
    <w:p w14:paraId="3B4B896A" w14:textId="77777777" w:rsidR="004F4793" w:rsidRPr="007306F5" w:rsidRDefault="004F4793" w:rsidP="004F4793">
      <w:pPr>
        <w:jc w:val="both"/>
        <w:rPr>
          <w:b/>
          <w:bCs/>
        </w:rPr>
      </w:pPr>
      <w:r w:rsidRPr="007306F5">
        <w:rPr>
          <w:b/>
          <w:bCs/>
        </w:rPr>
        <w:t xml:space="preserve">K bodom </w:t>
      </w:r>
      <w:r>
        <w:rPr>
          <w:b/>
          <w:bCs/>
        </w:rPr>
        <w:t>13</w:t>
      </w:r>
      <w:r w:rsidRPr="007306F5">
        <w:rPr>
          <w:b/>
          <w:bCs/>
        </w:rPr>
        <w:t xml:space="preserve"> a </w:t>
      </w:r>
      <w:r>
        <w:rPr>
          <w:b/>
          <w:bCs/>
        </w:rPr>
        <w:t>14</w:t>
      </w:r>
      <w:r w:rsidRPr="007306F5">
        <w:rPr>
          <w:b/>
          <w:bCs/>
        </w:rPr>
        <w:t xml:space="preserve"> (§ 25 ods. 1 a 8)</w:t>
      </w:r>
    </w:p>
    <w:p w14:paraId="5BE378E1" w14:textId="77777777" w:rsidR="004F4793" w:rsidRDefault="004F4793" w:rsidP="004F4793">
      <w:pPr>
        <w:jc w:val="both"/>
      </w:pPr>
      <w:r>
        <w:t>Ustanovenie § 5 ods. 7 z účinného znenia zákona sa navrhuje ako pravidlo zachovať a doplniť ustanovením, podľa ktorého sa rovnopis elektronického podania (ak je podanie realizované cez používateľské rozhranie) a potvrdenie o odoslaní ukladajú aj do elektronickej schránky odosielateľa, ak tomu nebránia objektívne dôvody (najmä technické) na strane správcu špecializovaného portálu. Cieľom teda je zachovať existujúci stav a nad jeho rámec sprístupniť (najmä) elektronické podanie aj v schránke odosielateľa vo všetkých prípadoch, kedy je to možné a pre špecializovaný portál to nie je prohibitívne náročné.</w:t>
      </w:r>
    </w:p>
    <w:p w14:paraId="40A1339E" w14:textId="77777777" w:rsidR="004F4793" w:rsidRDefault="004F4793" w:rsidP="004F4793">
      <w:pPr>
        <w:jc w:val="both"/>
      </w:pPr>
    </w:p>
    <w:p w14:paraId="0346131D" w14:textId="77777777" w:rsidR="004F4793" w:rsidRPr="007306F5" w:rsidRDefault="004F4793" w:rsidP="004F4793">
      <w:pPr>
        <w:jc w:val="both"/>
        <w:rPr>
          <w:b/>
          <w:bCs/>
        </w:rPr>
      </w:pPr>
      <w:r w:rsidRPr="007306F5">
        <w:rPr>
          <w:b/>
          <w:bCs/>
        </w:rPr>
        <w:t xml:space="preserve">K bodu </w:t>
      </w:r>
      <w:r>
        <w:rPr>
          <w:b/>
          <w:bCs/>
        </w:rPr>
        <w:t xml:space="preserve">15 </w:t>
      </w:r>
      <w:r w:rsidRPr="007306F5">
        <w:rPr>
          <w:b/>
          <w:bCs/>
        </w:rPr>
        <w:t>(§ 28 ods. 4)</w:t>
      </w:r>
    </w:p>
    <w:p w14:paraId="3257E36D" w14:textId="77777777" w:rsidR="004F4793" w:rsidRDefault="004F4793" w:rsidP="004F4793">
      <w:pPr>
        <w:jc w:val="both"/>
      </w:pPr>
      <w:r>
        <w:t xml:space="preserve">V spojení so zmenou v definícii elektronického formulára sa navrhuje vykonať dve súvisiace úpravy. V prvom rade sa navrhuje upraviť ustanovenia, z ktorých vyplývalo (čo aj implicitne a ustáleným výkladom), že prezentačné schémy na vypĺňanie musia byť buď súčasťou elektronického formulára, alebo musia byť dostupné na špecializovanom portáli. Navrhujú sa tieto pravidlá upraviť a zjednodušiť tak, že bude v nadväznosti na použitie novej technológie na orgáne, ktorý formulár vytvára, či pravidlá na jeho prezentáciu na vypĺňanie vloží do formulára. Cieľom je, aby bolo z formulára alebo z používateľského rozhrania zrejmé, akým spôsobom sa prezentuje na vyplnenie. Pokiaľ ide o prezentáciu vyplnených údajov, ponecháva sa v účinnosti dnešná úprava, podľa ktorej pravidlá na túto prezentáciu musia byť súčasťou elektronického formulára. Zároveň sa však umožňuje prezentácia vyplnených údajov aj prostredníctvom služby modulu elektronických formulárov, ktorej podstatou je, že samotná vizualizovaná podoba vyplnených údajov môže byť autorizáciou spojená s elektronickým podaním, preto jej pravidlá nie je potrebné zachovávať aj v rámci elektronického formulára. Podrobné postupy a technické pravidlá budú ustanovené v </w:t>
      </w:r>
      <w:r w:rsidRPr="00E3703B">
        <w:rPr>
          <w:bCs/>
        </w:rPr>
        <w:t>štandardoch pre informačné technológie verejnej správy</w:t>
      </w:r>
      <w:r>
        <w:t>.</w:t>
      </w:r>
    </w:p>
    <w:p w14:paraId="70BCA6A9" w14:textId="77777777" w:rsidR="004F4793" w:rsidRDefault="004F4793" w:rsidP="004F4793">
      <w:pPr>
        <w:jc w:val="both"/>
      </w:pPr>
    </w:p>
    <w:p w14:paraId="10529EFA" w14:textId="77777777" w:rsidR="004F4793" w:rsidRPr="00067FC5" w:rsidRDefault="004F4793" w:rsidP="004F4793">
      <w:pPr>
        <w:jc w:val="both"/>
        <w:rPr>
          <w:b/>
          <w:bCs/>
        </w:rPr>
      </w:pPr>
      <w:r w:rsidRPr="00067FC5">
        <w:rPr>
          <w:b/>
          <w:bCs/>
        </w:rPr>
        <w:t xml:space="preserve">K bodu </w:t>
      </w:r>
      <w:r>
        <w:rPr>
          <w:b/>
          <w:bCs/>
        </w:rPr>
        <w:t>16</w:t>
      </w:r>
      <w:r w:rsidRPr="00067FC5">
        <w:rPr>
          <w:b/>
          <w:bCs/>
        </w:rPr>
        <w:t xml:space="preserve"> (§ 37 ods. 4)</w:t>
      </w:r>
    </w:p>
    <w:p w14:paraId="4CA9A0C8" w14:textId="77777777" w:rsidR="004F4793" w:rsidRDefault="004F4793" w:rsidP="004F4793">
      <w:pPr>
        <w:jc w:val="both"/>
      </w:pPr>
      <w:r>
        <w:t xml:space="preserve">Zmena sa navrhuje z dôvodu uľahčenia najmä zaručených konverzií z </w:t>
      </w:r>
      <w:r w:rsidRPr="00535918">
        <w:t>elektronickej do elektronickej podoby</w:t>
      </w:r>
      <w:r>
        <w:t xml:space="preserve"> (napr. zmena formátu elektronického dokumentu), avšak je využiteľná aj pri iných druhoch konverzií. Tak, ako sa pri úradne osvedčených kópiách nevyžaduje (a v praxi ani nie vždy vyhotovuje) vytvorenie osvedčovacej doložky ako samostatného „listu papiera“, navrhuje sa aj pri zaručenej konverzii umožniť vytváranie doložky obdobným spôsobom, za podmienky jednoznačného oddelenia od informačného obsahu novovzniknutého dokumentu. Osobitne po nadobudnutí účinnosti ostatných zmien v zaručenej konverzii a výraznom okresaní obsahu osvedčovacej doložky bude tento spôsob v praxi žiadaný.</w:t>
      </w:r>
    </w:p>
    <w:p w14:paraId="2289E8D5" w14:textId="77777777" w:rsidR="004F4793" w:rsidRDefault="004F4793" w:rsidP="004F4793">
      <w:pPr>
        <w:jc w:val="both"/>
      </w:pPr>
    </w:p>
    <w:p w14:paraId="1FB5F47E" w14:textId="77777777" w:rsidR="004F4793" w:rsidRPr="00615E1E" w:rsidRDefault="004F4793" w:rsidP="004F4793">
      <w:pPr>
        <w:jc w:val="both"/>
        <w:rPr>
          <w:b/>
        </w:rPr>
      </w:pPr>
      <w:r w:rsidRPr="00615E1E">
        <w:rPr>
          <w:b/>
        </w:rPr>
        <w:t>K bodu 17 [§ 59 písm. f)]</w:t>
      </w:r>
    </w:p>
    <w:p w14:paraId="227159B2" w14:textId="77777777" w:rsidR="004F4793" w:rsidRDefault="004F4793" w:rsidP="004F4793">
      <w:pPr>
        <w:jc w:val="both"/>
      </w:pPr>
      <w:r>
        <w:t>V nadväznosti na zmenu v § 16 ods. 3 sa navrhuje upraviť znenie splnomocňovacieho ustanovenia.</w:t>
      </w:r>
    </w:p>
    <w:p w14:paraId="718AC5EC" w14:textId="77777777" w:rsidR="004F4793" w:rsidRDefault="004F4793" w:rsidP="004F4793">
      <w:pPr>
        <w:jc w:val="both"/>
      </w:pPr>
    </w:p>
    <w:p w14:paraId="73D7DAC7" w14:textId="77777777" w:rsidR="004F4793" w:rsidRDefault="004F4793" w:rsidP="004F4793">
      <w:r w:rsidRPr="00E55BA9">
        <w:rPr>
          <w:b/>
        </w:rPr>
        <w:t>K bodom 1</w:t>
      </w:r>
      <w:r>
        <w:rPr>
          <w:b/>
        </w:rPr>
        <w:t>8</w:t>
      </w:r>
      <w:r w:rsidRPr="00E55BA9">
        <w:rPr>
          <w:b/>
        </w:rPr>
        <w:t xml:space="preserve"> a 1</w:t>
      </w:r>
      <w:r>
        <w:rPr>
          <w:b/>
        </w:rPr>
        <w:t>9</w:t>
      </w:r>
      <w:r w:rsidRPr="00E55BA9">
        <w:rPr>
          <w:b/>
        </w:rPr>
        <w:t xml:space="preserve"> </w:t>
      </w:r>
      <w:r w:rsidRPr="00067FC5">
        <w:rPr>
          <w:b/>
          <w:bCs/>
        </w:rPr>
        <w:t>[</w:t>
      </w:r>
      <w:r w:rsidRPr="00E55BA9">
        <w:rPr>
          <w:b/>
        </w:rPr>
        <w:t xml:space="preserve">§ 59 </w:t>
      </w:r>
      <w:r>
        <w:rPr>
          <w:b/>
        </w:rPr>
        <w:t xml:space="preserve">ods. 1 </w:t>
      </w:r>
      <w:r w:rsidRPr="00E55BA9">
        <w:rPr>
          <w:b/>
        </w:rPr>
        <w:t>písm. j) a ods. 2</w:t>
      </w:r>
      <w:r w:rsidRPr="00067FC5">
        <w:rPr>
          <w:b/>
          <w:bCs/>
        </w:rPr>
        <w:t>]</w:t>
      </w:r>
    </w:p>
    <w:p w14:paraId="3AF101CC" w14:textId="77777777" w:rsidR="004F4793" w:rsidRPr="006B6E4E" w:rsidRDefault="004F4793" w:rsidP="004F4793">
      <w:pPr>
        <w:jc w:val="both"/>
      </w:pPr>
      <w:r>
        <w:t xml:space="preserve">Navrhuje sa upraviť splnomocňovacie ustanovenie na vydanie vykonávacieho právneho predpisu k uznaným spôsobom autorizácie z </w:t>
      </w:r>
      <w:r w:rsidRPr="006B6E4E">
        <w:t>obligatórneho na fakultatívne</w:t>
      </w:r>
      <w:r>
        <w:t xml:space="preserve"> </w:t>
      </w:r>
      <w:r w:rsidRPr="00A116A7">
        <w:t>ustanovenie</w:t>
      </w:r>
      <w:r>
        <w:t xml:space="preserve">. </w:t>
      </w:r>
      <w:r w:rsidRPr="006B6E4E">
        <w:t xml:space="preserve">Účinná </w:t>
      </w:r>
      <w:r>
        <w:t xml:space="preserve">právna </w:t>
      </w:r>
      <w:r w:rsidRPr="006B6E4E">
        <w:t xml:space="preserve">úprava splnomocňovacieho ustanovenia </w:t>
      </w:r>
      <w:r>
        <w:t>nebola vždy v praxi potrebná, a z tohto dôvodu nebolo potrebné</w:t>
      </w:r>
      <w:r w:rsidRPr="006B6E4E">
        <w:t xml:space="preserve"> uznané</w:t>
      </w:r>
      <w:r>
        <w:t xml:space="preserve"> spôsoby autorizácie ustanoviť. T</w:t>
      </w:r>
      <w:r w:rsidRPr="006B6E4E">
        <w:t xml:space="preserve">áto potreba sa vyskytla </w:t>
      </w:r>
      <w:r>
        <w:t>v súčasnosti,</w:t>
      </w:r>
      <w:r w:rsidRPr="006B6E4E">
        <w:t xml:space="preserve"> aj to len na prechodné obdobie.</w:t>
      </w:r>
      <w:r w:rsidRPr="007E00C0">
        <w:t xml:space="preserve"> </w:t>
      </w:r>
      <w:r>
        <w:t>Pre</w:t>
      </w:r>
      <w:r w:rsidRPr="006B6E4E">
        <w:t xml:space="preserve"> správne fungovanie inštitútu autorizácie nie je nevyhnutné vydanie vykonávacieho </w:t>
      </w:r>
      <w:r>
        <w:t xml:space="preserve">právneho </w:t>
      </w:r>
      <w:r w:rsidRPr="006B6E4E">
        <w:t xml:space="preserve">predpisu, </w:t>
      </w:r>
      <w:r>
        <w:t xml:space="preserve">avšak </w:t>
      </w:r>
      <w:r w:rsidRPr="006B6E4E">
        <w:t>môže byť v konkrétnej situácii potrebné</w:t>
      </w:r>
      <w:r>
        <w:t>, na základe čoho sa navrhuje len ako fakultatívna možnosť</w:t>
      </w:r>
      <w:r w:rsidRPr="006B6E4E">
        <w:t>.</w:t>
      </w:r>
      <w:r>
        <w:t xml:space="preserve"> </w:t>
      </w:r>
    </w:p>
    <w:p w14:paraId="4ADED28A" w14:textId="77777777" w:rsidR="004F4793" w:rsidRDefault="004F4793" w:rsidP="004F4793">
      <w:pPr>
        <w:jc w:val="both"/>
      </w:pPr>
    </w:p>
    <w:p w14:paraId="613FD365" w14:textId="77777777" w:rsidR="004F4793" w:rsidRDefault="004F4793" w:rsidP="004F4793">
      <w:pPr>
        <w:jc w:val="both"/>
      </w:pPr>
    </w:p>
    <w:p w14:paraId="689DACAB" w14:textId="77777777" w:rsidR="004F4793" w:rsidRDefault="004F4793" w:rsidP="004F4793">
      <w:pPr>
        <w:jc w:val="both"/>
      </w:pPr>
    </w:p>
    <w:p w14:paraId="03F61A4E" w14:textId="77777777" w:rsidR="004F4793" w:rsidRDefault="004F4793" w:rsidP="004F4793">
      <w:pPr>
        <w:jc w:val="both"/>
        <w:rPr>
          <w:b/>
          <w:bCs/>
        </w:rPr>
      </w:pPr>
      <w:r w:rsidRPr="008A74B1">
        <w:rPr>
          <w:b/>
          <w:bCs/>
        </w:rPr>
        <w:t>K čl. I</w:t>
      </w:r>
      <w:r>
        <w:rPr>
          <w:b/>
          <w:bCs/>
        </w:rPr>
        <w:t>II</w:t>
      </w:r>
      <w:r w:rsidRPr="008A74B1">
        <w:rPr>
          <w:b/>
          <w:bCs/>
        </w:rPr>
        <w:t xml:space="preserve"> </w:t>
      </w:r>
      <w:r>
        <w:rPr>
          <w:b/>
          <w:bCs/>
        </w:rPr>
        <w:t>(zákon č. 325/2022 Z. z.)</w:t>
      </w:r>
    </w:p>
    <w:p w14:paraId="135BD152" w14:textId="77777777" w:rsidR="004F4793" w:rsidRPr="00067FC5" w:rsidRDefault="004F4793" w:rsidP="004F4793">
      <w:pPr>
        <w:jc w:val="both"/>
      </w:pPr>
      <w:r>
        <w:t>Keďže ustanovenia § 37 sa s účinnosťou od 1. októbra 2024 zmenia (zákonom č. 325/2022 Z. z.), navrhuje sa zmeny spojené s osvedčovacou doložkou premietnuť aj do ustanovení zákona č. 325/2022 Z. z.</w:t>
      </w:r>
    </w:p>
    <w:p w14:paraId="4479E5FE" w14:textId="77777777" w:rsidR="004F4793" w:rsidRDefault="004F4793" w:rsidP="004F4793">
      <w:pPr>
        <w:jc w:val="both"/>
        <w:rPr>
          <w:b/>
          <w:bCs/>
        </w:rPr>
      </w:pPr>
    </w:p>
    <w:p w14:paraId="13792BC0" w14:textId="77777777" w:rsidR="004F4793" w:rsidRDefault="004F4793" w:rsidP="004F4793">
      <w:pPr>
        <w:jc w:val="both"/>
        <w:rPr>
          <w:b/>
          <w:bCs/>
        </w:rPr>
      </w:pPr>
    </w:p>
    <w:p w14:paraId="2A901C80" w14:textId="77777777" w:rsidR="004F4793" w:rsidRPr="008A74B1" w:rsidRDefault="004F4793" w:rsidP="004F4793">
      <w:pPr>
        <w:jc w:val="both"/>
        <w:rPr>
          <w:b/>
          <w:bCs/>
        </w:rPr>
      </w:pPr>
      <w:r>
        <w:rPr>
          <w:b/>
          <w:bCs/>
        </w:rPr>
        <w:t>K čl. IV</w:t>
      </w:r>
    </w:p>
    <w:p w14:paraId="75A2135E" w14:textId="77777777" w:rsidR="004F4793" w:rsidRPr="00C510FC" w:rsidRDefault="004F4793" w:rsidP="004F4793">
      <w:pPr>
        <w:autoSpaceDE w:val="0"/>
        <w:autoSpaceDN w:val="0"/>
        <w:adjustRightInd w:val="0"/>
        <w:spacing w:line="252" w:lineRule="auto"/>
        <w:jc w:val="both"/>
      </w:pPr>
      <w:r w:rsidRPr="008A74B1">
        <w:t xml:space="preserve">Účinnosť </w:t>
      </w:r>
      <w:r>
        <w:t xml:space="preserve">návrhu </w:t>
      </w:r>
      <w:r w:rsidRPr="008A74B1">
        <w:t xml:space="preserve">zákona sa navrhuje 1. </w:t>
      </w:r>
      <w:r>
        <w:t xml:space="preserve">augusta </w:t>
      </w:r>
      <w:r w:rsidRPr="008A74B1">
        <w:t>2023</w:t>
      </w:r>
      <w:r>
        <w:t>.</w:t>
      </w:r>
      <w:r w:rsidRPr="00C510FC">
        <w:t xml:space="preserve"> </w:t>
      </w:r>
    </w:p>
    <w:p w14:paraId="65CDF82E" w14:textId="77777777" w:rsidR="004F4793" w:rsidRPr="008A74B1" w:rsidRDefault="004F4793" w:rsidP="004F4793">
      <w:pPr>
        <w:jc w:val="both"/>
      </w:pPr>
    </w:p>
    <w:p w14:paraId="20AA03D8" w14:textId="5EA5DDF3" w:rsidR="00C97F60" w:rsidRDefault="00C97F60" w:rsidP="00C510FC">
      <w:pPr>
        <w:autoSpaceDE w:val="0"/>
        <w:autoSpaceDN w:val="0"/>
        <w:adjustRightInd w:val="0"/>
        <w:spacing w:line="252" w:lineRule="auto"/>
        <w:jc w:val="both"/>
      </w:pPr>
    </w:p>
    <w:p w14:paraId="1B2E9EDB" w14:textId="531EDD4B" w:rsidR="00C97F60" w:rsidRDefault="004F4793" w:rsidP="00C510FC">
      <w:pPr>
        <w:autoSpaceDE w:val="0"/>
        <w:autoSpaceDN w:val="0"/>
        <w:adjustRightInd w:val="0"/>
        <w:spacing w:line="252" w:lineRule="auto"/>
        <w:jc w:val="both"/>
      </w:pPr>
      <w:r>
        <w:t>V Bratislave 14</w:t>
      </w:r>
      <w:r w:rsidR="00C97F60">
        <w:t>. apríla 2023.</w:t>
      </w:r>
    </w:p>
    <w:p w14:paraId="4C7B3A40" w14:textId="49EC1C7F" w:rsidR="00C97F60" w:rsidRDefault="00C97F60" w:rsidP="00C510FC">
      <w:pPr>
        <w:autoSpaceDE w:val="0"/>
        <w:autoSpaceDN w:val="0"/>
        <w:adjustRightInd w:val="0"/>
        <w:spacing w:line="252" w:lineRule="auto"/>
        <w:jc w:val="both"/>
      </w:pPr>
    </w:p>
    <w:p w14:paraId="020E03DD" w14:textId="01D697EC" w:rsidR="00C97F60" w:rsidRDefault="00C97F60" w:rsidP="00C510FC">
      <w:pPr>
        <w:autoSpaceDE w:val="0"/>
        <w:autoSpaceDN w:val="0"/>
        <w:adjustRightInd w:val="0"/>
        <w:spacing w:line="252" w:lineRule="auto"/>
        <w:jc w:val="both"/>
      </w:pPr>
    </w:p>
    <w:p w14:paraId="37232E56" w14:textId="77777777" w:rsidR="00C97F60" w:rsidRPr="0062444D" w:rsidRDefault="00C97F60" w:rsidP="00C97F60">
      <w:pPr>
        <w:jc w:val="center"/>
        <w:rPr>
          <w:b/>
        </w:rPr>
      </w:pPr>
    </w:p>
    <w:p w14:paraId="5BB56392" w14:textId="77777777" w:rsidR="00C97F60" w:rsidRPr="0062444D" w:rsidRDefault="00C97F60" w:rsidP="00C97F60">
      <w:pPr>
        <w:jc w:val="center"/>
        <w:rPr>
          <w:b/>
        </w:rPr>
      </w:pPr>
    </w:p>
    <w:p w14:paraId="58B9B912" w14:textId="77777777" w:rsidR="00C97F60" w:rsidRPr="0062444D" w:rsidRDefault="00C97F60" w:rsidP="00C97F60">
      <w:pPr>
        <w:jc w:val="center"/>
        <w:rPr>
          <w:b/>
        </w:rPr>
      </w:pPr>
    </w:p>
    <w:p w14:paraId="67FDC9FE" w14:textId="2154BCC0" w:rsidR="00C97F60" w:rsidRPr="00B542CA" w:rsidRDefault="00C97F60" w:rsidP="00C97F60">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Eduard Heger </w:t>
      </w:r>
      <w:r w:rsidR="00581F46">
        <w:rPr>
          <w:rFonts w:ascii="Times New Roman" w:hAnsi="Times New Roman" w:cs="Times New Roman"/>
          <w:b/>
          <w:sz w:val="24"/>
          <w:szCs w:val="24"/>
        </w:rPr>
        <w:t>v.r.</w:t>
      </w:r>
    </w:p>
    <w:p w14:paraId="0E3B090A" w14:textId="77777777" w:rsidR="00C97F60" w:rsidRPr="0062444D" w:rsidRDefault="00C97F60" w:rsidP="00C97F6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predseda vlády</w:t>
      </w:r>
    </w:p>
    <w:p w14:paraId="09D69077" w14:textId="77777777" w:rsidR="00C97F60" w:rsidRPr="0062444D" w:rsidRDefault="00C97F60" w:rsidP="00C97F6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Slovenskej republiky</w:t>
      </w:r>
    </w:p>
    <w:p w14:paraId="0770D1D1" w14:textId="77777777" w:rsidR="00C97F60" w:rsidRPr="0062444D" w:rsidRDefault="00C97F60" w:rsidP="00C97F60">
      <w:pPr>
        <w:pStyle w:val="Bezriadkovania"/>
        <w:jc w:val="center"/>
        <w:rPr>
          <w:rFonts w:ascii="Times New Roman" w:hAnsi="Times New Roman" w:cs="Times New Roman"/>
          <w:sz w:val="24"/>
          <w:szCs w:val="24"/>
        </w:rPr>
      </w:pPr>
    </w:p>
    <w:p w14:paraId="0E2DF554" w14:textId="77777777" w:rsidR="00C97F60" w:rsidRPr="0062444D" w:rsidRDefault="00C97F60" w:rsidP="00C97F60">
      <w:pPr>
        <w:pStyle w:val="Bezriadkovania"/>
        <w:jc w:val="center"/>
        <w:rPr>
          <w:rFonts w:ascii="Times New Roman" w:hAnsi="Times New Roman" w:cs="Times New Roman"/>
          <w:sz w:val="24"/>
          <w:szCs w:val="24"/>
        </w:rPr>
      </w:pPr>
    </w:p>
    <w:p w14:paraId="1429460D" w14:textId="77777777" w:rsidR="00C97F60" w:rsidRPr="0062444D" w:rsidRDefault="00C97F60" w:rsidP="00C97F60">
      <w:pPr>
        <w:pStyle w:val="Bezriadkovania"/>
        <w:jc w:val="center"/>
        <w:rPr>
          <w:rFonts w:ascii="Times New Roman" w:hAnsi="Times New Roman" w:cs="Times New Roman"/>
          <w:sz w:val="24"/>
          <w:szCs w:val="24"/>
        </w:rPr>
      </w:pPr>
    </w:p>
    <w:p w14:paraId="0E710C7C" w14:textId="77777777" w:rsidR="00C97F60" w:rsidRPr="0062444D" w:rsidRDefault="00C97F60" w:rsidP="00C97F60">
      <w:pPr>
        <w:pStyle w:val="Bezriadkovania"/>
        <w:jc w:val="center"/>
        <w:rPr>
          <w:rFonts w:ascii="Times New Roman" w:hAnsi="Times New Roman" w:cs="Times New Roman"/>
          <w:sz w:val="24"/>
          <w:szCs w:val="24"/>
        </w:rPr>
      </w:pPr>
    </w:p>
    <w:p w14:paraId="21F8A786" w14:textId="77777777" w:rsidR="00C97F60" w:rsidRPr="0062444D" w:rsidRDefault="00C97F60" w:rsidP="00C97F60">
      <w:pPr>
        <w:pStyle w:val="Bezriadkovania"/>
        <w:jc w:val="center"/>
        <w:rPr>
          <w:rFonts w:ascii="Times New Roman" w:hAnsi="Times New Roman" w:cs="Times New Roman"/>
          <w:sz w:val="24"/>
          <w:szCs w:val="24"/>
        </w:rPr>
      </w:pPr>
    </w:p>
    <w:p w14:paraId="5B3F752D" w14:textId="2B6FFF89" w:rsidR="00C97F60" w:rsidRPr="00B542CA" w:rsidRDefault="00C97F60" w:rsidP="00C97F60">
      <w:pPr>
        <w:pStyle w:val="Bezriadkovania"/>
        <w:jc w:val="center"/>
        <w:rPr>
          <w:rFonts w:ascii="Times New Roman" w:hAnsi="Times New Roman" w:cs="Times New Roman"/>
          <w:b/>
          <w:sz w:val="24"/>
          <w:szCs w:val="24"/>
        </w:rPr>
      </w:pPr>
      <w:r>
        <w:rPr>
          <w:rFonts w:ascii="Times New Roman" w:hAnsi="Times New Roman" w:cs="Times New Roman"/>
          <w:b/>
          <w:sz w:val="24"/>
          <w:szCs w:val="24"/>
        </w:rPr>
        <w:t>Veronika Remišová</w:t>
      </w:r>
      <w:r w:rsidR="00581F46">
        <w:rPr>
          <w:rFonts w:ascii="Times New Roman" w:hAnsi="Times New Roman" w:cs="Times New Roman"/>
          <w:b/>
          <w:sz w:val="24"/>
          <w:szCs w:val="24"/>
        </w:rPr>
        <w:t xml:space="preserve"> v.r.</w:t>
      </w:r>
    </w:p>
    <w:p w14:paraId="2C7F33B6" w14:textId="77777777" w:rsidR="00C97F60" w:rsidRPr="0062444D" w:rsidRDefault="00C97F60" w:rsidP="00C97F6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podpredsedníčka vlády a ministerka investícií,</w:t>
      </w:r>
    </w:p>
    <w:p w14:paraId="26EFAA54" w14:textId="563AF66B" w:rsidR="00C97F60" w:rsidRDefault="00C97F60" w:rsidP="00C97F60">
      <w:pPr>
        <w:pStyle w:val="Bezriadkovania"/>
        <w:jc w:val="center"/>
        <w:rPr>
          <w:rFonts w:ascii="Times New Roman" w:hAnsi="Times New Roman" w:cs="Times New Roman"/>
          <w:sz w:val="24"/>
          <w:szCs w:val="24"/>
        </w:rPr>
      </w:pPr>
      <w:r w:rsidRPr="0062444D">
        <w:rPr>
          <w:rFonts w:ascii="Times New Roman" w:hAnsi="Times New Roman" w:cs="Times New Roman"/>
          <w:sz w:val="24"/>
          <w:szCs w:val="24"/>
        </w:rPr>
        <w:t>region</w:t>
      </w:r>
      <w:r w:rsidR="00193FDA">
        <w:rPr>
          <w:rFonts w:ascii="Times New Roman" w:hAnsi="Times New Roman" w:cs="Times New Roman"/>
          <w:sz w:val="24"/>
          <w:szCs w:val="24"/>
        </w:rPr>
        <w:t>álneho rozvoja a informatizácie</w:t>
      </w:r>
    </w:p>
    <w:p w14:paraId="3D50E070" w14:textId="53262484" w:rsidR="00193FDA" w:rsidRPr="0062444D" w:rsidRDefault="00193FDA" w:rsidP="00C97F60">
      <w:pPr>
        <w:pStyle w:val="Bezriadkovania"/>
        <w:jc w:val="center"/>
        <w:rPr>
          <w:rFonts w:ascii="Times New Roman" w:hAnsi="Times New Roman" w:cs="Times New Roman"/>
          <w:sz w:val="24"/>
          <w:szCs w:val="24"/>
        </w:rPr>
      </w:pPr>
      <w:r>
        <w:rPr>
          <w:rFonts w:ascii="Times New Roman" w:hAnsi="Times New Roman" w:cs="Times New Roman"/>
          <w:sz w:val="24"/>
          <w:szCs w:val="24"/>
        </w:rPr>
        <w:t>Slovenskej republiky</w:t>
      </w:r>
      <w:bookmarkStart w:id="1" w:name="_GoBack"/>
      <w:bookmarkEnd w:id="1"/>
    </w:p>
    <w:p w14:paraId="536630DB" w14:textId="77777777" w:rsidR="00C97F60" w:rsidRPr="00E93FBA" w:rsidRDefault="00C97F60" w:rsidP="00C97F60">
      <w:pPr>
        <w:spacing w:before="120"/>
      </w:pPr>
    </w:p>
    <w:p w14:paraId="208EF128" w14:textId="77777777" w:rsidR="00C97F60" w:rsidRPr="00C510FC" w:rsidRDefault="00C97F60" w:rsidP="00C510FC">
      <w:pPr>
        <w:autoSpaceDE w:val="0"/>
        <w:autoSpaceDN w:val="0"/>
        <w:adjustRightInd w:val="0"/>
        <w:spacing w:line="252" w:lineRule="auto"/>
        <w:jc w:val="both"/>
      </w:pPr>
    </w:p>
    <w:p w14:paraId="2E564942" w14:textId="309E47EF" w:rsidR="009E1142" w:rsidRPr="008A74B1" w:rsidRDefault="009E1142" w:rsidP="0058618C">
      <w:pPr>
        <w:jc w:val="both"/>
      </w:pPr>
    </w:p>
    <w:sectPr w:rsidR="009E1142" w:rsidRPr="008A74B1" w:rsidSect="009E1142">
      <w:footerReference w:type="default" r:id="rId2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0C02" w14:textId="77777777" w:rsidR="001C13FB" w:rsidRDefault="001C13FB">
      <w:r>
        <w:separator/>
      </w:r>
    </w:p>
  </w:endnote>
  <w:endnote w:type="continuationSeparator" w:id="0">
    <w:p w14:paraId="49403115" w14:textId="77777777" w:rsidR="001C13FB" w:rsidRDefault="001C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A29F" w14:textId="77777777" w:rsidR="001C13FB" w:rsidRDefault="001C13F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43E6B276" w14:textId="77777777" w:rsidR="001C13FB" w:rsidRDefault="001C13F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301E" w14:textId="227A1A1F" w:rsidR="001C13FB" w:rsidRDefault="001C13FB">
    <w:pPr>
      <w:pStyle w:val="Pta"/>
      <w:jc w:val="right"/>
    </w:pPr>
    <w:r>
      <w:fldChar w:fldCharType="begin"/>
    </w:r>
    <w:r>
      <w:instrText>PAGE   \* MERGEFORMAT</w:instrText>
    </w:r>
    <w:r>
      <w:fldChar w:fldCharType="separate"/>
    </w:r>
    <w:r w:rsidR="00193FDA">
      <w:rPr>
        <w:noProof/>
      </w:rPr>
      <w:t>1</w:t>
    </w:r>
    <w:r>
      <w:fldChar w:fldCharType="end"/>
    </w:r>
  </w:p>
  <w:p w14:paraId="0C55CF7C" w14:textId="77777777" w:rsidR="001C13FB" w:rsidRDefault="001C13F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4369" w14:textId="2AD41228" w:rsidR="001C13FB" w:rsidRDefault="001C13FB">
    <w:pPr>
      <w:pStyle w:val="Pta"/>
      <w:jc w:val="right"/>
    </w:pPr>
    <w:r>
      <w:fldChar w:fldCharType="begin"/>
    </w:r>
    <w:r>
      <w:instrText>PAGE   \* MERGEFORMAT</w:instrText>
    </w:r>
    <w:r>
      <w:fldChar w:fldCharType="separate"/>
    </w:r>
    <w:r w:rsidR="00193FDA">
      <w:rPr>
        <w:noProof/>
      </w:rPr>
      <w:t>28</w:t>
    </w:r>
    <w:r>
      <w:fldChar w:fldCharType="end"/>
    </w:r>
  </w:p>
  <w:p w14:paraId="303BF514" w14:textId="77777777" w:rsidR="001C13FB" w:rsidRDefault="001C13F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EAD2" w14:textId="3281FB76" w:rsidR="001C13FB" w:rsidRPr="008E3361" w:rsidRDefault="001C13FB" w:rsidP="00C97F60">
    <w:pPr>
      <w:pStyle w:val="Pta"/>
      <w:rPr>
        <w:rFonts w:ascii="Times New Roman" w:hAnsi="Times New Roman"/>
      </w:rPr>
    </w:pPr>
  </w:p>
  <w:p w14:paraId="162F3E54" w14:textId="77777777" w:rsidR="001C13FB" w:rsidRPr="007C3F79" w:rsidRDefault="001C13FB" w:rsidP="009E11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1E44B" w14:textId="77777777" w:rsidR="001C13FB" w:rsidRDefault="001C13FB">
      <w:r>
        <w:separator/>
      </w:r>
    </w:p>
  </w:footnote>
  <w:footnote w:type="continuationSeparator" w:id="0">
    <w:p w14:paraId="25323853" w14:textId="77777777" w:rsidR="001C13FB" w:rsidRDefault="001C13FB">
      <w:r>
        <w:continuationSeparator/>
      </w:r>
    </w:p>
  </w:footnote>
  <w:footnote w:id="1">
    <w:p w14:paraId="2B95FF66" w14:textId="77777777" w:rsidR="001C13FB" w:rsidRPr="00E33702" w:rsidRDefault="001C13FB" w:rsidP="00D619B4">
      <w:pPr>
        <w:pStyle w:val="Textpoznmkypodiarou"/>
      </w:pPr>
      <w:r>
        <w:rPr>
          <w:rStyle w:val="Odkaznapoznmkupodiarou"/>
        </w:rPr>
        <w:footnoteRef/>
      </w:r>
      <w:r>
        <w:t xml:space="preserve"> </w:t>
      </w:r>
      <w:r>
        <w:rPr>
          <w:lang w:val="en-US"/>
        </w:rPr>
        <w:t>Pre po</w:t>
      </w:r>
      <w:r>
        <w:t xml:space="preserve">zíciu IT Analytik neboli v čase vzniku analýzy dostupné údaje, urobili sme preto kvalifikovaný odhad pre hrubú mzdu na tejto pozícii v regióne Bratislava na úrovni 3 200 EUR / mesačne. Neskôr dostupné dáta ukázali interval hrubej mzdy pre túto pozíciu medzi 2 250 – 3 760 EUR / mesačne podľa seniority uchádzača. Považujeme teda za dostačujúce pracovať s pôvodným odhadom.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3AA2C" w14:textId="77777777" w:rsidR="001C13FB" w:rsidRDefault="001C13FB" w:rsidP="001C13FB">
    <w:pPr>
      <w:pStyle w:val="Hlavika"/>
      <w:jc w:val="right"/>
      <w:rPr>
        <w:sz w:val="24"/>
        <w:szCs w:val="24"/>
      </w:rPr>
    </w:pPr>
    <w:r>
      <w:rPr>
        <w:sz w:val="24"/>
        <w:szCs w:val="24"/>
      </w:rPr>
      <w:t>Príloha č. 2</w:t>
    </w:r>
  </w:p>
  <w:p w14:paraId="545423B7" w14:textId="77777777" w:rsidR="001C13FB" w:rsidRPr="00EB59C8" w:rsidRDefault="001C13FB" w:rsidP="001C13FB">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160C" w14:textId="267D730A" w:rsidR="001C13FB" w:rsidRPr="0024067A" w:rsidRDefault="001C13FB">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CC4D" w14:textId="77777777" w:rsidR="001C13FB" w:rsidRPr="000A15AE" w:rsidRDefault="001C13FB" w:rsidP="001C13FB">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B53"/>
    <w:multiLevelType w:val="hybridMultilevel"/>
    <w:tmpl w:val="EF2AC7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FB50E11"/>
    <w:multiLevelType w:val="hybridMultilevel"/>
    <w:tmpl w:val="8DB6FDF2"/>
    <w:lvl w:ilvl="0" w:tplc="603EB89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C1BEB"/>
    <w:multiLevelType w:val="multilevel"/>
    <w:tmpl w:val="753AD5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A1412CE"/>
    <w:multiLevelType w:val="hybridMultilevel"/>
    <w:tmpl w:val="94503D7C"/>
    <w:lvl w:ilvl="0" w:tplc="4630F56A">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2"/>
  </w:num>
  <w:num w:numId="2">
    <w:abstractNumId w:val="8"/>
  </w:num>
  <w:num w:numId="3">
    <w:abstractNumId w:val="4"/>
  </w:num>
  <w:num w:numId="4">
    <w:abstractNumId w:val="5"/>
  </w:num>
  <w:num w:numId="5">
    <w:abstractNumId w:val="1"/>
  </w:num>
  <w:num w:numId="6">
    <w:abstractNumId w:val="7"/>
  </w:num>
  <w:num w:numId="7">
    <w:abstractNumId w:val="3"/>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B0"/>
    <w:rsid w:val="0000032A"/>
    <w:rsid w:val="00006E39"/>
    <w:rsid w:val="00010C21"/>
    <w:rsid w:val="00012DB5"/>
    <w:rsid w:val="00013563"/>
    <w:rsid w:val="00014BB3"/>
    <w:rsid w:val="00016847"/>
    <w:rsid w:val="0002410C"/>
    <w:rsid w:val="00027ED3"/>
    <w:rsid w:val="000350D5"/>
    <w:rsid w:val="0004345A"/>
    <w:rsid w:val="000450F3"/>
    <w:rsid w:val="0004577F"/>
    <w:rsid w:val="00051D9D"/>
    <w:rsid w:val="00057A8A"/>
    <w:rsid w:val="00064A4A"/>
    <w:rsid w:val="00066F97"/>
    <w:rsid w:val="00067FC5"/>
    <w:rsid w:val="00071155"/>
    <w:rsid w:val="00083FD9"/>
    <w:rsid w:val="00086567"/>
    <w:rsid w:val="00086ACA"/>
    <w:rsid w:val="00093468"/>
    <w:rsid w:val="00096CF5"/>
    <w:rsid w:val="00096FA5"/>
    <w:rsid w:val="000A7FFC"/>
    <w:rsid w:val="000B3B20"/>
    <w:rsid w:val="000B4D47"/>
    <w:rsid w:val="000C59CE"/>
    <w:rsid w:val="000D4C98"/>
    <w:rsid w:val="000D5C8A"/>
    <w:rsid w:val="000D7384"/>
    <w:rsid w:val="000D738E"/>
    <w:rsid w:val="000F13CC"/>
    <w:rsid w:val="000F34F2"/>
    <w:rsid w:val="000F4C50"/>
    <w:rsid w:val="000F5AC3"/>
    <w:rsid w:val="000F6C38"/>
    <w:rsid w:val="000F7EB8"/>
    <w:rsid w:val="0010059F"/>
    <w:rsid w:val="00113B4F"/>
    <w:rsid w:val="00121C43"/>
    <w:rsid w:val="00122E3D"/>
    <w:rsid w:val="00125537"/>
    <w:rsid w:val="00133795"/>
    <w:rsid w:val="001437C0"/>
    <w:rsid w:val="001450E7"/>
    <w:rsid w:val="00150FB1"/>
    <w:rsid w:val="00157B30"/>
    <w:rsid w:val="00160459"/>
    <w:rsid w:val="00160578"/>
    <w:rsid w:val="00161F39"/>
    <w:rsid w:val="00165CB9"/>
    <w:rsid w:val="00165DCF"/>
    <w:rsid w:val="00167855"/>
    <w:rsid w:val="0017472F"/>
    <w:rsid w:val="00181124"/>
    <w:rsid w:val="00182F3A"/>
    <w:rsid w:val="00186CA1"/>
    <w:rsid w:val="00190AF2"/>
    <w:rsid w:val="00193B1C"/>
    <w:rsid w:val="00193FDA"/>
    <w:rsid w:val="001956C2"/>
    <w:rsid w:val="00196294"/>
    <w:rsid w:val="001B3A4E"/>
    <w:rsid w:val="001B49A9"/>
    <w:rsid w:val="001C13FB"/>
    <w:rsid w:val="001C1A01"/>
    <w:rsid w:val="001D2346"/>
    <w:rsid w:val="001D6E67"/>
    <w:rsid w:val="001E0595"/>
    <w:rsid w:val="001E368D"/>
    <w:rsid w:val="001E4CD8"/>
    <w:rsid w:val="001F026B"/>
    <w:rsid w:val="00207AB5"/>
    <w:rsid w:val="00211799"/>
    <w:rsid w:val="0021307B"/>
    <w:rsid w:val="00216EB3"/>
    <w:rsid w:val="00217EE2"/>
    <w:rsid w:val="00220335"/>
    <w:rsid w:val="002220F3"/>
    <w:rsid w:val="00224AF4"/>
    <w:rsid w:val="00232BE3"/>
    <w:rsid w:val="00257A9F"/>
    <w:rsid w:val="00281D5C"/>
    <w:rsid w:val="00284A79"/>
    <w:rsid w:val="00292FB2"/>
    <w:rsid w:val="00294BBA"/>
    <w:rsid w:val="00296837"/>
    <w:rsid w:val="0029798C"/>
    <w:rsid w:val="002A1E17"/>
    <w:rsid w:val="002B258F"/>
    <w:rsid w:val="002D1765"/>
    <w:rsid w:val="002D323C"/>
    <w:rsid w:val="002E1F00"/>
    <w:rsid w:val="002E6EA8"/>
    <w:rsid w:val="002F5D03"/>
    <w:rsid w:val="003042C8"/>
    <w:rsid w:val="003076E4"/>
    <w:rsid w:val="00310F51"/>
    <w:rsid w:val="0031241E"/>
    <w:rsid w:val="0031706C"/>
    <w:rsid w:val="00322CB7"/>
    <w:rsid w:val="00327320"/>
    <w:rsid w:val="00337794"/>
    <w:rsid w:val="00350B48"/>
    <w:rsid w:val="00350DB1"/>
    <w:rsid w:val="00351CD6"/>
    <w:rsid w:val="00361669"/>
    <w:rsid w:val="00361BA9"/>
    <w:rsid w:val="00363A28"/>
    <w:rsid w:val="00363F28"/>
    <w:rsid w:val="00372C21"/>
    <w:rsid w:val="00375982"/>
    <w:rsid w:val="00391CCB"/>
    <w:rsid w:val="00396E99"/>
    <w:rsid w:val="00397D87"/>
    <w:rsid w:val="003A06B5"/>
    <w:rsid w:val="003A5027"/>
    <w:rsid w:val="003A5406"/>
    <w:rsid w:val="003A67E9"/>
    <w:rsid w:val="003A7BFA"/>
    <w:rsid w:val="003B2E0D"/>
    <w:rsid w:val="003B6E6E"/>
    <w:rsid w:val="003C5921"/>
    <w:rsid w:val="003F27B8"/>
    <w:rsid w:val="003F4AD2"/>
    <w:rsid w:val="003F5619"/>
    <w:rsid w:val="003F749C"/>
    <w:rsid w:val="004076B3"/>
    <w:rsid w:val="0042011B"/>
    <w:rsid w:val="004251E6"/>
    <w:rsid w:val="0042538D"/>
    <w:rsid w:val="0042743B"/>
    <w:rsid w:val="00427A58"/>
    <w:rsid w:val="00431291"/>
    <w:rsid w:val="00431BA3"/>
    <w:rsid w:val="00432111"/>
    <w:rsid w:val="00434ABE"/>
    <w:rsid w:val="004360FE"/>
    <w:rsid w:val="00441287"/>
    <w:rsid w:val="00452D54"/>
    <w:rsid w:val="00454CD9"/>
    <w:rsid w:val="00460C77"/>
    <w:rsid w:val="004619B0"/>
    <w:rsid w:val="00461B65"/>
    <w:rsid w:val="004823E2"/>
    <w:rsid w:val="00484C44"/>
    <w:rsid w:val="004920B6"/>
    <w:rsid w:val="00492691"/>
    <w:rsid w:val="004A0463"/>
    <w:rsid w:val="004A1B78"/>
    <w:rsid w:val="004A4FA6"/>
    <w:rsid w:val="004B4A98"/>
    <w:rsid w:val="004B53C3"/>
    <w:rsid w:val="004C158B"/>
    <w:rsid w:val="004D19FC"/>
    <w:rsid w:val="004D4CB1"/>
    <w:rsid w:val="004E174E"/>
    <w:rsid w:val="004E2544"/>
    <w:rsid w:val="004E484E"/>
    <w:rsid w:val="004F10D2"/>
    <w:rsid w:val="004F2858"/>
    <w:rsid w:val="004F31E9"/>
    <w:rsid w:val="004F4793"/>
    <w:rsid w:val="004F5F68"/>
    <w:rsid w:val="004F7E4E"/>
    <w:rsid w:val="00500647"/>
    <w:rsid w:val="0050184D"/>
    <w:rsid w:val="00504EEA"/>
    <w:rsid w:val="00504FBA"/>
    <w:rsid w:val="00505DAE"/>
    <w:rsid w:val="00520DA7"/>
    <w:rsid w:val="00526111"/>
    <w:rsid w:val="00533F18"/>
    <w:rsid w:val="00535918"/>
    <w:rsid w:val="005366E8"/>
    <w:rsid w:val="00540904"/>
    <w:rsid w:val="00550BCB"/>
    <w:rsid w:val="00551FBC"/>
    <w:rsid w:val="005542CF"/>
    <w:rsid w:val="00554D1B"/>
    <w:rsid w:val="00555B94"/>
    <w:rsid w:val="00555B98"/>
    <w:rsid w:val="0055675D"/>
    <w:rsid w:val="005630F0"/>
    <w:rsid w:val="0057705A"/>
    <w:rsid w:val="00577EEB"/>
    <w:rsid w:val="00581F46"/>
    <w:rsid w:val="005829B6"/>
    <w:rsid w:val="00584373"/>
    <w:rsid w:val="00585B71"/>
    <w:rsid w:val="0058618C"/>
    <w:rsid w:val="005870D3"/>
    <w:rsid w:val="005925A2"/>
    <w:rsid w:val="00595DE8"/>
    <w:rsid w:val="005A1082"/>
    <w:rsid w:val="005A13CA"/>
    <w:rsid w:val="005C046B"/>
    <w:rsid w:val="005C2138"/>
    <w:rsid w:val="005C7668"/>
    <w:rsid w:val="005E2C95"/>
    <w:rsid w:val="005E3C50"/>
    <w:rsid w:val="005E58F3"/>
    <w:rsid w:val="005F0E10"/>
    <w:rsid w:val="005F2FAD"/>
    <w:rsid w:val="005F6698"/>
    <w:rsid w:val="00605FC6"/>
    <w:rsid w:val="00612DB5"/>
    <w:rsid w:val="00614F3D"/>
    <w:rsid w:val="00623854"/>
    <w:rsid w:val="0063398C"/>
    <w:rsid w:val="00634D0C"/>
    <w:rsid w:val="006371A2"/>
    <w:rsid w:val="006405E3"/>
    <w:rsid w:val="00644B59"/>
    <w:rsid w:val="00653B9A"/>
    <w:rsid w:val="0065453D"/>
    <w:rsid w:val="00665894"/>
    <w:rsid w:val="00666FEC"/>
    <w:rsid w:val="00671E23"/>
    <w:rsid w:val="006743C7"/>
    <w:rsid w:val="006951D8"/>
    <w:rsid w:val="006969B5"/>
    <w:rsid w:val="006A317C"/>
    <w:rsid w:val="006B6E4E"/>
    <w:rsid w:val="006C0752"/>
    <w:rsid w:val="006D1177"/>
    <w:rsid w:val="006D34C5"/>
    <w:rsid w:val="006D535E"/>
    <w:rsid w:val="006D731B"/>
    <w:rsid w:val="006E3253"/>
    <w:rsid w:val="006F0B62"/>
    <w:rsid w:val="006F1F06"/>
    <w:rsid w:val="006F279F"/>
    <w:rsid w:val="006F2945"/>
    <w:rsid w:val="006F36A6"/>
    <w:rsid w:val="0070017A"/>
    <w:rsid w:val="00703899"/>
    <w:rsid w:val="00707700"/>
    <w:rsid w:val="00711B1E"/>
    <w:rsid w:val="00721E7E"/>
    <w:rsid w:val="0072647A"/>
    <w:rsid w:val="007306F5"/>
    <w:rsid w:val="00730DCA"/>
    <w:rsid w:val="00733B39"/>
    <w:rsid w:val="00734F6A"/>
    <w:rsid w:val="007358EF"/>
    <w:rsid w:val="0073743C"/>
    <w:rsid w:val="0074255F"/>
    <w:rsid w:val="00743F0C"/>
    <w:rsid w:val="00745A6C"/>
    <w:rsid w:val="00747120"/>
    <w:rsid w:val="00754BC0"/>
    <w:rsid w:val="00764997"/>
    <w:rsid w:val="0076550C"/>
    <w:rsid w:val="00770B14"/>
    <w:rsid w:val="00784451"/>
    <w:rsid w:val="0078537C"/>
    <w:rsid w:val="007865C1"/>
    <w:rsid w:val="00786927"/>
    <w:rsid w:val="00795448"/>
    <w:rsid w:val="007962D8"/>
    <w:rsid w:val="007A3794"/>
    <w:rsid w:val="007B0ED7"/>
    <w:rsid w:val="007B5B8E"/>
    <w:rsid w:val="007B725C"/>
    <w:rsid w:val="007D043F"/>
    <w:rsid w:val="007E00C0"/>
    <w:rsid w:val="007E1843"/>
    <w:rsid w:val="007E6695"/>
    <w:rsid w:val="007E78B0"/>
    <w:rsid w:val="007F215C"/>
    <w:rsid w:val="0080378E"/>
    <w:rsid w:val="00806211"/>
    <w:rsid w:val="00811B43"/>
    <w:rsid w:val="00821BE3"/>
    <w:rsid w:val="00821D95"/>
    <w:rsid w:val="00823541"/>
    <w:rsid w:val="0082515B"/>
    <w:rsid w:val="008322DD"/>
    <w:rsid w:val="00834D9A"/>
    <w:rsid w:val="008419A0"/>
    <w:rsid w:val="0084647D"/>
    <w:rsid w:val="00847409"/>
    <w:rsid w:val="00847D51"/>
    <w:rsid w:val="008513EE"/>
    <w:rsid w:val="008517F0"/>
    <w:rsid w:val="00853C8F"/>
    <w:rsid w:val="00884CF9"/>
    <w:rsid w:val="00885918"/>
    <w:rsid w:val="00886A69"/>
    <w:rsid w:val="008A0C56"/>
    <w:rsid w:val="008A2F5A"/>
    <w:rsid w:val="008A5FD6"/>
    <w:rsid w:val="008A74B1"/>
    <w:rsid w:val="008B1469"/>
    <w:rsid w:val="008B3E5A"/>
    <w:rsid w:val="008C0D50"/>
    <w:rsid w:val="008C4792"/>
    <w:rsid w:val="008D6A0B"/>
    <w:rsid w:val="008E2026"/>
    <w:rsid w:val="008E3361"/>
    <w:rsid w:val="008E3EA1"/>
    <w:rsid w:val="008F4004"/>
    <w:rsid w:val="0090504D"/>
    <w:rsid w:val="00906827"/>
    <w:rsid w:val="0090746D"/>
    <w:rsid w:val="00911EE6"/>
    <w:rsid w:val="00913966"/>
    <w:rsid w:val="00914E28"/>
    <w:rsid w:val="0092041A"/>
    <w:rsid w:val="00926742"/>
    <w:rsid w:val="00930128"/>
    <w:rsid w:val="00932E9E"/>
    <w:rsid w:val="00935963"/>
    <w:rsid w:val="0093614C"/>
    <w:rsid w:val="00941D60"/>
    <w:rsid w:val="00943763"/>
    <w:rsid w:val="0094578B"/>
    <w:rsid w:val="009506B1"/>
    <w:rsid w:val="00956166"/>
    <w:rsid w:val="0095724A"/>
    <w:rsid w:val="00960370"/>
    <w:rsid w:val="009631BC"/>
    <w:rsid w:val="00963F3E"/>
    <w:rsid w:val="009645EA"/>
    <w:rsid w:val="00971A48"/>
    <w:rsid w:val="009752E6"/>
    <w:rsid w:val="00981E0F"/>
    <w:rsid w:val="009835B9"/>
    <w:rsid w:val="009835C1"/>
    <w:rsid w:val="00985A0E"/>
    <w:rsid w:val="00990A3B"/>
    <w:rsid w:val="00991467"/>
    <w:rsid w:val="00993568"/>
    <w:rsid w:val="009935F1"/>
    <w:rsid w:val="009A1F28"/>
    <w:rsid w:val="009A5F2D"/>
    <w:rsid w:val="009A799B"/>
    <w:rsid w:val="009B3057"/>
    <w:rsid w:val="009B6B24"/>
    <w:rsid w:val="009C3A3A"/>
    <w:rsid w:val="009D163D"/>
    <w:rsid w:val="009D1F7D"/>
    <w:rsid w:val="009D5020"/>
    <w:rsid w:val="009D54FD"/>
    <w:rsid w:val="009E1142"/>
    <w:rsid w:val="00A00451"/>
    <w:rsid w:val="00A00499"/>
    <w:rsid w:val="00A033C8"/>
    <w:rsid w:val="00A06063"/>
    <w:rsid w:val="00A06864"/>
    <w:rsid w:val="00A11128"/>
    <w:rsid w:val="00A116A7"/>
    <w:rsid w:val="00A136B5"/>
    <w:rsid w:val="00A22BDE"/>
    <w:rsid w:val="00A30C71"/>
    <w:rsid w:val="00A374DD"/>
    <w:rsid w:val="00A43F70"/>
    <w:rsid w:val="00A55D69"/>
    <w:rsid w:val="00A56F2A"/>
    <w:rsid w:val="00A70290"/>
    <w:rsid w:val="00A81DE2"/>
    <w:rsid w:val="00A95CFF"/>
    <w:rsid w:val="00AB4544"/>
    <w:rsid w:val="00AC3A82"/>
    <w:rsid w:val="00AD4CC9"/>
    <w:rsid w:val="00AE1602"/>
    <w:rsid w:val="00AE255A"/>
    <w:rsid w:val="00AE325F"/>
    <w:rsid w:val="00AF07A1"/>
    <w:rsid w:val="00AF59A4"/>
    <w:rsid w:val="00AF5E4B"/>
    <w:rsid w:val="00B17CED"/>
    <w:rsid w:val="00B35913"/>
    <w:rsid w:val="00B40F37"/>
    <w:rsid w:val="00B525C1"/>
    <w:rsid w:val="00B57A5E"/>
    <w:rsid w:val="00B60EDE"/>
    <w:rsid w:val="00B62191"/>
    <w:rsid w:val="00B62432"/>
    <w:rsid w:val="00B63290"/>
    <w:rsid w:val="00B64D25"/>
    <w:rsid w:val="00B67AC6"/>
    <w:rsid w:val="00B7325B"/>
    <w:rsid w:val="00B76A8A"/>
    <w:rsid w:val="00B772FB"/>
    <w:rsid w:val="00B82415"/>
    <w:rsid w:val="00B93585"/>
    <w:rsid w:val="00BA2E5D"/>
    <w:rsid w:val="00BB3A57"/>
    <w:rsid w:val="00BC1AE3"/>
    <w:rsid w:val="00BC2BE1"/>
    <w:rsid w:val="00BD11FA"/>
    <w:rsid w:val="00BD2763"/>
    <w:rsid w:val="00BD3996"/>
    <w:rsid w:val="00BE6461"/>
    <w:rsid w:val="00BE68E1"/>
    <w:rsid w:val="00BF2CF6"/>
    <w:rsid w:val="00BF3034"/>
    <w:rsid w:val="00BF3A69"/>
    <w:rsid w:val="00C04D57"/>
    <w:rsid w:val="00C07A54"/>
    <w:rsid w:val="00C07F2C"/>
    <w:rsid w:val="00C12058"/>
    <w:rsid w:val="00C1383B"/>
    <w:rsid w:val="00C168BE"/>
    <w:rsid w:val="00C20B8F"/>
    <w:rsid w:val="00C322C5"/>
    <w:rsid w:val="00C41342"/>
    <w:rsid w:val="00C510FC"/>
    <w:rsid w:val="00C55A84"/>
    <w:rsid w:val="00C602E7"/>
    <w:rsid w:val="00C63438"/>
    <w:rsid w:val="00C826D6"/>
    <w:rsid w:val="00C85D9F"/>
    <w:rsid w:val="00C97F60"/>
    <w:rsid w:val="00CA24EC"/>
    <w:rsid w:val="00CA4F5B"/>
    <w:rsid w:val="00CA67F3"/>
    <w:rsid w:val="00CC2B78"/>
    <w:rsid w:val="00CC6C20"/>
    <w:rsid w:val="00CC746B"/>
    <w:rsid w:val="00CD114C"/>
    <w:rsid w:val="00CD1B06"/>
    <w:rsid w:val="00CD511E"/>
    <w:rsid w:val="00CF06F7"/>
    <w:rsid w:val="00CF082C"/>
    <w:rsid w:val="00CF2EF6"/>
    <w:rsid w:val="00CF64E3"/>
    <w:rsid w:val="00D02377"/>
    <w:rsid w:val="00D02F15"/>
    <w:rsid w:val="00D21044"/>
    <w:rsid w:val="00D21C7D"/>
    <w:rsid w:val="00D2541D"/>
    <w:rsid w:val="00D25B40"/>
    <w:rsid w:val="00D25DF0"/>
    <w:rsid w:val="00D270AB"/>
    <w:rsid w:val="00D31CDF"/>
    <w:rsid w:val="00D32098"/>
    <w:rsid w:val="00D3222D"/>
    <w:rsid w:val="00D33C3F"/>
    <w:rsid w:val="00D400D0"/>
    <w:rsid w:val="00D40578"/>
    <w:rsid w:val="00D451A4"/>
    <w:rsid w:val="00D47A0D"/>
    <w:rsid w:val="00D47A8A"/>
    <w:rsid w:val="00D5504F"/>
    <w:rsid w:val="00D57AB3"/>
    <w:rsid w:val="00D60DE0"/>
    <w:rsid w:val="00D60F92"/>
    <w:rsid w:val="00D6113A"/>
    <w:rsid w:val="00D619B4"/>
    <w:rsid w:val="00D81B52"/>
    <w:rsid w:val="00D81BCF"/>
    <w:rsid w:val="00D87B74"/>
    <w:rsid w:val="00D97092"/>
    <w:rsid w:val="00D979CB"/>
    <w:rsid w:val="00D97A94"/>
    <w:rsid w:val="00DA3201"/>
    <w:rsid w:val="00DB2FF3"/>
    <w:rsid w:val="00DB336F"/>
    <w:rsid w:val="00DB76F6"/>
    <w:rsid w:val="00DC1F0D"/>
    <w:rsid w:val="00DC2D6E"/>
    <w:rsid w:val="00DC6E24"/>
    <w:rsid w:val="00DC7C81"/>
    <w:rsid w:val="00DE0429"/>
    <w:rsid w:val="00DF02F9"/>
    <w:rsid w:val="00E07488"/>
    <w:rsid w:val="00E10CA8"/>
    <w:rsid w:val="00E11679"/>
    <w:rsid w:val="00E219E7"/>
    <w:rsid w:val="00E3703B"/>
    <w:rsid w:val="00E43C6D"/>
    <w:rsid w:val="00E451E6"/>
    <w:rsid w:val="00E51A03"/>
    <w:rsid w:val="00E5219E"/>
    <w:rsid w:val="00E55BA9"/>
    <w:rsid w:val="00E6016B"/>
    <w:rsid w:val="00E63CC3"/>
    <w:rsid w:val="00E64309"/>
    <w:rsid w:val="00E64F0E"/>
    <w:rsid w:val="00E85645"/>
    <w:rsid w:val="00E866E9"/>
    <w:rsid w:val="00E90DB1"/>
    <w:rsid w:val="00E9754A"/>
    <w:rsid w:val="00EA1128"/>
    <w:rsid w:val="00EA1415"/>
    <w:rsid w:val="00EA7491"/>
    <w:rsid w:val="00EC4326"/>
    <w:rsid w:val="00EC46EC"/>
    <w:rsid w:val="00EC5236"/>
    <w:rsid w:val="00EC69EB"/>
    <w:rsid w:val="00EC7686"/>
    <w:rsid w:val="00ED0C5E"/>
    <w:rsid w:val="00EE56B2"/>
    <w:rsid w:val="00EE5DA5"/>
    <w:rsid w:val="00F111F7"/>
    <w:rsid w:val="00F12744"/>
    <w:rsid w:val="00F1397C"/>
    <w:rsid w:val="00F174BB"/>
    <w:rsid w:val="00F23A22"/>
    <w:rsid w:val="00F367B0"/>
    <w:rsid w:val="00F40ED5"/>
    <w:rsid w:val="00F421A9"/>
    <w:rsid w:val="00F45EED"/>
    <w:rsid w:val="00F57D20"/>
    <w:rsid w:val="00F64A15"/>
    <w:rsid w:val="00F7661C"/>
    <w:rsid w:val="00F76E0D"/>
    <w:rsid w:val="00F869D5"/>
    <w:rsid w:val="00F93DC9"/>
    <w:rsid w:val="00F945AD"/>
    <w:rsid w:val="00F960EF"/>
    <w:rsid w:val="00FB00B6"/>
    <w:rsid w:val="00FB0258"/>
    <w:rsid w:val="00FB3DB7"/>
    <w:rsid w:val="00FB7BCD"/>
    <w:rsid w:val="00FC3C89"/>
    <w:rsid w:val="00FD564B"/>
    <w:rsid w:val="00FD7755"/>
    <w:rsid w:val="00FE4631"/>
    <w:rsid w:val="00FF2576"/>
    <w:rsid w:val="00FF4FAE"/>
    <w:rsid w:val="00FF6597"/>
    <w:rsid w:val="0314B96D"/>
    <w:rsid w:val="04DA3C0E"/>
    <w:rsid w:val="133010B3"/>
    <w:rsid w:val="1408087E"/>
    <w:rsid w:val="14259598"/>
    <w:rsid w:val="143CFC03"/>
    <w:rsid w:val="177FF32C"/>
    <w:rsid w:val="1C3A3BF2"/>
    <w:rsid w:val="1F71DCB4"/>
    <w:rsid w:val="2EBD363E"/>
    <w:rsid w:val="2F8FEE04"/>
    <w:rsid w:val="3059069F"/>
    <w:rsid w:val="312067FE"/>
    <w:rsid w:val="328744DA"/>
    <w:rsid w:val="3A3F1E58"/>
    <w:rsid w:val="3DE5C2A9"/>
    <w:rsid w:val="43343B3B"/>
    <w:rsid w:val="4C6EC133"/>
    <w:rsid w:val="4EFAFFCD"/>
    <w:rsid w:val="51C33219"/>
    <w:rsid w:val="55EAAE12"/>
    <w:rsid w:val="592D5E43"/>
    <w:rsid w:val="6518E42B"/>
    <w:rsid w:val="689B749F"/>
    <w:rsid w:val="6BB4B988"/>
    <w:rsid w:val="723484EF"/>
    <w:rsid w:val="782F88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9BBF"/>
  <w15:chartTrackingRefBased/>
  <w15:docId w15:val="{EB21228B-823F-4047-BC7D-45755561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67B0"/>
    <w:pPr>
      <w:spacing w:after="0" w:line="240" w:lineRule="auto"/>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F367B0"/>
    <w:pPr>
      <w:spacing w:after="200" w:line="276" w:lineRule="auto"/>
      <w:ind w:left="720"/>
      <w:contextualSpacing/>
    </w:pPr>
    <w:rPr>
      <w:rFonts w:ascii="Calibri" w:hAnsi="Calibri"/>
      <w:sz w:val="22"/>
      <w:szCs w:val="22"/>
    </w:rPr>
  </w:style>
  <w:style w:type="paragraph" w:styleId="Zkladntext">
    <w:name w:val="Body Text"/>
    <w:basedOn w:val="Normlny"/>
    <w:link w:val="ZkladntextChar"/>
    <w:rsid w:val="00F367B0"/>
    <w:pPr>
      <w:jc w:val="both"/>
    </w:pPr>
    <w:rPr>
      <w:rFonts w:ascii="Verdana" w:hAnsi="Verdana" w:cs="Verdana"/>
      <w:lang w:eastAsia="sk-SK"/>
    </w:rPr>
  </w:style>
  <w:style w:type="character" w:customStyle="1" w:styleId="ZkladntextChar">
    <w:name w:val="Základný text Char"/>
    <w:basedOn w:val="Predvolenpsmoodseku"/>
    <w:link w:val="Zkladntext"/>
    <w:rsid w:val="00F367B0"/>
    <w:rPr>
      <w:rFonts w:ascii="Verdana" w:eastAsia="Times New Roman" w:hAnsi="Verdana" w:cs="Verdana"/>
      <w:sz w:val="24"/>
      <w:szCs w:val="24"/>
      <w:lang w:eastAsia="sk-SK"/>
    </w:rPr>
  </w:style>
  <w:style w:type="paragraph" w:customStyle="1" w:styleId="CharCharCharCharCharChar">
    <w:name w:val="Char Char Char Char Char Char"/>
    <w:basedOn w:val="Normlny"/>
    <w:rsid w:val="00F367B0"/>
    <w:pPr>
      <w:spacing w:after="160" w:line="240" w:lineRule="exact"/>
    </w:pPr>
    <w:rPr>
      <w:rFonts w:ascii="Tahoma" w:hAnsi="Tahoma"/>
      <w:sz w:val="20"/>
      <w:szCs w:val="20"/>
    </w:rPr>
  </w:style>
  <w:style w:type="paragraph" w:styleId="Hlavika">
    <w:name w:val="header"/>
    <w:basedOn w:val="Normlny"/>
    <w:link w:val="HlavikaChar"/>
    <w:uiPriority w:val="99"/>
    <w:rsid w:val="00F367B0"/>
    <w:pPr>
      <w:tabs>
        <w:tab w:val="center" w:pos="4536"/>
        <w:tab w:val="right" w:pos="9072"/>
      </w:tabs>
    </w:pPr>
    <w:rPr>
      <w:rFonts w:ascii="Calibri" w:hAnsi="Calibri"/>
      <w:sz w:val="22"/>
      <w:szCs w:val="22"/>
    </w:rPr>
  </w:style>
  <w:style w:type="character" w:customStyle="1" w:styleId="HlavikaChar">
    <w:name w:val="Hlavička Char"/>
    <w:basedOn w:val="Predvolenpsmoodseku"/>
    <w:link w:val="Hlavika"/>
    <w:uiPriority w:val="99"/>
    <w:rsid w:val="00F367B0"/>
    <w:rPr>
      <w:rFonts w:ascii="Calibri" w:eastAsia="Times New Roman" w:hAnsi="Calibri" w:cs="Times New Roman"/>
    </w:rPr>
  </w:style>
  <w:style w:type="paragraph" w:styleId="Pta">
    <w:name w:val="footer"/>
    <w:basedOn w:val="Normlny"/>
    <w:link w:val="PtaChar"/>
    <w:uiPriority w:val="99"/>
    <w:rsid w:val="00F367B0"/>
    <w:pPr>
      <w:tabs>
        <w:tab w:val="center" w:pos="4536"/>
        <w:tab w:val="right" w:pos="9072"/>
      </w:tabs>
    </w:pPr>
    <w:rPr>
      <w:rFonts w:ascii="Calibri" w:hAnsi="Calibri"/>
      <w:sz w:val="22"/>
      <w:szCs w:val="22"/>
    </w:rPr>
  </w:style>
  <w:style w:type="character" w:customStyle="1" w:styleId="PtaChar">
    <w:name w:val="Päta Char"/>
    <w:basedOn w:val="Predvolenpsmoodseku"/>
    <w:link w:val="Pta"/>
    <w:uiPriority w:val="99"/>
    <w:rsid w:val="00F367B0"/>
    <w:rPr>
      <w:rFonts w:ascii="Calibri" w:eastAsia="Times New Roman" w:hAnsi="Calibri" w:cs="Times New Roman"/>
    </w:rPr>
  </w:style>
  <w:style w:type="paragraph" w:styleId="Textbubliny">
    <w:name w:val="Balloon Text"/>
    <w:basedOn w:val="Normlny"/>
    <w:link w:val="TextbublinyChar"/>
    <w:uiPriority w:val="99"/>
    <w:rsid w:val="00F367B0"/>
    <w:rPr>
      <w:rFonts w:ascii="Tahoma" w:hAnsi="Tahoma" w:cs="Tahoma"/>
      <w:sz w:val="16"/>
      <w:szCs w:val="16"/>
    </w:rPr>
  </w:style>
  <w:style w:type="character" w:customStyle="1" w:styleId="TextbublinyChar">
    <w:name w:val="Text bubliny Char"/>
    <w:basedOn w:val="Predvolenpsmoodseku"/>
    <w:link w:val="Textbubliny"/>
    <w:uiPriority w:val="99"/>
    <w:rsid w:val="00F367B0"/>
    <w:rPr>
      <w:rFonts w:ascii="Tahoma" w:eastAsia="Times New Roman" w:hAnsi="Tahoma" w:cs="Tahoma"/>
      <w:sz w:val="16"/>
      <w:szCs w:val="16"/>
    </w:rPr>
  </w:style>
  <w:style w:type="paragraph" w:styleId="Textpoznmkypodiarou">
    <w:name w:val="footnote text"/>
    <w:aliases w:val="Text poznámky pod čiarou 007"/>
    <w:basedOn w:val="Normlny"/>
    <w:link w:val="TextpoznmkypodiarouChar"/>
    <w:uiPriority w:val="99"/>
    <w:rsid w:val="00F367B0"/>
    <w:rPr>
      <w:rFonts w:ascii="Calibri" w:hAnsi="Calibri"/>
      <w:sz w:val="20"/>
      <w:szCs w:val="20"/>
    </w:rPr>
  </w:style>
  <w:style w:type="character" w:customStyle="1" w:styleId="TextpoznmkypodiarouChar">
    <w:name w:val="Text poznámky pod čiarou Char"/>
    <w:aliases w:val="Text poznámky pod čiarou 007 Char"/>
    <w:basedOn w:val="Predvolenpsmoodseku"/>
    <w:link w:val="Textpoznmkypodiarou"/>
    <w:uiPriority w:val="99"/>
    <w:qFormat/>
    <w:rsid w:val="00F367B0"/>
    <w:rPr>
      <w:rFonts w:ascii="Calibri" w:eastAsia="Times New Roman" w:hAnsi="Calibri" w:cs="Times New Roman"/>
      <w:sz w:val="20"/>
      <w:szCs w:val="20"/>
    </w:rPr>
  </w:style>
  <w:style w:type="character" w:styleId="Odkaznapoznmkupodiarou">
    <w:name w:val="footnote reference"/>
    <w:uiPriority w:val="99"/>
    <w:rsid w:val="00F367B0"/>
    <w:rPr>
      <w:rFonts w:cs="Times New Roman"/>
      <w:vertAlign w:val="superscript"/>
    </w:rPr>
  </w:style>
  <w:style w:type="table" w:styleId="Mriekatabuky">
    <w:name w:val="Table Grid"/>
    <w:basedOn w:val="Normlnatabuka"/>
    <w:uiPriority w:val="59"/>
    <w:rsid w:val="00F367B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F367B0"/>
    <w:pPr>
      <w:spacing w:after="0" w:line="240" w:lineRule="auto"/>
    </w:pPr>
    <w:rPr>
      <w:rFonts w:ascii="Calibri" w:eastAsia="Times New Roman" w:hAnsi="Calibri" w:cs="Times New Roman"/>
    </w:rPr>
  </w:style>
  <w:style w:type="character" w:styleId="Odkaznakomentr">
    <w:name w:val="annotation reference"/>
    <w:uiPriority w:val="99"/>
    <w:rsid w:val="00F367B0"/>
    <w:rPr>
      <w:rFonts w:cs="Times New Roman"/>
      <w:sz w:val="16"/>
      <w:szCs w:val="16"/>
    </w:rPr>
  </w:style>
  <w:style w:type="paragraph" w:styleId="Textkomentra">
    <w:name w:val="annotation text"/>
    <w:basedOn w:val="Normlny"/>
    <w:link w:val="TextkomentraChar"/>
    <w:uiPriority w:val="99"/>
    <w:rsid w:val="00F367B0"/>
    <w:pPr>
      <w:spacing w:after="200"/>
    </w:pPr>
    <w:rPr>
      <w:rFonts w:ascii="Calibri" w:hAnsi="Calibri"/>
      <w:sz w:val="20"/>
      <w:szCs w:val="20"/>
    </w:rPr>
  </w:style>
  <w:style w:type="character" w:customStyle="1" w:styleId="TextkomentraChar">
    <w:name w:val="Text komentára Char"/>
    <w:basedOn w:val="Predvolenpsmoodseku"/>
    <w:link w:val="Textkomentra"/>
    <w:uiPriority w:val="99"/>
    <w:rsid w:val="00F367B0"/>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rsid w:val="00F367B0"/>
    <w:rPr>
      <w:b/>
      <w:bCs/>
    </w:rPr>
  </w:style>
  <w:style w:type="character" w:customStyle="1" w:styleId="PredmetkomentraChar">
    <w:name w:val="Predmet komentára Char"/>
    <w:basedOn w:val="TextkomentraChar"/>
    <w:link w:val="Predmetkomentra"/>
    <w:uiPriority w:val="99"/>
    <w:rsid w:val="00F367B0"/>
    <w:rPr>
      <w:rFonts w:ascii="Calibri" w:eastAsia="Times New Roman" w:hAnsi="Calibri" w:cs="Times New Roman"/>
      <w:b/>
      <w:bCs/>
      <w:sz w:val="20"/>
      <w:szCs w:val="20"/>
    </w:rPr>
  </w:style>
  <w:style w:type="character" w:styleId="Zstupntext">
    <w:name w:val="Placeholder Text"/>
    <w:basedOn w:val="Predvolenpsmoodseku"/>
    <w:uiPriority w:val="99"/>
    <w:semiHidden/>
    <w:rsid w:val="00F367B0"/>
    <w:rPr>
      <w:rFonts w:ascii="Times New Roman" w:hAnsi="Times New Roman"/>
      <w:color w:val="808080"/>
    </w:rPr>
  </w:style>
  <w:style w:type="paragraph" w:styleId="Odsekzoznamu">
    <w:name w:val="List Paragraph"/>
    <w:basedOn w:val="Normlny"/>
    <w:uiPriority w:val="34"/>
    <w:qFormat/>
    <w:rsid w:val="00F367B0"/>
    <w:pPr>
      <w:spacing w:after="200" w:line="276" w:lineRule="auto"/>
      <w:ind w:left="720"/>
      <w:contextualSpacing/>
    </w:pPr>
    <w:rPr>
      <w:rFonts w:ascii="Calibri" w:eastAsia="Calibri" w:hAnsi="Calibri"/>
      <w:sz w:val="22"/>
      <w:szCs w:val="22"/>
    </w:rPr>
  </w:style>
  <w:style w:type="paragraph" w:customStyle="1" w:styleId="Default">
    <w:name w:val="Default"/>
    <w:rsid w:val="00F367B0"/>
    <w:pPr>
      <w:autoSpaceDE w:val="0"/>
      <w:autoSpaceDN w:val="0"/>
      <w:adjustRightInd w:val="0"/>
      <w:spacing w:after="0" w:line="240" w:lineRule="auto"/>
    </w:pPr>
    <w:rPr>
      <w:rFonts w:ascii="Cambria" w:eastAsia="Times New Roman" w:hAnsi="Cambria" w:cs="Cambria"/>
      <w:color w:val="000000"/>
      <w:sz w:val="24"/>
      <w:szCs w:val="24"/>
      <w:lang w:val="en-US" w:eastAsia="sk-SK"/>
    </w:rPr>
  </w:style>
  <w:style w:type="character" w:styleId="slostrany">
    <w:name w:val="page number"/>
    <w:uiPriority w:val="99"/>
    <w:rsid w:val="00F367B0"/>
    <w:rPr>
      <w:rFonts w:cs="Times New Roman"/>
    </w:rPr>
  </w:style>
  <w:style w:type="paragraph" w:customStyle="1" w:styleId="p3">
    <w:name w:val="p3"/>
    <w:basedOn w:val="Normlny"/>
    <w:rsid w:val="00F367B0"/>
    <w:pPr>
      <w:jc w:val="both"/>
    </w:pPr>
    <w:rPr>
      <w:rFonts w:eastAsia="Calibri"/>
      <w:sz w:val="17"/>
      <w:szCs w:val="17"/>
      <w:lang w:val="en-GB" w:eastAsia="en-GB"/>
    </w:rPr>
  </w:style>
  <w:style w:type="paragraph" w:customStyle="1" w:styleId="BodyText1">
    <w:name w:val="Body Text1"/>
    <w:qFormat/>
    <w:rsid w:val="00F367B0"/>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F367B0"/>
    <w:pPr>
      <w:spacing w:before="100" w:beforeAutospacing="1" w:after="100" w:afterAutospacing="1"/>
    </w:pPr>
    <w:rPr>
      <w:rFonts w:eastAsiaTheme="minorEastAsia"/>
    </w:rPr>
  </w:style>
  <w:style w:type="paragraph" w:customStyle="1" w:styleId="Deloittebodytext">
    <w:name w:val="Deloitte body text"/>
    <w:qFormat/>
    <w:rsid w:val="00F367B0"/>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F367B0"/>
    <w:pPr>
      <w:spacing w:before="80" w:after="80"/>
    </w:pPr>
    <w:rPr>
      <w:rFonts w:ascii="Arial" w:eastAsia="Times" w:hAnsi="Arial"/>
      <w:b/>
      <w:noProof/>
      <w:color w:val="FFFFFF"/>
      <w:sz w:val="18"/>
    </w:rPr>
  </w:style>
  <w:style w:type="character" w:styleId="Hypertextovprepojenie">
    <w:name w:val="Hyperlink"/>
    <w:basedOn w:val="Predvolenpsmoodseku"/>
    <w:uiPriority w:val="99"/>
    <w:unhideWhenUsed/>
    <w:rsid w:val="00F367B0"/>
    <w:rPr>
      <w:color w:val="0563C1" w:themeColor="hyperlink"/>
      <w:u w:val="single"/>
    </w:rPr>
  </w:style>
  <w:style w:type="character" w:customStyle="1" w:styleId="allowtextselection">
    <w:name w:val="allowtextselection"/>
    <w:basedOn w:val="Predvolenpsmoodseku"/>
    <w:rsid w:val="00F367B0"/>
  </w:style>
  <w:style w:type="character" w:styleId="Siln">
    <w:name w:val="Strong"/>
    <w:basedOn w:val="Predvolenpsmoodseku"/>
    <w:uiPriority w:val="22"/>
    <w:qFormat/>
    <w:rsid w:val="00F367B0"/>
    <w:rPr>
      <w:b/>
      <w:bCs/>
    </w:rPr>
  </w:style>
  <w:style w:type="paragraph" w:styleId="Nzov">
    <w:name w:val="Title"/>
    <w:basedOn w:val="Normlny"/>
    <w:next w:val="Normlny"/>
    <w:link w:val="NzovChar"/>
    <w:qFormat/>
    <w:rsid w:val="00F367B0"/>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F367B0"/>
    <w:rPr>
      <w:rFonts w:asciiTheme="majorHAnsi" w:eastAsiaTheme="majorEastAsia" w:hAnsiTheme="majorHAnsi" w:cstheme="majorBidi"/>
      <w:spacing w:val="-10"/>
      <w:kern w:val="28"/>
      <w:sz w:val="56"/>
      <w:szCs w:val="56"/>
    </w:rPr>
  </w:style>
  <w:style w:type="paragraph" w:styleId="Revzia">
    <w:name w:val="Revision"/>
    <w:hidden/>
    <w:uiPriority w:val="99"/>
    <w:semiHidden/>
    <w:rsid w:val="00F367B0"/>
    <w:pPr>
      <w:spacing w:after="0" w:line="240" w:lineRule="auto"/>
    </w:pPr>
    <w:rPr>
      <w:rFonts w:ascii="Times New Roman" w:eastAsia="Times New Roman" w:hAnsi="Times New Roman" w:cs="Times New Roman"/>
      <w:sz w:val="24"/>
      <w:szCs w:val="24"/>
    </w:rPr>
  </w:style>
  <w:style w:type="character" w:customStyle="1" w:styleId="eop">
    <w:name w:val="eop"/>
    <w:basedOn w:val="Predvolenpsmoodseku"/>
    <w:rsid w:val="00310F51"/>
  </w:style>
  <w:style w:type="character" w:customStyle="1" w:styleId="Internetovodkaz">
    <w:name w:val="Internetový odkaz"/>
    <w:basedOn w:val="Predvolenpsmoodseku"/>
    <w:uiPriority w:val="99"/>
    <w:unhideWhenUsed/>
    <w:rsid w:val="00066F97"/>
    <w:rPr>
      <w:color w:val="0000FF"/>
      <w:u w:val="single"/>
    </w:rPr>
  </w:style>
  <w:style w:type="character" w:customStyle="1" w:styleId="Ukotveniepoznmkypodiarou">
    <w:name w:val="Ukotvenie poznámky pod čiarou"/>
    <w:rsid w:val="00066F97"/>
    <w:rPr>
      <w:vertAlign w:val="superscript"/>
    </w:rPr>
  </w:style>
  <w:style w:type="character" w:customStyle="1" w:styleId="Znakyprepoznmkupodiarou">
    <w:name w:val="Znaky pre poznámku pod čiarou"/>
    <w:qFormat/>
    <w:rsid w:val="00066F97"/>
  </w:style>
  <w:style w:type="character" w:styleId="PouitHypertextovPrepojenie">
    <w:name w:val="FollowedHyperlink"/>
    <w:basedOn w:val="Predvolenpsmoodseku"/>
    <w:uiPriority w:val="99"/>
    <w:semiHidden/>
    <w:unhideWhenUsed/>
    <w:rsid w:val="00012DB5"/>
    <w:rPr>
      <w:color w:val="954F72" w:themeColor="followedHyperlink"/>
      <w:u w:val="single"/>
    </w:rPr>
  </w:style>
  <w:style w:type="paragraph" w:customStyle="1" w:styleId="paragraph">
    <w:name w:val="paragraph"/>
    <w:basedOn w:val="Normlny"/>
    <w:uiPriority w:val="99"/>
    <w:rsid w:val="00012DB5"/>
    <w:rPr>
      <w:rFonts w:eastAsiaTheme="minorHAnsi"/>
      <w:lang w:eastAsia="sk-SK"/>
    </w:rPr>
  </w:style>
  <w:style w:type="character" w:customStyle="1" w:styleId="UnresolvedMention1">
    <w:name w:val="Unresolved Mention1"/>
    <w:basedOn w:val="Predvolenpsmoodseku"/>
    <w:uiPriority w:val="99"/>
    <w:semiHidden/>
    <w:unhideWhenUsed/>
    <w:rsid w:val="00257A9F"/>
    <w:rPr>
      <w:color w:val="605E5C"/>
      <w:shd w:val="clear" w:color="auto" w:fill="E1DFDD"/>
    </w:rPr>
  </w:style>
  <w:style w:type="paragraph" w:styleId="Zarkazkladnhotextu">
    <w:name w:val="Body Text Indent"/>
    <w:basedOn w:val="Normlny"/>
    <w:link w:val="ZarkazkladnhotextuChar"/>
    <w:uiPriority w:val="99"/>
    <w:semiHidden/>
    <w:unhideWhenUsed/>
    <w:rsid w:val="00653B9A"/>
    <w:pPr>
      <w:spacing w:after="120"/>
      <w:ind w:left="283"/>
    </w:pPr>
  </w:style>
  <w:style w:type="character" w:customStyle="1" w:styleId="ZarkazkladnhotextuChar">
    <w:name w:val="Zarážka základného textu Char"/>
    <w:basedOn w:val="Predvolenpsmoodseku"/>
    <w:link w:val="Zarkazkladnhotextu"/>
    <w:uiPriority w:val="99"/>
    <w:semiHidden/>
    <w:rsid w:val="00653B9A"/>
    <w:rPr>
      <w:rFonts w:ascii="Times New Roman" w:eastAsia="Times New Roman" w:hAnsi="Times New Roman" w:cs="Times New Roman"/>
      <w:sz w:val="24"/>
      <w:szCs w:val="24"/>
    </w:rPr>
  </w:style>
  <w:style w:type="table" w:customStyle="1" w:styleId="Mriekatabuky1">
    <w:name w:val="Mriežka tabuľky1"/>
    <w:basedOn w:val="Normlnatabuka"/>
    <w:next w:val="Mriekatabuky"/>
    <w:uiPriority w:val="59"/>
    <w:rsid w:val="0065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53B9A"/>
    <w:pPr>
      <w:suppressAutoHyphens/>
      <w:autoSpaceDN w:val="0"/>
      <w:spacing w:after="200" w:line="276" w:lineRule="auto"/>
    </w:pPr>
    <w:rPr>
      <w:rFonts w:ascii="Calibri" w:eastAsia="SimSun" w:hAnsi="Calibri" w:cs="Calibri"/>
      <w:kern w:val="3"/>
      <w:lang w:eastAsia="ar-SA"/>
    </w:rPr>
  </w:style>
  <w:style w:type="paragraph" w:styleId="Bezriadkovania">
    <w:name w:val="No Spacing"/>
    <w:uiPriority w:val="1"/>
    <w:qFormat/>
    <w:rsid w:val="00C97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6989">
      <w:bodyDiv w:val="1"/>
      <w:marLeft w:val="0"/>
      <w:marRight w:val="0"/>
      <w:marTop w:val="0"/>
      <w:marBottom w:val="0"/>
      <w:divBdr>
        <w:top w:val="none" w:sz="0" w:space="0" w:color="auto"/>
        <w:left w:val="none" w:sz="0" w:space="0" w:color="auto"/>
        <w:bottom w:val="none" w:sz="0" w:space="0" w:color="auto"/>
        <w:right w:val="none" w:sz="0" w:space="0" w:color="auto"/>
      </w:divBdr>
    </w:div>
    <w:div w:id="548568258">
      <w:bodyDiv w:val="1"/>
      <w:marLeft w:val="0"/>
      <w:marRight w:val="0"/>
      <w:marTop w:val="0"/>
      <w:marBottom w:val="0"/>
      <w:divBdr>
        <w:top w:val="none" w:sz="0" w:space="0" w:color="auto"/>
        <w:left w:val="none" w:sz="0" w:space="0" w:color="auto"/>
        <w:bottom w:val="none" w:sz="0" w:space="0" w:color="auto"/>
        <w:right w:val="none" w:sz="0" w:space="0" w:color="auto"/>
      </w:divBdr>
      <w:divsChild>
        <w:div w:id="96407247">
          <w:marLeft w:val="0"/>
          <w:marRight w:val="0"/>
          <w:marTop w:val="100"/>
          <w:marBottom w:val="100"/>
          <w:divBdr>
            <w:top w:val="none" w:sz="0" w:space="0" w:color="auto"/>
            <w:left w:val="none" w:sz="0" w:space="0" w:color="auto"/>
            <w:bottom w:val="none" w:sz="0" w:space="0" w:color="auto"/>
            <w:right w:val="none" w:sz="0" w:space="0" w:color="auto"/>
          </w:divBdr>
          <w:divsChild>
            <w:div w:id="267471620">
              <w:marLeft w:val="0"/>
              <w:marRight w:val="0"/>
              <w:marTop w:val="225"/>
              <w:marBottom w:val="750"/>
              <w:divBdr>
                <w:top w:val="none" w:sz="0" w:space="0" w:color="auto"/>
                <w:left w:val="none" w:sz="0" w:space="0" w:color="auto"/>
                <w:bottom w:val="none" w:sz="0" w:space="0" w:color="auto"/>
                <w:right w:val="none" w:sz="0" w:space="0" w:color="auto"/>
              </w:divBdr>
              <w:divsChild>
                <w:div w:id="1643458193">
                  <w:marLeft w:val="0"/>
                  <w:marRight w:val="0"/>
                  <w:marTop w:val="0"/>
                  <w:marBottom w:val="0"/>
                  <w:divBdr>
                    <w:top w:val="none" w:sz="0" w:space="0" w:color="auto"/>
                    <w:left w:val="none" w:sz="0" w:space="0" w:color="auto"/>
                    <w:bottom w:val="none" w:sz="0" w:space="0" w:color="auto"/>
                    <w:right w:val="none" w:sz="0" w:space="0" w:color="auto"/>
                  </w:divBdr>
                  <w:divsChild>
                    <w:div w:id="1075318664">
                      <w:marLeft w:val="0"/>
                      <w:marRight w:val="0"/>
                      <w:marTop w:val="0"/>
                      <w:marBottom w:val="0"/>
                      <w:divBdr>
                        <w:top w:val="none" w:sz="0" w:space="0" w:color="auto"/>
                        <w:left w:val="none" w:sz="0" w:space="0" w:color="auto"/>
                        <w:bottom w:val="none" w:sz="0" w:space="0" w:color="auto"/>
                        <w:right w:val="none" w:sz="0" w:space="0" w:color="auto"/>
                      </w:divBdr>
                      <w:divsChild>
                        <w:div w:id="1214270731">
                          <w:marLeft w:val="0"/>
                          <w:marRight w:val="0"/>
                          <w:marTop w:val="0"/>
                          <w:marBottom w:val="0"/>
                          <w:divBdr>
                            <w:top w:val="none" w:sz="0" w:space="0" w:color="auto"/>
                            <w:left w:val="none" w:sz="0" w:space="0" w:color="auto"/>
                            <w:bottom w:val="none" w:sz="0" w:space="0" w:color="auto"/>
                            <w:right w:val="none" w:sz="0" w:space="0" w:color="auto"/>
                          </w:divBdr>
                          <w:divsChild>
                            <w:div w:id="382872561">
                              <w:marLeft w:val="0"/>
                              <w:marRight w:val="0"/>
                              <w:marTop w:val="0"/>
                              <w:marBottom w:val="0"/>
                              <w:divBdr>
                                <w:top w:val="none" w:sz="0" w:space="0" w:color="auto"/>
                                <w:left w:val="none" w:sz="0" w:space="0" w:color="auto"/>
                                <w:bottom w:val="none" w:sz="0" w:space="0" w:color="auto"/>
                                <w:right w:val="none" w:sz="0" w:space="0" w:color="auto"/>
                              </w:divBdr>
                              <w:divsChild>
                                <w:div w:id="888419319">
                                  <w:marLeft w:val="0"/>
                                  <w:marRight w:val="0"/>
                                  <w:marTop w:val="0"/>
                                  <w:marBottom w:val="0"/>
                                  <w:divBdr>
                                    <w:top w:val="none" w:sz="0" w:space="0" w:color="auto"/>
                                    <w:left w:val="none" w:sz="0" w:space="0" w:color="auto"/>
                                    <w:bottom w:val="none" w:sz="0" w:space="0" w:color="auto"/>
                                    <w:right w:val="none" w:sz="0" w:space="0" w:color="auto"/>
                                  </w:divBdr>
                                  <w:divsChild>
                                    <w:div w:id="1909681538">
                                      <w:marLeft w:val="0"/>
                                      <w:marRight w:val="0"/>
                                      <w:marTop w:val="0"/>
                                      <w:marBottom w:val="0"/>
                                      <w:divBdr>
                                        <w:top w:val="none" w:sz="0" w:space="0" w:color="auto"/>
                                        <w:left w:val="none" w:sz="0" w:space="0" w:color="auto"/>
                                        <w:bottom w:val="none" w:sz="0" w:space="0" w:color="auto"/>
                                        <w:right w:val="none" w:sz="0" w:space="0" w:color="auto"/>
                                      </w:divBdr>
                                      <w:divsChild>
                                        <w:div w:id="588585358">
                                          <w:marLeft w:val="0"/>
                                          <w:marRight w:val="0"/>
                                          <w:marTop w:val="0"/>
                                          <w:marBottom w:val="0"/>
                                          <w:divBdr>
                                            <w:top w:val="none" w:sz="0" w:space="0" w:color="auto"/>
                                            <w:left w:val="none" w:sz="0" w:space="0" w:color="auto"/>
                                            <w:bottom w:val="none" w:sz="0" w:space="0" w:color="auto"/>
                                            <w:right w:val="none" w:sz="0" w:space="0" w:color="auto"/>
                                          </w:divBdr>
                                          <w:divsChild>
                                            <w:div w:id="41947772">
                                              <w:marLeft w:val="0"/>
                                              <w:marRight w:val="0"/>
                                              <w:marTop w:val="0"/>
                                              <w:marBottom w:val="0"/>
                                              <w:divBdr>
                                                <w:top w:val="none" w:sz="0" w:space="0" w:color="auto"/>
                                                <w:left w:val="none" w:sz="0" w:space="0" w:color="auto"/>
                                                <w:bottom w:val="none" w:sz="0" w:space="0" w:color="auto"/>
                                                <w:right w:val="none" w:sz="0" w:space="0" w:color="auto"/>
                                              </w:divBdr>
                                              <w:divsChild>
                                                <w:div w:id="165872126">
                                                  <w:marLeft w:val="0"/>
                                                  <w:marRight w:val="0"/>
                                                  <w:marTop w:val="0"/>
                                                  <w:marBottom w:val="0"/>
                                                  <w:divBdr>
                                                    <w:top w:val="none" w:sz="0" w:space="0" w:color="auto"/>
                                                    <w:left w:val="none" w:sz="0" w:space="0" w:color="auto"/>
                                                    <w:bottom w:val="none" w:sz="0" w:space="0" w:color="auto"/>
                                                    <w:right w:val="none" w:sz="0" w:space="0" w:color="auto"/>
                                                  </w:divBdr>
                                                  <w:divsChild>
                                                    <w:div w:id="1196306118">
                                                      <w:marLeft w:val="0"/>
                                                      <w:marRight w:val="0"/>
                                                      <w:marTop w:val="0"/>
                                                      <w:marBottom w:val="0"/>
                                                      <w:divBdr>
                                                        <w:top w:val="none" w:sz="0" w:space="0" w:color="auto"/>
                                                        <w:left w:val="none" w:sz="0" w:space="0" w:color="auto"/>
                                                        <w:bottom w:val="none" w:sz="0" w:space="0" w:color="auto"/>
                                                        <w:right w:val="none" w:sz="0" w:space="0" w:color="auto"/>
                                                      </w:divBdr>
                                                    </w:div>
                                                    <w:div w:id="1920671869">
                                                      <w:marLeft w:val="0"/>
                                                      <w:marRight w:val="0"/>
                                                      <w:marTop w:val="0"/>
                                                      <w:marBottom w:val="0"/>
                                                      <w:divBdr>
                                                        <w:top w:val="none" w:sz="0" w:space="0" w:color="auto"/>
                                                        <w:left w:val="none" w:sz="0" w:space="0" w:color="auto"/>
                                                        <w:bottom w:val="none" w:sz="0" w:space="0" w:color="auto"/>
                                                        <w:right w:val="none" w:sz="0" w:space="0" w:color="auto"/>
                                                      </w:divBdr>
                                                    </w:div>
                                                    <w:div w:id="19734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416007">
      <w:bodyDiv w:val="1"/>
      <w:marLeft w:val="0"/>
      <w:marRight w:val="0"/>
      <w:marTop w:val="0"/>
      <w:marBottom w:val="0"/>
      <w:divBdr>
        <w:top w:val="none" w:sz="0" w:space="0" w:color="auto"/>
        <w:left w:val="none" w:sz="0" w:space="0" w:color="auto"/>
        <w:bottom w:val="none" w:sz="0" w:space="0" w:color="auto"/>
        <w:right w:val="none" w:sz="0" w:space="0" w:color="auto"/>
      </w:divBdr>
    </w:div>
    <w:div w:id="655842956">
      <w:bodyDiv w:val="1"/>
      <w:marLeft w:val="0"/>
      <w:marRight w:val="0"/>
      <w:marTop w:val="0"/>
      <w:marBottom w:val="0"/>
      <w:divBdr>
        <w:top w:val="none" w:sz="0" w:space="0" w:color="auto"/>
        <w:left w:val="none" w:sz="0" w:space="0" w:color="auto"/>
        <w:bottom w:val="none" w:sz="0" w:space="0" w:color="auto"/>
        <w:right w:val="none" w:sz="0" w:space="0" w:color="auto"/>
      </w:divBdr>
      <w:divsChild>
        <w:div w:id="1078213764">
          <w:marLeft w:val="0"/>
          <w:marRight w:val="0"/>
          <w:marTop w:val="0"/>
          <w:marBottom w:val="0"/>
          <w:divBdr>
            <w:top w:val="single" w:sz="6" w:space="0" w:color="C0C2C5"/>
            <w:left w:val="none" w:sz="0" w:space="0" w:color="auto"/>
            <w:bottom w:val="none" w:sz="0" w:space="0" w:color="auto"/>
            <w:right w:val="none" w:sz="0" w:space="0" w:color="auto"/>
          </w:divBdr>
          <w:divsChild>
            <w:div w:id="41829543">
              <w:marLeft w:val="0"/>
              <w:marRight w:val="0"/>
              <w:marTop w:val="0"/>
              <w:marBottom w:val="0"/>
              <w:divBdr>
                <w:top w:val="none" w:sz="0" w:space="0" w:color="auto"/>
                <w:left w:val="none" w:sz="0" w:space="0" w:color="auto"/>
                <w:bottom w:val="none" w:sz="0" w:space="0" w:color="auto"/>
                <w:right w:val="none" w:sz="0" w:space="0" w:color="auto"/>
              </w:divBdr>
            </w:div>
            <w:div w:id="1308708484">
              <w:marLeft w:val="0"/>
              <w:marRight w:val="0"/>
              <w:marTop w:val="0"/>
              <w:marBottom w:val="0"/>
              <w:divBdr>
                <w:top w:val="none" w:sz="0" w:space="0" w:color="auto"/>
                <w:left w:val="none" w:sz="0" w:space="0" w:color="auto"/>
                <w:bottom w:val="none" w:sz="0" w:space="0" w:color="auto"/>
                <w:right w:val="none" w:sz="0" w:space="0" w:color="auto"/>
              </w:divBdr>
            </w:div>
          </w:divsChild>
        </w:div>
        <w:div w:id="1939483990">
          <w:marLeft w:val="0"/>
          <w:marRight w:val="0"/>
          <w:marTop w:val="0"/>
          <w:marBottom w:val="0"/>
          <w:divBdr>
            <w:top w:val="none" w:sz="0" w:space="0" w:color="auto"/>
            <w:left w:val="none" w:sz="0" w:space="0" w:color="auto"/>
            <w:bottom w:val="none" w:sz="0" w:space="0" w:color="auto"/>
            <w:right w:val="none" w:sz="0" w:space="0" w:color="auto"/>
          </w:divBdr>
          <w:divsChild>
            <w:div w:id="627274119">
              <w:marLeft w:val="0"/>
              <w:marRight w:val="0"/>
              <w:marTop w:val="0"/>
              <w:marBottom w:val="0"/>
              <w:divBdr>
                <w:top w:val="none" w:sz="0" w:space="0" w:color="auto"/>
                <w:left w:val="none" w:sz="0" w:space="0" w:color="auto"/>
                <w:bottom w:val="none" w:sz="0" w:space="0" w:color="auto"/>
                <w:right w:val="none" w:sz="0" w:space="0" w:color="auto"/>
              </w:divBdr>
              <w:divsChild>
                <w:div w:id="1774550196">
                  <w:marLeft w:val="0"/>
                  <w:marRight w:val="0"/>
                  <w:marTop w:val="0"/>
                  <w:marBottom w:val="0"/>
                  <w:divBdr>
                    <w:top w:val="none" w:sz="0" w:space="0" w:color="auto"/>
                    <w:left w:val="none" w:sz="0" w:space="0" w:color="auto"/>
                    <w:bottom w:val="none" w:sz="0" w:space="0" w:color="auto"/>
                    <w:right w:val="none" w:sz="0" w:space="0" w:color="auto"/>
                  </w:divBdr>
                  <w:divsChild>
                    <w:div w:id="13125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5519">
      <w:bodyDiv w:val="1"/>
      <w:marLeft w:val="0"/>
      <w:marRight w:val="0"/>
      <w:marTop w:val="0"/>
      <w:marBottom w:val="0"/>
      <w:divBdr>
        <w:top w:val="none" w:sz="0" w:space="0" w:color="auto"/>
        <w:left w:val="none" w:sz="0" w:space="0" w:color="auto"/>
        <w:bottom w:val="none" w:sz="0" w:space="0" w:color="auto"/>
        <w:right w:val="none" w:sz="0" w:space="0" w:color="auto"/>
      </w:divBdr>
    </w:div>
    <w:div w:id="1191724338">
      <w:bodyDiv w:val="1"/>
      <w:marLeft w:val="0"/>
      <w:marRight w:val="0"/>
      <w:marTop w:val="0"/>
      <w:marBottom w:val="0"/>
      <w:divBdr>
        <w:top w:val="none" w:sz="0" w:space="0" w:color="auto"/>
        <w:left w:val="none" w:sz="0" w:space="0" w:color="auto"/>
        <w:bottom w:val="none" w:sz="0" w:space="0" w:color="auto"/>
        <w:right w:val="none" w:sz="0" w:space="0" w:color="auto"/>
      </w:divBdr>
    </w:div>
    <w:div w:id="1525090067">
      <w:bodyDiv w:val="1"/>
      <w:marLeft w:val="0"/>
      <w:marRight w:val="0"/>
      <w:marTop w:val="0"/>
      <w:marBottom w:val="0"/>
      <w:divBdr>
        <w:top w:val="none" w:sz="0" w:space="0" w:color="auto"/>
        <w:left w:val="none" w:sz="0" w:space="0" w:color="auto"/>
        <w:bottom w:val="none" w:sz="0" w:space="0" w:color="auto"/>
        <w:right w:val="none" w:sz="0" w:space="0" w:color="auto"/>
      </w:divBdr>
    </w:div>
    <w:div w:id="15515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nethemba.com/sk/stanovisko-spolocnosti-nethemba-k-vyjadreniu-financnej-spravy-na-zranitelnost-e-kasa/" TargetMode="External"/><Relationship Id="rId7" Type="http://schemas.openxmlformats.org/officeDocument/2006/relationships/webSettings" Target="webSettings.xml"/><Relationship Id="rId12" Type="http://schemas.openxmlformats.org/officeDocument/2006/relationships/hyperlink" Target="https://www.mirri.gov.sk/wp-content/uploads/2019/09/Publikacia-priemernych-sadzieb-za-clovekoden-jednotlivych-roli-spojenych-s-vyvojom-aplikacii.pdf" TargetMode="External"/><Relationship Id="rId17" Type="http://schemas.openxmlformats.org/officeDocument/2006/relationships/header" Target="header3.xml"/><Relationship Id="rId25" Type="http://schemas.openxmlformats.org/officeDocument/2006/relationships/hyperlink" Target="http://www.idsk.gov.s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czisk.sk/Aktuality/Pages/Zranitelnost-aplikacie-Moje-ezdravie-neohrozuje-sluzby-ani-udaje-z-ezdravia.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olina.kabatova@mirri.gov.sk" TargetMode="External"/><Relationship Id="rId24" Type="http://schemas.openxmlformats.org/officeDocument/2006/relationships/hyperlink" Target="https://idsk.gov.s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digital-strategy.ec.europa.eu/en/library/proposal-directive-measures-high-common-level-cybersecurity-across-union" TargetMode="External"/><Relationship Id="rId28" Type="http://schemas.openxmlformats.org/officeDocument/2006/relationships/theme" Target="theme/theme1.xml"/><Relationship Id="rId10" Type="http://schemas.openxmlformats.org/officeDocument/2006/relationships/hyperlink" Target="mailto:jakub.dolina@mirri.gov.sk" TargetMode="External"/><Relationship Id="rId19" Type="http://schemas.openxmlformats.org/officeDocument/2006/relationships/hyperlink" Target="http://www.idsk.gov.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cybersecurepolicy.ca/vulnerability-disclosure"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6549A-4F00-4008-9D30-CABC8E3AFB22}">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 ds:uri="4e491ae2-bd53-4995-98ac-e251fc1d93db"/>
    <ds:schemaRef ds:uri="d26c6947-7193-433e-9fee-b9383e5fa34c"/>
    <ds:schemaRef ds:uri="http://www.w3.org/XML/1998/namespace"/>
  </ds:schemaRefs>
</ds:datastoreItem>
</file>

<file path=customXml/itemProps2.xml><?xml version="1.0" encoding="utf-8"?>
<ds:datastoreItem xmlns:ds="http://schemas.openxmlformats.org/officeDocument/2006/customXml" ds:itemID="{7C686CAB-CA51-4204-95F9-B1CBFA25D487}">
  <ds:schemaRefs>
    <ds:schemaRef ds:uri="http://schemas.microsoft.com/sharepoint/v3/contenttype/forms"/>
  </ds:schemaRefs>
</ds:datastoreItem>
</file>

<file path=customXml/itemProps3.xml><?xml version="1.0" encoding="utf-8"?>
<ds:datastoreItem xmlns:ds="http://schemas.openxmlformats.org/officeDocument/2006/customXml" ds:itemID="{CDE8E39D-7B0C-4A55-A7F6-07969238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18275</Words>
  <Characters>104171</Characters>
  <Application>Microsoft Office Word</Application>
  <DocSecurity>0</DocSecurity>
  <Lines>868</Lines>
  <Paragraphs>244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Rosocha, Ján</cp:lastModifiedBy>
  <cp:revision>2</cp:revision>
  <cp:lastPrinted>2023-04-14T07:48:00Z</cp:lastPrinted>
  <dcterms:created xsi:type="dcterms:W3CDTF">2023-04-14T07:50:00Z</dcterms:created>
  <dcterms:modified xsi:type="dcterms:W3CDTF">2023-04-14T10:57:00Z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0x0101002D1A6EB6880B7E40B60BC2B9D08D06BA</vt:lpwstr>
  </property>
  <property fmtid="{D5CDD505-2E9C-101B-9397-08002B2CF9AE}" pid="3" name="MediaServiceImageTags">
    <vt:lpwstr/>
  </property>
</Properties>
</file>