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5B7473" w:rsidRDefault="00FD1688" w:rsidP="004D0890">
            <w:pPr>
              <w:spacing w:after="0" w:line="240" w:lineRule="auto"/>
              <w:contextualSpacing/>
              <w:jc w:val="both"/>
              <w:rPr>
                <w:rFonts w:ascii="Times New Roman" w:eastAsia="Calibri" w:hAnsi="Times New Roman" w:cs="Times New Roman"/>
                <w:i/>
                <w:sz w:val="20"/>
                <w:szCs w:val="20"/>
                <w:lang w:eastAsia="sk-SK"/>
              </w:rPr>
            </w:pPr>
            <w:r w:rsidRPr="005B7473">
              <w:rPr>
                <w:rFonts w:ascii="Times New Roman" w:eastAsia="Calibri" w:hAnsi="Times New Roman" w:cs="Times New Roman"/>
                <w:i/>
                <w:sz w:val="20"/>
                <w:szCs w:val="20"/>
                <w:lang w:eastAsia="sk-SK"/>
              </w:rPr>
              <w:t xml:space="preserve">Pri </w:t>
            </w:r>
            <w:r w:rsidR="004D0890" w:rsidRPr="005B7473">
              <w:rPr>
                <w:rFonts w:ascii="Times New Roman" w:eastAsia="Calibri" w:hAnsi="Times New Roman" w:cs="Times New Roman"/>
                <w:i/>
                <w:sz w:val="20"/>
                <w:szCs w:val="20"/>
                <w:lang w:eastAsia="sk-SK"/>
              </w:rPr>
              <w:t>niektorých z vymedzených životných situáciách môže dôjsť k zvýšeniu príjmov domácnosti (napríklad pri ustanovení dôverníka ako správcu dedičstva vyhlasujúceho pre prípad úmrtia alebo vyhlásenia za mŕtveho môže po skončení dedičského konania súd rozhodnúť o odmene správcu dedičstva).</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5B7473">
              <w:rPr>
                <w:rFonts w:ascii="Times New Roman" w:eastAsia="Calibri" w:hAnsi="Times New Roman" w:cs="Times New Roman"/>
                <w:i/>
                <w:sz w:val="18"/>
                <w:szCs w:val="20"/>
                <w:lang w:eastAsia="sk-SK"/>
              </w:rPr>
              <w:t>: Ktorákoľvek skupina domácností/</w:t>
            </w:r>
            <w:r w:rsidR="001638C5">
              <w:rPr>
                <w:rFonts w:ascii="Times New Roman" w:eastAsia="Calibri" w:hAnsi="Times New Roman" w:cs="Times New Roman"/>
                <w:i/>
                <w:sz w:val="18"/>
                <w:szCs w:val="20"/>
                <w:lang w:eastAsia="sk-SK"/>
              </w:rPr>
              <w:t>obyvateľstva</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r w:rsidR="001638C5">
              <w:rPr>
                <w:rFonts w:ascii="Times New Roman" w:eastAsia="Calibri" w:hAnsi="Times New Roman" w:cs="Times New Roman"/>
                <w:i/>
                <w:sz w:val="18"/>
                <w:szCs w:val="20"/>
                <w:lang w:eastAsia="sk-SK"/>
              </w:rPr>
              <w:t>: nie je možné kvantifikovať</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1638C5" w:rsidRDefault="001638C5"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Aktuálne nie je možné kvantifikovať rast príjmov domácnosti nakoľko</w:t>
            </w:r>
            <w:r w:rsidR="00F47AE0">
              <w:rPr>
                <w:rFonts w:ascii="Times New Roman" w:eastAsia="Calibri" w:hAnsi="Times New Roman" w:cs="Times New Roman"/>
                <w:i/>
                <w:sz w:val="20"/>
                <w:szCs w:val="20"/>
                <w:lang w:eastAsia="sk-SK"/>
              </w:rPr>
              <w:t xml:space="preserve"> </w:t>
            </w:r>
            <w:r>
              <w:rPr>
                <w:rFonts w:ascii="Times New Roman" w:eastAsia="Calibri" w:hAnsi="Times New Roman" w:cs="Times New Roman"/>
                <w:i/>
                <w:sz w:val="20"/>
                <w:szCs w:val="20"/>
                <w:lang w:eastAsia="sk-SK"/>
              </w:rPr>
              <w:t>kvantifikácia závisí od konkrétnej životnej situácie, ktorá takýto rast zakladá.</w:t>
            </w: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A4142D" w:rsidP="002644DE">
            <w:pPr>
              <w:spacing w:after="0" w:line="240" w:lineRule="auto"/>
              <w:rPr>
                <w:rFonts w:ascii="Times New Roman" w:eastAsia="Calibri" w:hAnsi="Times New Roman" w:cs="Times New Roman"/>
                <w:sz w:val="20"/>
                <w:szCs w:val="20"/>
                <w:lang w:eastAsia="sk-SK"/>
              </w:rPr>
            </w:pPr>
            <w:r w:rsidRPr="008409AA">
              <w:rPr>
                <w:rFonts w:ascii="Times New Roman" w:eastAsia="Calibri" w:hAnsi="Times New Roman" w:cs="Times New Roman"/>
                <w:i/>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8409AA" w:rsidRDefault="008409AA" w:rsidP="008409AA">
            <w:pPr>
              <w:spacing w:after="0" w:line="240" w:lineRule="auto"/>
              <w:contextualSpacing/>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 </w:t>
            </w:r>
            <w:r w:rsidRPr="008409AA">
              <w:rPr>
                <w:rFonts w:ascii="Times New Roman" w:eastAsia="Calibri" w:hAnsi="Times New Roman" w:cs="Times New Roman"/>
                <w:i/>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8409AA"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 </w:t>
            </w:r>
            <w:r w:rsidR="00443600">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8A6E6C" w:rsidRDefault="008409AA" w:rsidP="008A6E6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sidR="008A6E6C">
              <w:rPr>
                <w:rFonts w:ascii="Times New Roman" w:eastAsia="Calibri" w:hAnsi="Times New Roman" w:cs="Times New Roman"/>
                <w:i/>
                <w:sz w:val="18"/>
                <w:szCs w:val="20"/>
                <w:lang w:eastAsia="sk-SK"/>
              </w:rPr>
              <w:t>Ovplyvnená skupina č. 2</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443600"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A6E6C" w:rsidRDefault="008A6E6C" w:rsidP="008A6E6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8409AA" w:rsidRDefault="008409AA"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 xml:space="preserve"> </w:t>
            </w:r>
            <w:r w:rsidRPr="008409AA">
              <w:rPr>
                <w:rFonts w:ascii="Times New Roman" w:eastAsia="Calibri" w:hAnsi="Times New Roman" w:cs="Times New Roman"/>
                <w:i/>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443600"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A6E6C" w:rsidRDefault="008A6E6C" w:rsidP="008A6E6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443600"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A6E6C" w:rsidRDefault="008A6E6C" w:rsidP="008A6E6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9044D9" w:rsidRDefault="009044D9" w:rsidP="00AE6113">
            <w:pPr>
              <w:spacing w:after="0" w:line="240" w:lineRule="auto"/>
              <w:jc w:val="both"/>
              <w:rPr>
                <w:rFonts w:ascii="Times New Roman" w:eastAsia="Calibri" w:hAnsi="Times New Roman" w:cs="Times New Roman"/>
                <w:i/>
                <w:sz w:val="20"/>
                <w:szCs w:val="20"/>
                <w:lang w:eastAsia="sk-SK"/>
              </w:rPr>
            </w:pPr>
            <w:r w:rsidRPr="009044D9">
              <w:rPr>
                <w:rFonts w:ascii="Times New Roman" w:eastAsia="Calibri" w:hAnsi="Times New Roman" w:cs="Times New Roman"/>
                <w:i/>
                <w:sz w:val="20"/>
                <w:szCs w:val="20"/>
                <w:lang w:eastAsia="sk-SK"/>
              </w:rPr>
              <w:t>Návrh zákona môže</w:t>
            </w:r>
            <w:r w:rsidR="00DE6A60">
              <w:rPr>
                <w:rFonts w:ascii="Times New Roman" w:eastAsia="Calibri" w:hAnsi="Times New Roman" w:cs="Times New Roman"/>
                <w:i/>
                <w:sz w:val="20"/>
                <w:szCs w:val="20"/>
                <w:lang w:eastAsia="sk-SK"/>
              </w:rPr>
              <w:t xml:space="preserve"> prostredníctvom jednotlivých životných situácii v ktorých bude osobám </w:t>
            </w:r>
            <w:r w:rsidR="00370BE2">
              <w:rPr>
                <w:rFonts w:ascii="Times New Roman" w:eastAsia="Calibri" w:hAnsi="Times New Roman" w:cs="Times New Roman"/>
                <w:i/>
                <w:sz w:val="20"/>
                <w:szCs w:val="20"/>
                <w:lang w:eastAsia="sk-SK"/>
              </w:rPr>
              <w:t xml:space="preserve">ktoré možno zaradiť aj do </w:t>
            </w:r>
            <w:r w:rsidR="00DE6A60">
              <w:rPr>
                <w:rFonts w:ascii="Times New Roman" w:eastAsia="Calibri" w:hAnsi="Times New Roman" w:cs="Times New Roman"/>
                <w:i/>
                <w:sz w:val="20"/>
                <w:szCs w:val="20"/>
                <w:lang w:eastAsia="sk-SK"/>
              </w:rPr>
              <w:t>skupiny zraniteľného</w:t>
            </w:r>
            <w:r w:rsidR="00743C79">
              <w:rPr>
                <w:rFonts w:ascii="Times New Roman" w:eastAsia="Calibri" w:hAnsi="Times New Roman" w:cs="Times New Roman"/>
                <w:i/>
                <w:sz w:val="20"/>
                <w:szCs w:val="20"/>
                <w:lang w:eastAsia="sk-SK"/>
              </w:rPr>
              <w:t xml:space="preserve"> obyvateľstva</w:t>
            </w:r>
            <w:r w:rsidR="00AE6113">
              <w:rPr>
                <w:rFonts w:ascii="Times New Roman" w:eastAsia="Calibri" w:hAnsi="Times New Roman" w:cs="Times New Roman"/>
                <w:i/>
                <w:sz w:val="20"/>
                <w:szCs w:val="20"/>
                <w:lang w:eastAsia="sk-SK"/>
              </w:rPr>
              <w:t xml:space="preserve"> </w:t>
            </w:r>
            <w:r w:rsidRPr="009044D9">
              <w:rPr>
                <w:rFonts w:ascii="Times New Roman" w:eastAsia="Calibri" w:hAnsi="Times New Roman" w:cs="Times New Roman"/>
                <w:i/>
                <w:sz w:val="20"/>
                <w:szCs w:val="20"/>
                <w:lang w:eastAsia="sk-SK"/>
              </w:rPr>
              <w:t>prispieť k</w:t>
            </w:r>
            <w:r w:rsidR="00AE6113">
              <w:rPr>
                <w:rFonts w:ascii="Times New Roman" w:eastAsia="Calibri" w:hAnsi="Times New Roman" w:cs="Times New Roman"/>
                <w:i/>
                <w:sz w:val="20"/>
                <w:szCs w:val="20"/>
                <w:lang w:eastAsia="sk-SK"/>
              </w:rPr>
              <w:t> </w:t>
            </w:r>
            <w:r w:rsidRPr="009044D9">
              <w:rPr>
                <w:rFonts w:ascii="Times New Roman" w:eastAsia="Calibri" w:hAnsi="Times New Roman" w:cs="Times New Roman"/>
                <w:i/>
                <w:sz w:val="20"/>
                <w:szCs w:val="20"/>
                <w:lang w:eastAsia="sk-SK"/>
              </w:rPr>
              <w:t>zvýšeniu</w:t>
            </w:r>
            <w:r w:rsidR="00AE6113">
              <w:rPr>
                <w:rFonts w:ascii="Times New Roman" w:eastAsia="Calibri" w:hAnsi="Times New Roman" w:cs="Times New Roman"/>
                <w:i/>
                <w:sz w:val="20"/>
                <w:szCs w:val="20"/>
                <w:lang w:eastAsia="sk-SK"/>
              </w:rPr>
              <w:t xml:space="preserve"> </w:t>
            </w:r>
            <w:r>
              <w:rPr>
                <w:rFonts w:ascii="Times New Roman" w:eastAsia="Calibri" w:hAnsi="Times New Roman" w:cs="Times New Roman"/>
                <w:i/>
                <w:sz w:val="20"/>
                <w:szCs w:val="20"/>
                <w:lang w:eastAsia="sk-SK"/>
              </w:rPr>
              <w:t>právnej</w:t>
            </w:r>
            <w:r w:rsidRPr="009044D9">
              <w:rPr>
                <w:rFonts w:ascii="Times New Roman" w:eastAsia="Calibri" w:hAnsi="Times New Roman" w:cs="Times New Roman"/>
                <w:i/>
                <w:sz w:val="20"/>
                <w:szCs w:val="20"/>
                <w:lang w:eastAsia="sk-SK"/>
              </w:rPr>
              <w:t xml:space="preserve"> ochrany</w:t>
            </w:r>
            <w:r>
              <w:rPr>
                <w:rFonts w:ascii="Times New Roman" w:eastAsia="Calibri" w:hAnsi="Times New Roman" w:cs="Times New Roman"/>
                <w:i/>
                <w:sz w:val="20"/>
                <w:szCs w:val="20"/>
                <w:lang w:eastAsia="sk-SK"/>
              </w:rPr>
              <w:t xml:space="preserve"> </w:t>
            </w:r>
            <w:r w:rsidR="00AE6113">
              <w:rPr>
                <w:rFonts w:ascii="Times New Roman" w:eastAsia="Calibri" w:hAnsi="Times New Roman" w:cs="Times New Roman"/>
                <w:i/>
                <w:sz w:val="20"/>
                <w:szCs w:val="20"/>
                <w:lang w:eastAsia="sk-SK"/>
              </w:rPr>
              <w:t>týchto skupín obyvateľstva tým</w:t>
            </w:r>
            <w:r>
              <w:rPr>
                <w:rFonts w:ascii="Times New Roman" w:eastAsia="Calibri" w:hAnsi="Times New Roman" w:cs="Times New Roman"/>
                <w:i/>
                <w:sz w:val="20"/>
                <w:szCs w:val="20"/>
                <w:lang w:eastAsia="sk-SK"/>
              </w:rPr>
              <w:t xml:space="preserve">, že </w:t>
            </w:r>
            <w:r w:rsidR="00AE6113">
              <w:rPr>
                <w:rFonts w:ascii="Times New Roman" w:eastAsia="Calibri" w:hAnsi="Times New Roman" w:cs="Times New Roman"/>
                <w:i/>
                <w:sz w:val="20"/>
                <w:szCs w:val="20"/>
                <w:lang w:eastAsia="sk-SK"/>
              </w:rPr>
              <w:t xml:space="preserve">im </w:t>
            </w:r>
            <w:r>
              <w:rPr>
                <w:rFonts w:ascii="Times New Roman" w:eastAsia="Calibri" w:hAnsi="Times New Roman" w:cs="Times New Roman"/>
                <w:i/>
                <w:sz w:val="20"/>
                <w:szCs w:val="20"/>
                <w:lang w:eastAsia="sk-SK"/>
              </w:rPr>
              <w:t xml:space="preserve">môže </w:t>
            </w:r>
            <w:r w:rsidRPr="009044D9">
              <w:rPr>
                <w:rFonts w:ascii="Times New Roman" w:hAnsi="Times New Roman" w:cs="Times New Roman"/>
                <w:i/>
                <w:sz w:val="20"/>
                <w:szCs w:val="20"/>
              </w:rPr>
              <w:t xml:space="preserve">byť ustanovený </w:t>
            </w:r>
            <w:r>
              <w:rPr>
                <w:rFonts w:ascii="Times New Roman" w:hAnsi="Times New Roman" w:cs="Times New Roman"/>
                <w:i/>
                <w:sz w:val="20"/>
                <w:szCs w:val="20"/>
              </w:rPr>
              <w:t xml:space="preserve">dôverník </w:t>
            </w:r>
            <w:r w:rsidRPr="009044D9">
              <w:rPr>
                <w:rFonts w:ascii="Times New Roman" w:hAnsi="Times New Roman" w:cs="Times New Roman"/>
                <w:i/>
                <w:sz w:val="20"/>
                <w:szCs w:val="20"/>
              </w:rPr>
              <w:t xml:space="preserve">ako </w:t>
            </w:r>
            <w:r w:rsidR="00AE6113">
              <w:rPr>
                <w:rFonts w:ascii="Times New Roman" w:hAnsi="Times New Roman" w:cs="Times New Roman"/>
                <w:i/>
                <w:sz w:val="20"/>
                <w:szCs w:val="20"/>
              </w:rPr>
              <w:t>poručník alebo opatrovník</w:t>
            </w:r>
            <w:r w:rsidRPr="009044D9">
              <w:rPr>
                <w:rFonts w:ascii="Times New Roman" w:hAnsi="Times New Roman" w:cs="Times New Roman"/>
                <w:i/>
                <w:sz w:val="20"/>
                <w:szCs w:val="20"/>
              </w:rPr>
              <w:t>, pri ktorých bol vyhlasujúci</w:t>
            </w:r>
            <w:r w:rsidRPr="009044D9">
              <w:rPr>
                <w:i/>
                <w:sz w:val="20"/>
                <w:szCs w:val="20"/>
              </w:rPr>
              <w:t xml:space="preserve"> </w:t>
            </w:r>
            <w:r w:rsidRPr="009044D9">
              <w:rPr>
                <w:rFonts w:ascii="Times New Roman" w:hAnsi="Times New Roman" w:cs="Times New Roman"/>
                <w:i/>
                <w:sz w:val="20"/>
                <w:szCs w:val="20"/>
              </w:rPr>
              <w:t xml:space="preserve">v čase  </w:t>
            </w:r>
            <w:proofErr w:type="spellStart"/>
            <w:r w:rsidRPr="009044D9">
              <w:rPr>
                <w:rFonts w:ascii="Times New Roman" w:hAnsi="Times New Roman" w:cs="Times New Roman"/>
                <w:i/>
                <w:sz w:val="20"/>
                <w:szCs w:val="20"/>
              </w:rPr>
              <w:t>fiduciárneho</w:t>
            </w:r>
            <w:proofErr w:type="spellEnd"/>
            <w:r w:rsidRPr="009044D9">
              <w:rPr>
                <w:rFonts w:ascii="Times New Roman" w:hAnsi="Times New Roman" w:cs="Times New Roman"/>
                <w:i/>
                <w:sz w:val="20"/>
                <w:szCs w:val="20"/>
              </w:rPr>
              <w:t xml:space="preserve"> vyhlásenia ich zákonným zástupcom, pre prípad, že  vyhlasujúci zomrie, bude vyhlásený za mŕtveho alebo dôjde k obmedzeniu spôsobilosti na právne úkony,</w:t>
            </w:r>
            <w:r w:rsidRPr="009044D9">
              <w:rPr>
                <w:i/>
                <w:sz w:val="20"/>
                <w:szCs w:val="20"/>
              </w:rPr>
              <w:t xml:space="preserve"> </w:t>
            </w:r>
            <w:r w:rsidRPr="009044D9">
              <w:rPr>
                <w:rFonts w:ascii="Times New Roman" w:hAnsi="Times New Roman" w:cs="Times New Roman"/>
                <w:i/>
                <w:sz w:val="20"/>
                <w:szCs w:val="20"/>
              </w:rPr>
              <w:t>ak je to v najlepšom záujme dieťaťa a niet žiadneho zákonného zástupcu</w:t>
            </w:r>
            <w:r w:rsidRPr="009044D9">
              <w:rPr>
                <w:rFonts w:ascii="Times New Roman" w:hAnsi="Times New Roman" w:cs="Times New Roman"/>
                <w:i/>
                <w:sz w:val="20"/>
                <w:szCs w:val="20"/>
              </w:rPr>
              <w:t>.</w:t>
            </w:r>
            <w:r w:rsidRPr="009044D9">
              <w:rPr>
                <w:rFonts w:ascii="Times New Roman" w:hAnsi="Times New Roman" w:cs="Times New Roman"/>
                <w:i/>
                <w:sz w:val="24"/>
                <w:szCs w:val="24"/>
              </w:rPr>
              <w:t xml:space="preserve"> </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9F7C1A" w:rsidRDefault="004A23F0" w:rsidP="003F14A7">
            <w:pPr>
              <w:spacing w:after="0" w:line="240" w:lineRule="auto"/>
              <w:jc w:val="both"/>
              <w:rPr>
                <w:rFonts w:ascii="Times New Roman" w:eastAsia="Calibri" w:hAnsi="Times New Roman" w:cs="Times New Roman"/>
                <w:i/>
                <w:sz w:val="20"/>
                <w:lang w:eastAsia="sk-SK"/>
              </w:rPr>
            </w:pPr>
            <w:r w:rsidRPr="009F7C1A">
              <w:rPr>
                <w:rFonts w:ascii="Times New Roman" w:eastAsia="Calibri" w:hAnsi="Times New Roman" w:cs="Times New Roman"/>
                <w:i/>
                <w:sz w:val="20"/>
                <w:lang w:eastAsia="sk-SK"/>
              </w:rPr>
              <w:t>Návrh zákona predpokladá pozitívny</w:t>
            </w:r>
            <w:r w:rsidR="00B64E86">
              <w:rPr>
                <w:rFonts w:ascii="Times New Roman" w:eastAsia="Calibri" w:hAnsi="Times New Roman" w:cs="Times New Roman"/>
                <w:i/>
                <w:sz w:val="20"/>
                <w:lang w:eastAsia="sk-SK"/>
              </w:rPr>
              <w:t xml:space="preserve"> vplyv pre všetky zraniteľné skupiny obyvateľstva</w:t>
            </w:r>
            <w:r w:rsidR="00A51DA1">
              <w:rPr>
                <w:rFonts w:ascii="Times New Roman" w:eastAsia="Calibri" w:hAnsi="Times New Roman" w:cs="Times New Roman"/>
                <w:i/>
                <w:sz w:val="20"/>
                <w:lang w:eastAsia="sk-SK"/>
              </w:rPr>
              <w:t xml:space="preserve">, aktuálne však </w:t>
            </w:r>
            <w:r w:rsidR="003F14A7">
              <w:rPr>
                <w:rFonts w:ascii="Times New Roman" w:eastAsia="Calibri" w:hAnsi="Times New Roman" w:cs="Times New Roman"/>
                <w:i/>
                <w:sz w:val="20"/>
                <w:lang w:eastAsia="sk-SK"/>
              </w:rPr>
              <w:t xml:space="preserve">nie je možné posúdiť, či pôjde o </w:t>
            </w:r>
            <w:r w:rsidR="003F14A7" w:rsidRPr="003F14A7">
              <w:rPr>
                <w:rFonts w:ascii="Times New Roman" w:eastAsia="Calibri" w:hAnsi="Times New Roman" w:cs="Times New Roman"/>
                <w:i/>
                <w:sz w:val="20"/>
                <w:lang w:eastAsia="sk-SK"/>
              </w:rPr>
              <w:t>väčší ako vplyv na iné skupiny či subjekty.</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35440E" w:rsidP="002644DE">
            <w:pPr>
              <w:rPr>
                <w:rFonts w:ascii="Times New Roman" w:eastAsia="Calibri" w:hAnsi="Times New Roman" w:cs="Times New Roman"/>
                <w:i/>
                <w:sz w:val="20"/>
              </w:rPr>
            </w:pPr>
            <w:r>
              <w:rPr>
                <w:rFonts w:ascii="Times New Roman" w:eastAsia="Calibri" w:hAnsi="Times New Roman" w:cs="Times New Roman"/>
                <w:i/>
                <w:sz w:val="20"/>
                <w:szCs w:val="20"/>
                <w:lang w:eastAsia="sk-SK"/>
              </w:rPr>
              <w:t>Návrh dodržuje povinnosť rovnakého zaobchádzania.</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35440E" w:rsidP="002644DE">
            <w:pPr>
              <w:spacing w:after="0" w:line="240" w:lineRule="auto"/>
              <w:jc w:val="both"/>
              <w:rPr>
                <w:rFonts w:ascii="Times New Roman" w:eastAsia="Calibri" w:hAnsi="Times New Roman" w:cs="Times New Roman"/>
                <w:sz w:val="20"/>
              </w:rPr>
            </w:pPr>
            <w:r w:rsidRPr="0035440E">
              <w:rPr>
                <w:rFonts w:ascii="Times New Roman" w:eastAsia="Calibri" w:hAnsi="Times New Roman" w:cs="Times New Roman"/>
                <w:i/>
                <w:sz w:val="18"/>
                <w:szCs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35440E" w:rsidP="002644DE">
            <w:pPr>
              <w:spacing w:after="0" w:line="240" w:lineRule="auto"/>
              <w:jc w:val="both"/>
              <w:rPr>
                <w:rFonts w:ascii="Times New Roman" w:eastAsia="Calibri" w:hAnsi="Times New Roman" w:cs="Times New Roman"/>
                <w:i/>
                <w:sz w:val="18"/>
                <w:szCs w:val="18"/>
              </w:rPr>
            </w:pPr>
            <w:r w:rsidRPr="0035440E">
              <w:rPr>
                <w:rFonts w:ascii="Times New Roman" w:eastAsia="Calibri" w:hAnsi="Times New Roman" w:cs="Times New Roman"/>
                <w:i/>
                <w:sz w:val="18"/>
                <w:szCs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35440E" w:rsidP="002644DE">
            <w:pPr>
              <w:spacing w:after="0" w:line="240" w:lineRule="auto"/>
              <w:jc w:val="both"/>
              <w:rPr>
                <w:rFonts w:ascii="Times New Roman" w:eastAsia="Calibri" w:hAnsi="Times New Roman" w:cs="Times New Roman"/>
                <w:i/>
                <w:sz w:val="18"/>
                <w:szCs w:val="18"/>
              </w:rPr>
            </w:pPr>
            <w:r w:rsidRPr="0035440E">
              <w:rPr>
                <w:rFonts w:ascii="Times New Roman" w:eastAsia="Calibri" w:hAnsi="Times New Roman" w:cs="Times New Roman"/>
                <w:i/>
                <w:sz w:val="18"/>
                <w:szCs w:val="20"/>
                <w:lang w:eastAsia="sk-SK"/>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35440E" w:rsidP="002644DE">
            <w:pPr>
              <w:spacing w:after="0" w:line="240" w:lineRule="auto"/>
              <w:rPr>
                <w:rFonts w:ascii="Times New Roman" w:eastAsia="Calibri" w:hAnsi="Times New Roman" w:cs="Times New Roman"/>
                <w:sz w:val="20"/>
              </w:rPr>
            </w:pPr>
            <w:r w:rsidRPr="0035440E">
              <w:rPr>
                <w:rFonts w:ascii="Times New Roman" w:eastAsia="Calibri" w:hAnsi="Times New Roman" w:cs="Times New Roman"/>
                <w:i/>
                <w:sz w:val="18"/>
                <w:szCs w:val="20"/>
                <w:lang w:eastAsia="sk-SK"/>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BA1FFA" w:rsidP="002644DE">
            <w:pPr>
              <w:spacing w:after="0" w:line="240" w:lineRule="auto"/>
              <w:rPr>
                <w:rFonts w:ascii="Times New Roman" w:eastAsia="Calibri" w:hAnsi="Times New Roman" w:cs="Times New Roman"/>
                <w:sz w:val="20"/>
                <w:szCs w:val="18"/>
              </w:rPr>
            </w:pPr>
            <w:r w:rsidRPr="0035440E">
              <w:rPr>
                <w:rFonts w:ascii="Times New Roman" w:eastAsia="Calibri" w:hAnsi="Times New Roman" w:cs="Times New Roman"/>
                <w:i/>
                <w:sz w:val="18"/>
                <w:szCs w:val="20"/>
                <w:lang w:eastAsia="sk-SK"/>
              </w:rPr>
              <w:t>Bez vplyvu</w:t>
            </w:r>
            <w:bookmarkStart w:id="0" w:name="_GoBack"/>
            <w:bookmarkEnd w:id="0"/>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Metodický postup pre analýzu sociálnych vplyvov</w:t>
      </w:r>
    </w:p>
    <w:p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 xml:space="preserve">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w:t>
      </w:r>
      <w:proofErr w:type="spellStart"/>
      <w:r w:rsidRPr="002644DE">
        <w:rPr>
          <w:rFonts w:ascii="Times New Roman" w:eastAsia="Times New Roman" w:hAnsi="Times New Roman" w:cs="Times New Roman"/>
          <w:sz w:val="24"/>
          <w:szCs w:val="24"/>
          <w:lang w:eastAsia="sk-SK"/>
        </w:rPr>
        <w:t>exklúziou</w:t>
      </w:r>
      <w:proofErr w:type="spellEnd"/>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w:t>
      </w:r>
      <w:proofErr w:type="spellStart"/>
      <w:r w:rsidRPr="002644DE">
        <w:rPr>
          <w:rFonts w:ascii="Times New Roman" w:eastAsia="Times New Roman" w:hAnsi="Times New Roman" w:cs="Times New Roman"/>
          <w:sz w:val="24"/>
          <w:szCs w:val="24"/>
          <w:lang w:eastAsia="sk-SK"/>
        </w:rPr>
        <w:t>antidiskrimináciou</w:t>
      </w:r>
      <w:proofErr w:type="spellEnd"/>
      <w:r w:rsidRPr="002644DE">
        <w:rPr>
          <w:rFonts w:ascii="Times New Roman" w:eastAsia="Times New Roman" w:hAnsi="Times New Roman" w:cs="Times New Roman"/>
          <w:sz w:val="24"/>
          <w:szCs w:val="24"/>
          <w:lang w:eastAsia="sk-SK"/>
        </w:rPr>
        <w:t>, posilňovaním rovnosti príležitostí žien a mužov a so zvyšovaním zamestnanosti.</w:t>
      </w:r>
    </w:p>
    <w:p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 xml:space="preserve">Indexy spotrebiteľských cien </w:t>
      </w:r>
      <w:r w:rsidRPr="002644DE">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w:t>
      </w:r>
      <w:proofErr w:type="spellStart"/>
      <w:r w:rsidRPr="002644DE">
        <w:rPr>
          <w:rFonts w:ascii="Times New Roman" w:eastAsia="Times New Roman" w:hAnsi="Times New Roman" w:cs="Times New Roman"/>
          <w:b/>
          <w:sz w:val="24"/>
          <w:lang w:eastAsia="sk-SK"/>
        </w:rPr>
        <w:t>antidiskriminácie</w:t>
      </w:r>
      <w:proofErr w:type="spellEnd"/>
      <w:r w:rsidRPr="002644DE">
        <w:rPr>
          <w:rFonts w:ascii="Times New Roman" w:eastAsia="Times New Roman" w:hAnsi="Times New Roman" w:cs="Times New Roman"/>
          <w:b/>
          <w:sz w:val="24"/>
          <w:lang w:eastAsia="sk-SK"/>
        </w:rPr>
        <w:t>,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Analýza sociálnych vplyvov</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Možno tiež uvažovať nad tým, že predpokladaná zmena môže nastať v rôznom časovom období (napr. ihneď, do 3 rokov, po 3 rokoch) a že daná zmena sa môže uskutočniť s rôznou pravdepodobnosťou (s nízkou až veľkou pravdepodobnosťou).</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k formálnemu i neformálnemu vzdelávaniu a celoživotnému vzdelávaniu,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w:t>
      </w:r>
      <w:proofErr w:type="spellStart"/>
      <w:r w:rsidRPr="002644DE">
        <w:rPr>
          <w:rFonts w:ascii="Times New Roman" w:eastAsia="Times New Roman" w:hAnsi="Times New Roman" w:cs="Times New Roman"/>
          <w:sz w:val="24"/>
          <w:szCs w:val="24"/>
          <w:lang w:eastAsia="sk-SK"/>
        </w:rPr>
        <w:t>bezdomovectvom</w:t>
      </w:r>
      <w:proofErr w:type="spellEnd"/>
      <w:r w:rsidRPr="002644DE">
        <w:rPr>
          <w:rFonts w:ascii="Times New Roman" w:eastAsia="Times New Roman" w:hAnsi="Times New Roman" w:cs="Times New Roman"/>
          <w:sz w:val="24"/>
          <w:szCs w:val="24"/>
          <w:lang w:eastAsia="sk-SK"/>
        </w:rPr>
        <w:t xml:space="preserve">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keď sa jednotlivci nemôžu zúčastňovať na sociálnom, ekonomickom, politickom a kultúrnom živote spoločnosti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koľkých sa pravdepodobne návrh obsiahnutý v prekladanom materiáli dotkne.</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 xml:space="preserve">de </w:t>
      </w:r>
      <w:proofErr w:type="spellStart"/>
      <w:r w:rsidRPr="002644DE">
        <w:rPr>
          <w:rFonts w:ascii="Times New Roman" w:eastAsia="Times New Roman" w:hAnsi="Times New Roman" w:cs="Times New Roman"/>
          <w:i/>
          <w:sz w:val="24"/>
          <w:szCs w:val="24"/>
          <w:lang w:eastAsia="sk-SK"/>
        </w:rPr>
        <w:t>facto</w:t>
      </w:r>
      <w:proofErr w:type="spellEnd"/>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prístup k zamestnaniu, </w:t>
      </w:r>
      <w:proofErr w:type="spellStart"/>
      <w:r w:rsidRPr="002644DE">
        <w:rPr>
          <w:rFonts w:ascii="Times New Roman" w:eastAsia="Times New Roman" w:hAnsi="Times New Roman" w:cs="Times New Roman"/>
          <w:sz w:val="24"/>
          <w:szCs w:val="24"/>
          <w:lang w:eastAsia="sk-SK"/>
        </w:rPr>
        <w:t>samozamestnaniu</w:t>
      </w:r>
      <w:proofErr w:type="spellEnd"/>
      <w:r w:rsidRPr="002644DE">
        <w:rPr>
          <w:rFonts w:ascii="Times New Roman" w:eastAsia="Times New Roman" w:hAnsi="Times New Roman" w:cs="Times New Roman"/>
          <w:sz w:val="24"/>
          <w:szCs w:val="24"/>
          <w:lang w:eastAsia="sk-SK"/>
        </w:rPr>
        <w:t xml:space="preserve"> a vykonávaniu povolania,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vo všeobecnosti výhod resp. úžitkov a povinností v súkromnom a verejnom živote),</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w:t>
      </w:r>
      <w:proofErr w:type="spellEnd"/>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w:t>
      </w:r>
      <w:proofErr w:type="spellStart"/>
      <w:r w:rsidRPr="002644DE">
        <w:rPr>
          <w:rFonts w:ascii="Times New Roman" w:eastAsia="Times New Roman" w:hAnsi="Times New Roman" w:cs="Times New Roman"/>
          <w:sz w:val="24"/>
          <w:szCs w:val="24"/>
          <w:lang w:eastAsia="sk-SK"/>
        </w:rPr>
        <w:t>evaluácia</w:t>
      </w:r>
      <w:proofErr w:type="spellEnd"/>
      <w:r w:rsidRPr="002644DE">
        <w:rPr>
          <w:rFonts w:ascii="Times New Roman" w:eastAsia="Times New Roman" w:hAnsi="Times New Roman" w:cs="Times New Roman"/>
          <w:sz w:val="24"/>
          <w:szCs w:val="24"/>
          <w:lang w:eastAsia="sk-SK"/>
        </w:rPr>
        <w:t>. Rovnosť  žien a mužov by mala byť podporená v každej politickej oblasti, najmä v oblastiach:</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proofErr w:type="spellStart"/>
      <w:r w:rsidRPr="002644DE">
        <w:rPr>
          <w:rFonts w:ascii="Times New Roman" w:eastAsia="Times New Roman" w:hAnsi="Times New Roman" w:cs="Times New Roman"/>
          <w:i/>
          <w:sz w:val="24"/>
          <w:szCs w:val="24"/>
          <w:lang w:eastAsia="sk-SK"/>
        </w:rPr>
        <w:t>gender</w:t>
      </w:r>
      <w:proofErr w:type="spellEnd"/>
      <w:r w:rsidRPr="002644DE">
        <w:rPr>
          <w:rFonts w:ascii="Times New Roman" w:eastAsia="Times New Roman" w:hAnsi="Times New Roman" w:cs="Times New Roman"/>
          <w:i/>
          <w:sz w:val="24"/>
          <w:szCs w:val="24"/>
          <w:lang w:eastAsia="sk-SK"/>
        </w:rPr>
        <w:t xml:space="preserve"> </w:t>
      </w:r>
      <w:proofErr w:type="spellStart"/>
      <w:r w:rsidRPr="002644DE">
        <w:rPr>
          <w:rFonts w:ascii="Times New Roman" w:eastAsia="Times New Roman" w:hAnsi="Times New Roman" w:cs="Times New Roman"/>
          <w:i/>
          <w:sz w:val="24"/>
          <w:szCs w:val="24"/>
          <w:lang w:eastAsia="sk-SK"/>
        </w:rPr>
        <w:t>mainstreamingu</w:t>
      </w:r>
      <w:proofErr w:type="spellEnd"/>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Predkladateľ identifikuje, ktoré skupiny budú mať prospech z vytvorenia nových pracovných miest, nakoľko návrh môže mať rôzny vplyv na rôzne kategórie zamestnancov (napr. kvalifikovaní </w:t>
      </w:r>
      <w:proofErr w:type="spellStart"/>
      <w:r w:rsidRPr="002644DE">
        <w:rPr>
          <w:rFonts w:ascii="Times New Roman" w:eastAsia="Times New Roman" w:hAnsi="Times New Roman" w:cs="Times New Roman"/>
          <w:bCs/>
          <w:sz w:val="24"/>
          <w:szCs w:val="24"/>
          <w:lang w:eastAsia="sk-SK"/>
        </w:rPr>
        <w:t>vs</w:t>
      </w:r>
      <w:proofErr w:type="spellEnd"/>
      <w:r w:rsidRPr="002644DE">
        <w:rPr>
          <w:rFonts w:ascii="Times New Roman" w:eastAsia="Times New Roman" w:hAnsi="Times New Roman" w:cs="Times New Roman"/>
          <w:bCs/>
          <w:sz w:val="24"/>
          <w:szCs w:val="24"/>
          <w:lang w:eastAsia="sk-SK"/>
        </w:rPr>
        <w:t xml:space="preserve">. nekvalifikovaní, rôzne profesie, s rôznymi zručnosťami, podľa ekonomickej činnosti) alebo skupiny populácie (ľudia so zdravotným postihnutím alebo dlhodobými zdravotnými problémami, ženy, starší ľudia, mladí ľudia, nezamestnaní, </w:t>
      </w:r>
      <w:proofErr w:type="spellStart"/>
      <w:r w:rsidRPr="002644DE">
        <w:rPr>
          <w:rFonts w:ascii="Times New Roman" w:eastAsia="Times New Roman" w:hAnsi="Times New Roman" w:cs="Times New Roman"/>
          <w:bCs/>
          <w:sz w:val="24"/>
          <w:szCs w:val="24"/>
          <w:lang w:eastAsia="sk-SK"/>
        </w:rPr>
        <w:t>nízkokvalifikovaní</w:t>
      </w:r>
      <w:proofErr w:type="spellEnd"/>
      <w:r w:rsidRPr="002644DE">
        <w:rPr>
          <w:rFonts w:ascii="Times New Roman" w:eastAsia="Times New Roman" w:hAnsi="Times New Roman" w:cs="Times New Roman"/>
          <w:bCs/>
          <w:sz w:val="24"/>
          <w:szCs w:val="24"/>
          <w:lang w:eastAsia="sk-SK"/>
        </w:rPr>
        <w:t>).</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Predkladateľ identifikuje, aké dôsledky bude mať zánik pracovných miest. Zánik pracovných miest sa môže prejaviť hromadným prepúšťaním, zvýšeným odchodom do dôchodku, nárastom </w:t>
      </w:r>
      <w:proofErr w:type="spellStart"/>
      <w:r w:rsidRPr="002644DE">
        <w:rPr>
          <w:rFonts w:ascii="Times New Roman" w:eastAsia="Times New Roman" w:hAnsi="Times New Roman" w:cs="Times New Roman"/>
          <w:sz w:val="24"/>
          <w:szCs w:val="24"/>
          <w:lang w:eastAsia="sk-SK"/>
        </w:rPr>
        <w:t>neaktivity</w:t>
      </w:r>
      <w:proofErr w:type="spellEnd"/>
      <w:r w:rsidRPr="002644DE">
        <w:rPr>
          <w:rFonts w:ascii="Times New Roman" w:eastAsia="Times New Roman" w:hAnsi="Times New Roman" w:cs="Times New Roman"/>
          <w:sz w:val="24"/>
          <w:szCs w:val="24"/>
          <w:lang w:eastAsia="sk-SK"/>
        </w:rPr>
        <w:t xml:space="preserve"> alebo zvýšením nezamestnanosti.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3 </w:t>
      </w:r>
      <w:r w:rsidRPr="002644DE">
        <w:rPr>
          <w:rFonts w:ascii="Times New Roman" w:eastAsia="Times New Roman" w:hAnsi="Times New Roman" w:cs="Times New Roman"/>
          <w:i/>
          <w:sz w:val="24"/>
          <w:szCs w:val="24"/>
          <w:lang w:eastAsia="sk-SK"/>
        </w:rPr>
        <w:t>Ovplyvňuje návrh dopyt po práci?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Ponuka práce môže byť ovplyvnená rôznymi premennými napr. úrovňou miezd (absolútnou či relatívnou </w:t>
      </w:r>
      <w:proofErr w:type="spellStart"/>
      <w:r w:rsidRPr="002644DE">
        <w:rPr>
          <w:rFonts w:ascii="Times New Roman" w:eastAsia="Times New Roman" w:hAnsi="Times New Roman" w:cs="Times New Roman"/>
          <w:sz w:val="24"/>
          <w:szCs w:val="24"/>
          <w:lang w:eastAsia="sk-SK"/>
        </w:rPr>
        <w:t>t.j</w:t>
      </w:r>
      <w:proofErr w:type="spellEnd"/>
      <w:r w:rsidRPr="002644DE">
        <w:rPr>
          <w:rFonts w:ascii="Times New Roman" w:eastAsia="Times New Roman" w:hAnsi="Times New Roman" w:cs="Times New Roman"/>
          <w:sz w:val="24"/>
          <w:szCs w:val="24"/>
          <w:lang w:eastAsia="sk-SK"/>
        </w:rPr>
        <w:t>. v porovnaní s úrovňou miezd v inom sektore), ale aj inštitucionálnym nastavením, ako je zosúladenie pracovného a súkromného života alebo uľahčovanie rôznych foriem mobility.</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w:t>
      </w:r>
      <w:proofErr w:type="spellStart"/>
      <w:r w:rsidRPr="002644DE">
        <w:rPr>
          <w:rFonts w:ascii="Times New Roman" w:eastAsia="Times New Roman" w:hAnsi="Times New Roman" w:cs="Times New Roman"/>
          <w:bCs/>
          <w:sz w:val="24"/>
          <w:szCs w:val="20"/>
          <w:lang w:eastAsia="sk-SK"/>
        </w:rPr>
        <w:t>mikro</w:t>
      </w:r>
      <w:proofErr w:type="spellEnd"/>
      <w:r w:rsidRPr="002644DE">
        <w:rPr>
          <w:rFonts w:ascii="Times New Roman" w:eastAsia="Times New Roman" w:hAnsi="Times New Roman" w:cs="Times New Roman"/>
          <w:bCs/>
          <w:sz w:val="24"/>
          <w:szCs w:val="20"/>
          <w:lang w:eastAsia="sk-SK"/>
        </w:rPr>
        <w:t>, malý, stredný a veľký podnik).</w:t>
      </w:r>
    </w:p>
    <w:p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2" w:history="1">
        <w:r w:rsidRPr="002644DE">
          <w:rPr>
            <w:color w:val="0000FF"/>
            <w:szCs w:val="20"/>
            <w:u w:val="single"/>
          </w:rPr>
          <w:t xml:space="preserve">http://portal.statistics.sk/showdoc.do?docid=1924. </w:t>
        </w:r>
      </w:hyperlink>
    </w:p>
    <w:p w:rsidR="00274130" w:rsidRDefault="00BA1FFA"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E7" w:rsidRDefault="007E57E7" w:rsidP="002644DE">
      <w:pPr>
        <w:spacing w:after="0" w:line="240" w:lineRule="auto"/>
      </w:pPr>
      <w:r>
        <w:separator/>
      </w:r>
    </w:p>
  </w:endnote>
  <w:endnote w:type="continuationSeparator" w:id="0">
    <w:p w:rsidR="007E57E7" w:rsidRDefault="007E57E7"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A1FFA">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BA1FFA">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E7" w:rsidRDefault="007E57E7" w:rsidP="002644DE">
      <w:pPr>
        <w:spacing w:after="0" w:line="240" w:lineRule="auto"/>
      </w:pPr>
      <w:r>
        <w:separator/>
      </w:r>
    </w:p>
  </w:footnote>
  <w:footnote w:type="continuationSeparator" w:id="0">
    <w:p w:rsidR="007E57E7" w:rsidRDefault="007E57E7" w:rsidP="002644DE">
      <w:pPr>
        <w:spacing w:after="0" w:line="240" w:lineRule="auto"/>
      </w:pPr>
      <w:r>
        <w:continuationSeparator/>
      </w:r>
    </w:p>
  </w:footnote>
  <w:footnote w:id="1">
    <w:p w:rsidR="002644DE" w:rsidRPr="00227A26" w:rsidRDefault="002644DE"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w:t>
      </w:r>
      <w:proofErr w:type="spellStart"/>
      <w:r w:rsidRPr="00227A26">
        <w:rPr>
          <w:rFonts w:ascii="Times New Roman" w:hAnsi="Times New Roman" w:cs="Times New Roman"/>
          <w:sz w:val="20"/>
        </w:rPr>
        <w:t>exklúzia</w:t>
      </w:r>
      <w:proofErr w:type="spellEnd"/>
      <w:r w:rsidRPr="00227A26">
        <w:rPr>
          <w:rFonts w:ascii="Times New Roman" w:hAnsi="Times New Roman" w:cs="Times New Roman"/>
          <w:sz w:val="20"/>
        </w:rPr>
        <w:t xml:space="preserve">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2644DE" w:rsidRDefault="002644DE"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1638C5"/>
    <w:rsid w:val="002644DE"/>
    <w:rsid w:val="0035440E"/>
    <w:rsid w:val="00370BE2"/>
    <w:rsid w:val="00382021"/>
    <w:rsid w:val="003F14A7"/>
    <w:rsid w:val="0040256B"/>
    <w:rsid w:val="00433C47"/>
    <w:rsid w:val="00443600"/>
    <w:rsid w:val="004A23F0"/>
    <w:rsid w:val="004D0890"/>
    <w:rsid w:val="005B7473"/>
    <w:rsid w:val="00636449"/>
    <w:rsid w:val="006C6904"/>
    <w:rsid w:val="00743C79"/>
    <w:rsid w:val="007E57E7"/>
    <w:rsid w:val="007F58AE"/>
    <w:rsid w:val="007F6319"/>
    <w:rsid w:val="008409AA"/>
    <w:rsid w:val="008801B5"/>
    <w:rsid w:val="008A6E6C"/>
    <w:rsid w:val="009044D9"/>
    <w:rsid w:val="0095188C"/>
    <w:rsid w:val="009E09F7"/>
    <w:rsid w:val="009F7C1A"/>
    <w:rsid w:val="00A4142D"/>
    <w:rsid w:val="00A51DA1"/>
    <w:rsid w:val="00AE6113"/>
    <w:rsid w:val="00B64E86"/>
    <w:rsid w:val="00BA1FFA"/>
    <w:rsid w:val="00BD141A"/>
    <w:rsid w:val="00DD3CE8"/>
    <w:rsid w:val="00DE6A60"/>
    <w:rsid w:val="00F47AE0"/>
    <w:rsid w:val="00FD16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C5B9"/>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66908">
      <w:bodyDiv w:val="1"/>
      <w:marLeft w:val="0"/>
      <w:marRight w:val="0"/>
      <w:marTop w:val="0"/>
      <w:marBottom w:val="0"/>
      <w:divBdr>
        <w:top w:val="none" w:sz="0" w:space="0" w:color="auto"/>
        <w:left w:val="none" w:sz="0" w:space="0" w:color="auto"/>
        <w:bottom w:val="none" w:sz="0" w:space="0" w:color="auto"/>
        <w:right w:val="none" w:sz="0" w:space="0" w:color="auto"/>
      </w:divBdr>
    </w:div>
    <w:div w:id="770517060">
      <w:bodyDiv w:val="1"/>
      <w:marLeft w:val="0"/>
      <w:marRight w:val="0"/>
      <w:marTop w:val="0"/>
      <w:marBottom w:val="0"/>
      <w:divBdr>
        <w:top w:val="none" w:sz="0" w:space="0" w:color="auto"/>
        <w:left w:val="none" w:sz="0" w:space="0" w:color="auto"/>
        <w:bottom w:val="none" w:sz="0" w:space="0" w:color="auto"/>
        <w:right w:val="none" w:sz="0" w:space="0" w:color="auto"/>
      </w:divBdr>
    </w:div>
    <w:div w:id="1187986354">
      <w:bodyDiv w:val="1"/>
      <w:marLeft w:val="0"/>
      <w:marRight w:val="0"/>
      <w:marTop w:val="0"/>
      <w:marBottom w:val="0"/>
      <w:divBdr>
        <w:top w:val="none" w:sz="0" w:space="0" w:color="auto"/>
        <w:left w:val="none" w:sz="0" w:space="0" w:color="auto"/>
        <w:bottom w:val="none" w:sz="0" w:space="0" w:color="auto"/>
        <w:right w:val="none" w:sz="0" w:space="0" w:color="auto"/>
      </w:divBdr>
    </w:div>
    <w:div w:id="1508401308">
      <w:bodyDiv w:val="1"/>
      <w:marLeft w:val="0"/>
      <w:marRight w:val="0"/>
      <w:marTop w:val="0"/>
      <w:marBottom w:val="0"/>
      <w:divBdr>
        <w:top w:val="none" w:sz="0" w:space="0" w:color="auto"/>
        <w:left w:val="none" w:sz="0" w:space="0" w:color="auto"/>
        <w:bottom w:val="none" w:sz="0" w:space="0" w:color="auto"/>
        <w:right w:val="none" w:sz="0" w:space="0" w:color="auto"/>
      </w:divBdr>
    </w:div>
    <w:div w:id="15504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statistics.sk/showdoc.do?docid=19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6135</Words>
  <Characters>34970</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KEREKEŠOVÁ Veronika</cp:lastModifiedBy>
  <cp:revision>19</cp:revision>
  <dcterms:created xsi:type="dcterms:W3CDTF">2023-02-09T14:31:00Z</dcterms:created>
  <dcterms:modified xsi:type="dcterms:W3CDTF">2023-02-10T13:39:00Z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