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110"/>
        <w:gridCol w:w="1118"/>
        <w:gridCol w:w="11"/>
        <w:gridCol w:w="1155"/>
        <w:gridCol w:w="1083"/>
        <w:gridCol w:w="5224"/>
        <w:gridCol w:w="822"/>
        <w:gridCol w:w="279"/>
        <w:gridCol w:w="833"/>
        <w:gridCol w:w="14"/>
      </w:tblGrid>
      <w:tr w:rsidR="00B331E0" w:rsidRPr="00FB1F53" w14:paraId="2A4E5AA9" w14:textId="77777777" w:rsidTr="00BD1D3C">
        <w:trPr>
          <w:gridAfter w:val="2"/>
          <w:wAfter w:w="295" w:type="pct"/>
          <w:trHeight w:val="675"/>
        </w:trPr>
        <w:tc>
          <w:tcPr>
            <w:tcW w:w="470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F2E52A" w14:textId="77777777" w:rsidR="00B331E0" w:rsidRPr="00FB1F53" w:rsidRDefault="00B331E0" w:rsidP="00BD1D3C">
            <w:pPr>
              <w:keepNext/>
              <w:keepLines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25164">
              <w:rPr>
                <w:b/>
                <w:bCs/>
                <w:sz w:val="20"/>
                <w:szCs w:val="20"/>
              </w:rPr>
              <w:t>TABUĽKA ZHODY</w:t>
            </w:r>
            <w:r w:rsidRPr="00325164">
              <w:rPr>
                <w:b/>
                <w:bCs/>
                <w:sz w:val="20"/>
                <w:szCs w:val="20"/>
              </w:rPr>
              <w:br/>
              <w:t>návrhu právneho predpisu s právom Európskej únie</w:t>
            </w:r>
          </w:p>
        </w:tc>
      </w:tr>
      <w:tr w:rsidR="00B331E0" w:rsidRPr="007C5BE9" w14:paraId="07A16B19" w14:textId="77777777" w:rsidTr="00BD1D3C">
        <w:trPr>
          <w:trHeight w:val="840"/>
        </w:trPr>
        <w:tc>
          <w:tcPr>
            <w:tcW w:w="1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F8CADB" w14:textId="67947A1C" w:rsidR="00B331E0" w:rsidRPr="00B833AC" w:rsidRDefault="00645412" w:rsidP="00BD1D3C">
            <w:pPr>
              <w:pStyle w:val="Normlnywebov"/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496CFF">
              <w:rPr>
                <w:rFonts w:eastAsiaTheme="minorHAnsi"/>
                <w:sz w:val="22"/>
                <w:szCs w:val="20"/>
                <w:lang w:eastAsia="en-US"/>
              </w:rPr>
              <w:t>Smernica Rady 87/357/EHS z 25. júna 1987 o harmonizácii právnych predpisov členských štátov týkajúcich sa výrobkov, ktorých vlastnosti sa javia ako iné, než v skutočnosti sú, a ktoré preto ohrozujú zdravie alebo bezpečnosť spotrebiteľov (Ú. v. ES L 192, 11.7.1987; Mimoriadne vydanie Ú</w:t>
            </w:r>
            <w:r w:rsidR="003A4A5D">
              <w:rPr>
                <w:rFonts w:eastAsiaTheme="minorHAnsi"/>
                <w:sz w:val="22"/>
                <w:szCs w:val="20"/>
                <w:lang w:eastAsia="en-US"/>
              </w:rPr>
              <w:t>.</w:t>
            </w:r>
            <w:r w:rsidRPr="00496CFF">
              <w:rPr>
                <w:rFonts w:eastAsiaTheme="minorHAnsi"/>
                <w:sz w:val="22"/>
                <w:szCs w:val="20"/>
                <w:lang w:eastAsia="en-US"/>
              </w:rPr>
              <w:t xml:space="preserve"> v</w:t>
            </w:r>
            <w:r w:rsidR="003A4A5D">
              <w:rPr>
                <w:rFonts w:eastAsiaTheme="minorHAnsi"/>
                <w:sz w:val="22"/>
                <w:szCs w:val="20"/>
                <w:lang w:eastAsia="en-US"/>
              </w:rPr>
              <w:t>.</w:t>
            </w:r>
            <w:r w:rsidRPr="00496CFF">
              <w:rPr>
                <w:rFonts w:eastAsiaTheme="minorHAnsi"/>
                <w:sz w:val="22"/>
                <w:szCs w:val="20"/>
                <w:lang w:eastAsia="en-US"/>
              </w:rPr>
              <w:t xml:space="preserve"> EÚ, kap. 13/ zv. 8)</w:t>
            </w:r>
          </w:p>
        </w:tc>
        <w:tc>
          <w:tcPr>
            <w:tcW w:w="3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8AF5A5" w14:textId="77777777" w:rsidR="00B331E0" w:rsidRDefault="00B331E0" w:rsidP="00BD1D3C">
            <w:pPr>
              <w:keepNext/>
              <w:keepLines/>
              <w:jc w:val="both"/>
              <w:rPr>
                <w:b/>
                <w:strike/>
                <w:sz w:val="20"/>
                <w:szCs w:val="20"/>
              </w:rPr>
            </w:pPr>
          </w:p>
          <w:p w14:paraId="4EFE9CB9" w14:textId="0AD08D97" w:rsidR="00B331E0" w:rsidRDefault="00B331E0" w:rsidP="00BD1D3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2D58BB">
              <w:rPr>
                <w:b/>
                <w:bCs/>
                <w:sz w:val="20"/>
                <w:szCs w:val="20"/>
              </w:rPr>
              <w:t>Návrh</w:t>
            </w:r>
            <w:r>
              <w:rPr>
                <w:b/>
                <w:bCs/>
                <w:sz w:val="20"/>
                <w:szCs w:val="20"/>
              </w:rPr>
              <w:t xml:space="preserve"> z</w:t>
            </w:r>
            <w:r w:rsidRPr="002D58BB">
              <w:rPr>
                <w:b/>
                <w:bCs/>
                <w:sz w:val="20"/>
                <w:szCs w:val="20"/>
              </w:rPr>
              <w:t>ákon</w:t>
            </w:r>
            <w:r>
              <w:rPr>
                <w:b/>
                <w:bCs/>
                <w:sz w:val="20"/>
                <w:szCs w:val="20"/>
              </w:rPr>
              <w:t>a č. .../</w:t>
            </w:r>
            <w:r w:rsidRPr="002D58BB">
              <w:rPr>
                <w:b/>
                <w:bCs/>
                <w:sz w:val="20"/>
                <w:szCs w:val="20"/>
              </w:rPr>
              <w:t>202</w:t>
            </w:r>
            <w:r w:rsidR="0091581C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Z. z. </w:t>
            </w:r>
            <w:r w:rsidRPr="002D58BB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 všeobecnej bezpečnosti výrobkov </w:t>
            </w:r>
            <w:r w:rsidRPr="006A0864">
              <w:rPr>
                <w:b/>
                <w:bCs/>
                <w:sz w:val="20"/>
                <w:szCs w:val="20"/>
              </w:rPr>
              <w:t>a o zmene a doplnení niektorých zákonov</w:t>
            </w:r>
          </w:p>
          <w:p w14:paraId="18CF409F" w14:textId="77777777" w:rsidR="007C2C92" w:rsidRDefault="007C2C92" w:rsidP="00BD1D3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14:paraId="61EEDE50" w14:textId="77777777" w:rsidR="007C2C92" w:rsidRPr="007C2C92" w:rsidRDefault="007C2C92" w:rsidP="007C2C92">
            <w:pPr>
              <w:keepNext/>
              <w:keepLine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Zákon č. 575/2001 Z. z. o</w:t>
            </w:r>
            <w:r w:rsidRPr="00C237A4">
              <w:rPr>
                <w:bCs/>
                <w:sz w:val="20"/>
                <w:szCs w:val="20"/>
              </w:rPr>
              <w:t xml:space="preserve"> organizácii činnosti vlády a organizácii ústrednej štátnej správy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87B65">
              <w:rPr>
                <w:bCs/>
                <w:sz w:val="20"/>
                <w:szCs w:val="20"/>
              </w:rPr>
              <w:t>v znení neskorších predpisov</w:t>
            </w:r>
          </w:p>
          <w:p w14:paraId="23D39900" w14:textId="77777777" w:rsidR="00B331E0" w:rsidRPr="007C5BE9" w:rsidRDefault="00B331E0" w:rsidP="007C2C92">
            <w:pPr>
              <w:keepNext/>
              <w:keepLines/>
              <w:jc w:val="both"/>
              <w:rPr>
                <w:b/>
                <w:bCs/>
                <w:strike/>
                <w:sz w:val="20"/>
                <w:szCs w:val="20"/>
              </w:rPr>
            </w:pPr>
          </w:p>
        </w:tc>
      </w:tr>
      <w:tr w:rsidR="00B331E0" w:rsidRPr="00FB1F53" w14:paraId="0455EBB5" w14:textId="77777777" w:rsidTr="00BD1D3C">
        <w:trPr>
          <w:gridAfter w:val="1"/>
          <w:wAfter w:w="5" w:type="pct"/>
          <w:trHeight w:val="25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63E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1A026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9B3A9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E3CC6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64BA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5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B0384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2D7E2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0FFE6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8</w:t>
            </w:r>
          </w:p>
        </w:tc>
      </w:tr>
      <w:tr w:rsidR="00B331E0" w:rsidRPr="00FB1F53" w14:paraId="48D00481" w14:textId="77777777" w:rsidTr="00BD1D3C">
        <w:trPr>
          <w:gridAfter w:val="1"/>
          <w:wAfter w:w="5" w:type="pct"/>
          <w:trHeight w:val="513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275D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Článok</w:t>
            </w:r>
          </w:p>
          <w:p w14:paraId="0B3305DC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(Č, O, V, P)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49221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Text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6C138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Spôsob transpozície</w:t>
            </w:r>
          </w:p>
          <w:p w14:paraId="61FF7B40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(N, O, D, </w:t>
            </w: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83479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Číslo</w:t>
            </w:r>
          </w:p>
          <w:p w14:paraId="1E71C0DA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predpisu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03C32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B33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Text</w:t>
            </w:r>
          </w:p>
        </w:tc>
        <w:tc>
          <w:tcPr>
            <w:tcW w:w="28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4496D8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Zhoda</w:t>
            </w:r>
          </w:p>
        </w:tc>
        <w:tc>
          <w:tcPr>
            <w:tcW w:w="3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5BA4DA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Poznámky</w:t>
            </w:r>
          </w:p>
        </w:tc>
      </w:tr>
      <w:tr w:rsidR="00B331E0" w:rsidRPr="00FB1F53" w14:paraId="0C596C4D" w14:textId="77777777" w:rsidTr="00BD1D3C">
        <w:trPr>
          <w:gridAfter w:val="1"/>
          <w:wAfter w:w="5" w:type="pct"/>
          <w:trHeight w:val="7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360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 1</w:t>
            </w:r>
          </w:p>
          <w:p w14:paraId="770D83E5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9E94B" w14:textId="77777777" w:rsidR="00B331E0" w:rsidRPr="00084E9A" w:rsidRDefault="00B331E0" w:rsidP="00BD1D3C">
            <w:pPr>
              <w:jc w:val="both"/>
              <w:rPr>
                <w:sz w:val="20"/>
                <w:szCs w:val="20"/>
              </w:rPr>
            </w:pPr>
            <w:r w:rsidRPr="00084E9A">
              <w:rPr>
                <w:sz w:val="20"/>
                <w:szCs w:val="20"/>
              </w:rPr>
              <w:t>1. Táto smernica sa týka výrobkov uvedených v odseku 2,</w:t>
            </w:r>
          </w:p>
          <w:p w14:paraId="31C7BAE3" w14:textId="77777777" w:rsidR="00B331E0" w:rsidRPr="00084E9A" w:rsidRDefault="00B331E0" w:rsidP="00BD1D3C">
            <w:pPr>
              <w:jc w:val="both"/>
              <w:rPr>
                <w:sz w:val="20"/>
                <w:szCs w:val="20"/>
              </w:rPr>
            </w:pPr>
            <w:r w:rsidRPr="00084E9A">
              <w:rPr>
                <w:sz w:val="20"/>
                <w:szCs w:val="20"/>
              </w:rPr>
              <w:t>ktoré tým, že sa ich vlastnosti javia iné ako v skutočnosti sú,</w:t>
            </w:r>
          </w:p>
          <w:p w14:paraId="56596BBB" w14:textId="77777777" w:rsidR="00B331E0" w:rsidRPr="00FB1F53" w:rsidRDefault="00B331E0" w:rsidP="00BD1D3C">
            <w:pPr>
              <w:jc w:val="both"/>
              <w:rPr>
                <w:sz w:val="20"/>
                <w:szCs w:val="20"/>
              </w:rPr>
            </w:pPr>
            <w:r w:rsidRPr="00084E9A">
              <w:rPr>
                <w:sz w:val="20"/>
                <w:szCs w:val="20"/>
              </w:rPr>
              <w:t>ohrozujú zdravie alebo bezpečnosť spotrebiteľov.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6D9E6" w14:textId="77777777" w:rsidR="00B331E0" w:rsidRPr="00A71034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A71034">
              <w:rPr>
                <w:sz w:val="20"/>
                <w:szCs w:val="20"/>
              </w:rPr>
              <w:t>N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214C9" w14:textId="77777777" w:rsidR="00B331E0" w:rsidRPr="00A71034" w:rsidRDefault="00B331E0" w:rsidP="00BD1D3C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A71034">
              <w:rPr>
                <w:b/>
                <w:sz w:val="20"/>
                <w:szCs w:val="20"/>
              </w:rPr>
              <w:t>NZ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440C1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</w:t>
            </w:r>
          </w:p>
          <w:p w14:paraId="07F50EDF" w14:textId="77777777" w:rsidR="00B331E0" w:rsidRPr="0062499B" w:rsidRDefault="007D5433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8</w:t>
            </w:r>
          </w:p>
          <w:p w14:paraId="5F4843EC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72629670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4B32417F" w14:textId="77777777" w:rsidR="00B331E0" w:rsidRPr="00FB1F53" w:rsidRDefault="00B331E0" w:rsidP="00BD1D3C">
            <w:pPr>
              <w:keepNext/>
              <w:keepLines/>
              <w:rPr>
                <w:sz w:val="20"/>
                <w:szCs w:val="20"/>
              </w:rPr>
            </w:pPr>
          </w:p>
          <w:p w14:paraId="620773E2" w14:textId="77777777" w:rsidR="00B331E0" w:rsidRPr="00FB1F53" w:rsidRDefault="00B331E0" w:rsidP="00BD1D3C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5A1A2" w14:textId="77777777" w:rsidR="00B331E0" w:rsidRPr="005A18E8" w:rsidRDefault="007D5433" w:rsidP="00BD1D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</w:t>
            </w:r>
            <w:r w:rsidR="00B331E0">
              <w:rPr>
                <w:sz w:val="20"/>
                <w:szCs w:val="20"/>
              </w:rPr>
              <w:t xml:space="preserve">) </w:t>
            </w:r>
            <w:r w:rsidR="00B331E0" w:rsidRPr="0071291D">
              <w:rPr>
                <w:sz w:val="20"/>
                <w:szCs w:val="20"/>
              </w:rPr>
              <w:t xml:space="preserve">Nebezpečný výrobok je výrobok, ktorý nespĺňa požiadavky podľa odseku 1. Za nebezpečný výrobok sa považuje aj </w:t>
            </w:r>
            <w:r w:rsidR="00B331E0">
              <w:rPr>
                <w:sz w:val="20"/>
                <w:szCs w:val="20"/>
              </w:rPr>
              <w:t xml:space="preserve">nebezpečná napodobenina </w:t>
            </w:r>
            <w:r w:rsidR="00B331E0" w:rsidRPr="0071291D">
              <w:rPr>
                <w:sz w:val="20"/>
                <w:szCs w:val="20"/>
              </w:rPr>
              <w:t>výrobk</w:t>
            </w:r>
            <w:r w:rsidR="00B331E0">
              <w:rPr>
                <w:sz w:val="20"/>
                <w:szCs w:val="20"/>
              </w:rPr>
              <w:t>u</w:t>
            </w:r>
            <w:r w:rsidR="00B331E0" w:rsidRPr="0071291D">
              <w:rPr>
                <w:sz w:val="20"/>
                <w:szCs w:val="20"/>
              </w:rPr>
              <w:t>, ktor</w:t>
            </w:r>
            <w:r w:rsidR="00B331E0">
              <w:rPr>
                <w:sz w:val="20"/>
                <w:szCs w:val="20"/>
              </w:rPr>
              <w:t>á</w:t>
            </w:r>
            <w:r w:rsidR="00B331E0" w:rsidRPr="0071291D">
              <w:rPr>
                <w:sz w:val="20"/>
                <w:szCs w:val="20"/>
              </w:rPr>
              <w:t xml:space="preserve"> svojím tvarom, vôňou, farbou, vzhľadom, balením, označením, objemom alebo veľkosťou môže u spotrebiteľa, najmä u dieťaťa, vyvolať riziko zámeny s potravinou a ohroziť tak jeho život alebo zdravie.</w:t>
            </w:r>
          </w:p>
          <w:p w14:paraId="34469959" w14:textId="77777777" w:rsidR="00B331E0" w:rsidRPr="007C5BE9" w:rsidRDefault="00B331E0" w:rsidP="00BD1D3C">
            <w:pPr>
              <w:ind w:left="28"/>
              <w:jc w:val="both"/>
              <w:rPr>
                <w:strike/>
                <w:sz w:val="20"/>
                <w:szCs w:val="20"/>
              </w:rPr>
            </w:pPr>
            <w:r w:rsidRPr="005A18E8" w:rsidDel="005A18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5A87A" w14:textId="77777777" w:rsidR="00B331E0" w:rsidRPr="00F63E5D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63E5D">
              <w:rPr>
                <w:sz w:val="20"/>
                <w:szCs w:val="20"/>
              </w:rPr>
              <w:t>Ú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D0C31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B331E0" w:rsidRPr="00FB1F53" w14:paraId="30CAC7EE" w14:textId="77777777" w:rsidTr="00BD1D3C">
        <w:trPr>
          <w:gridAfter w:val="1"/>
          <w:wAfter w:w="5" w:type="pct"/>
          <w:trHeight w:val="7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7CC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 1</w:t>
            </w:r>
          </w:p>
          <w:p w14:paraId="56ACC54B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9B593" w14:textId="77777777" w:rsidR="00B331E0" w:rsidRPr="00C33AC0" w:rsidRDefault="00B331E0" w:rsidP="00BD1D3C">
            <w:pPr>
              <w:pStyle w:val="Normlnywebov"/>
              <w:keepNext/>
              <w:keepLines/>
              <w:jc w:val="both"/>
              <w:rPr>
                <w:sz w:val="20"/>
                <w:szCs w:val="20"/>
              </w:rPr>
            </w:pPr>
            <w:r w:rsidRPr="00084E9A">
              <w:rPr>
                <w:sz w:val="20"/>
                <w:szCs w:val="20"/>
              </w:rPr>
              <w:t>2. Výrobky uvedené v predchádzajúcom odseku 1 sú také</w:t>
            </w:r>
            <w:r>
              <w:rPr>
                <w:sz w:val="20"/>
                <w:szCs w:val="20"/>
              </w:rPr>
              <w:t xml:space="preserve"> </w:t>
            </w:r>
            <w:r w:rsidRPr="00084E9A">
              <w:rPr>
                <w:sz w:val="20"/>
                <w:szCs w:val="20"/>
              </w:rPr>
              <w:t>výrobky, ktoré aj napriek tomu, že nie sú potravinami, majú</w:t>
            </w:r>
            <w:r>
              <w:rPr>
                <w:sz w:val="20"/>
                <w:szCs w:val="20"/>
              </w:rPr>
              <w:t xml:space="preserve"> </w:t>
            </w:r>
            <w:r w:rsidRPr="00084E9A">
              <w:rPr>
                <w:sz w:val="20"/>
                <w:szCs w:val="20"/>
              </w:rPr>
              <w:t>formu, vôňu, farbu, vzhľad, obal, označenie, objem alebo rozmery,</w:t>
            </w:r>
            <w:r>
              <w:rPr>
                <w:sz w:val="20"/>
                <w:szCs w:val="20"/>
              </w:rPr>
              <w:t xml:space="preserve"> </w:t>
            </w:r>
            <w:r w:rsidRPr="00084E9A">
              <w:rPr>
                <w:sz w:val="20"/>
                <w:szCs w:val="20"/>
              </w:rPr>
              <w:t>ktoré môžu spôsobiť, že spotrebitelia, najmä deti, ich</w:t>
            </w:r>
            <w:r>
              <w:rPr>
                <w:sz w:val="20"/>
                <w:szCs w:val="20"/>
              </w:rPr>
              <w:t xml:space="preserve"> </w:t>
            </w:r>
            <w:r w:rsidRPr="00084E9A">
              <w:rPr>
                <w:sz w:val="20"/>
                <w:szCs w:val="20"/>
              </w:rPr>
              <w:t>zamenia s potravinami a v dôsledku toho ich môžu vkladať</w:t>
            </w:r>
            <w:r>
              <w:rPr>
                <w:sz w:val="20"/>
                <w:szCs w:val="20"/>
              </w:rPr>
              <w:t xml:space="preserve"> </w:t>
            </w:r>
            <w:r w:rsidRPr="00084E9A">
              <w:rPr>
                <w:sz w:val="20"/>
                <w:szCs w:val="20"/>
              </w:rPr>
              <w:t>svojich úst, cmúľať alebo prehltnúť, čo by mohlo byť nebezpečné</w:t>
            </w:r>
            <w:r>
              <w:rPr>
                <w:sz w:val="20"/>
                <w:szCs w:val="20"/>
              </w:rPr>
              <w:t xml:space="preserve"> </w:t>
            </w:r>
            <w:r w:rsidRPr="00084E9A">
              <w:rPr>
                <w:sz w:val="20"/>
                <w:szCs w:val="20"/>
              </w:rPr>
              <w:t>a zapríčiniť napríklad dusenie, otravu alebo perforáciu či</w:t>
            </w:r>
            <w:r>
              <w:rPr>
                <w:sz w:val="20"/>
                <w:szCs w:val="20"/>
              </w:rPr>
              <w:t xml:space="preserve"> </w:t>
            </w:r>
            <w:r w:rsidRPr="00084E9A">
              <w:rPr>
                <w:sz w:val="20"/>
                <w:szCs w:val="20"/>
              </w:rPr>
              <w:t>zablokovanie tráviaceho ústrojenstva.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78E63" w14:textId="77777777" w:rsidR="00B331E0" w:rsidRPr="00C74616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C74616">
              <w:rPr>
                <w:sz w:val="20"/>
                <w:szCs w:val="20"/>
              </w:rPr>
              <w:t>N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E3878" w14:textId="77777777" w:rsidR="00B331E0" w:rsidRPr="00F63E5D" w:rsidRDefault="00B331E0" w:rsidP="00BD1D3C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63E5D">
              <w:rPr>
                <w:b/>
                <w:sz w:val="20"/>
                <w:szCs w:val="20"/>
              </w:rPr>
              <w:t>NZ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91886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</w:t>
            </w:r>
          </w:p>
          <w:p w14:paraId="1BBED115" w14:textId="77777777" w:rsidR="00B331E0" w:rsidRDefault="007D5433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8</w:t>
            </w:r>
          </w:p>
          <w:p w14:paraId="0267C49C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61EE4E11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0E35C144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3F440513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2F838CA9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64B7F24E" w14:textId="77777777" w:rsidR="00B331E0" w:rsidRPr="00C33AC0" w:rsidRDefault="00B331E0" w:rsidP="00BD1D3C">
            <w:pPr>
              <w:keepNext/>
              <w:keepLines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77C0A" w14:textId="77777777" w:rsidR="00B331E0" w:rsidRDefault="007D5433" w:rsidP="00BD1D3C">
            <w:pPr>
              <w:pStyle w:val="tlVavo125cmOpakovanzarka066cm"/>
              <w:keepNext/>
              <w:keepLines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</w:t>
            </w:r>
            <w:r w:rsidR="00B331E0">
              <w:rPr>
                <w:sz w:val="20"/>
                <w:szCs w:val="20"/>
              </w:rPr>
              <w:t xml:space="preserve">) </w:t>
            </w:r>
            <w:r w:rsidR="00B331E0" w:rsidRPr="0071291D">
              <w:rPr>
                <w:sz w:val="20"/>
                <w:szCs w:val="20"/>
              </w:rPr>
              <w:t xml:space="preserve">Nebezpečný výrobok je výrobok, ktorý nespĺňa požiadavky podľa odseku 1. Za nebezpečný výrobok sa považuje aj </w:t>
            </w:r>
            <w:r w:rsidR="00B331E0">
              <w:rPr>
                <w:sz w:val="20"/>
                <w:szCs w:val="20"/>
              </w:rPr>
              <w:t xml:space="preserve">nebezpečná napodobenina </w:t>
            </w:r>
            <w:r w:rsidR="00B331E0" w:rsidRPr="0071291D">
              <w:rPr>
                <w:sz w:val="20"/>
                <w:szCs w:val="20"/>
              </w:rPr>
              <w:t>výrobk</w:t>
            </w:r>
            <w:r w:rsidR="00B331E0">
              <w:rPr>
                <w:sz w:val="20"/>
                <w:szCs w:val="20"/>
              </w:rPr>
              <w:t>u</w:t>
            </w:r>
            <w:r w:rsidR="00B331E0" w:rsidRPr="0071291D">
              <w:rPr>
                <w:sz w:val="20"/>
                <w:szCs w:val="20"/>
              </w:rPr>
              <w:t>, ktor</w:t>
            </w:r>
            <w:r w:rsidR="00B331E0">
              <w:rPr>
                <w:sz w:val="20"/>
                <w:szCs w:val="20"/>
              </w:rPr>
              <w:t>á</w:t>
            </w:r>
            <w:r w:rsidR="00B331E0" w:rsidRPr="0071291D">
              <w:rPr>
                <w:sz w:val="20"/>
                <w:szCs w:val="20"/>
              </w:rPr>
              <w:t xml:space="preserve"> svojím tvarom, vôňou, farbou, vzhľadom, balením, označením, objemom alebo veľkosťou môže u spotrebiteľa, najmä u dieťaťa, vyvolať riziko zámeny s potravinou a ohroziť tak jeho život alebo zdravie.</w:t>
            </w:r>
          </w:p>
          <w:p w14:paraId="08BE8672" w14:textId="77777777" w:rsidR="00B331E0" w:rsidRDefault="00B331E0" w:rsidP="00BD1D3C">
            <w:pPr>
              <w:pStyle w:val="tlVavo125cmOpakovanzarka066cm"/>
              <w:keepNext/>
              <w:keepLines/>
              <w:ind w:left="0" w:firstLine="0"/>
              <w:jc w:val="both"/>
              <w:rPr>
                <w:sz w:val="20"/>
                <w:szCs w:val="20"/>
              </w:rPr>
            </w:pPr>
          </w:p>
          <w:p w14:paraId="10386BCE" w14:textId="77777777" w:rsidR="00B331E0" w:rsidRDefault="00B331E0" w:rsidP="00BD1D3C">
            <w:pPr>
              <w:pStyle w:val="tlVavo125cmOpakovanzarka066cm"/>
              <w:keepNext/>
              <w:keepLines/>
              <w:ind w:left="0" w:firstLine="0"/>
              <w:jc w:val="both"/>
              <w:rPr>
                <w:sz w:val="20"/>
                <w:szCs w:val="20"/>
              </w:rPr>
            </w:pPr>
          </w:p>
          <w:p w14:paraId="5F8C6DA3" w14:textId="77777777" w:rsidR="00B331E0" w:rsidRDefault="00B331E0" w:rsidP="00BD1D3C">
            <w:pPr>
              <w:pStyle w:val="tlVavo125cmOpakovanzarka066cm"/>
              <w:keepNext/>
              <w:keepLines/>
              <w:ind w:left="0" w:firstLine="0"/>
              <w:jc w:val="both"/>
              <w:rPr>
                <w:sz w:val="20"/>
                <w:szCs w:val="20"/>
              </w:rPr>
            </w:pPr>
          </w:p>
          <w:p w14:paraId="29570213" w14:textId="77777777" w:rsidR="00B331E0" w:rsidRPr="0062499B" w:rsidRDefault="00B331E0" w:rsidP="00BD1D3C">
            <w:pPr>
              <w:pStyle w:val="tlVavo125cmOpakovanzarka066cm"/>
              <w:keepNext/>
              <w:keepLines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7500C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Ú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69839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B331E0" w:rsidRPr="00FB1F53" w14:paraId="52CDDFCE" w14:textId="77777777" w:rsidTr="00BD1D3C">
        <w:trPr>
          <w:gridAfter w:val="1"/>
          <w:wAfter w:w="5" w:type="pct"/>
          <w:trHeight w:val="7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CDCD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104B5">
              <w:rPr>
                <w:sz w:val="20"/>
                <w:szCs w:val="20"/>
              </w:rPr>
              <w:lastRenderedPageBreak/>
              <w:t>Č</w:t>
            </w:r>
            <w:r>
              <w:rPr>
                <w:sz w:val="20"/>
                <w:szCs w:val="20"/>
              </w:rPr>
              <w:t>.</w:t>
            </w:r>
            <w:r w:rsidRPr="00F104B5">
              <w:rPr>
                <w:sz w:val="20"/>
                <w:szCs w:val="20"/>
              </w:rPr>
              <w:t xml:space="preserve"> 2</w:t>
            </w:r>
          </w:p>
          <w:p w14:paraId="2C38113C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9E3AA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 xml:space="preserve">Členské štáty musia podniknúť všetky potrebné </w:t>
            </w:r>
            <w:proofErr w:type="spellStart"/>
            <w:r w:rsidRPr="00BF5969">
              <w:rPr>
                <w:rFonts w:eastAsiaTheme="minorHAnsi"/>
                <w:sz w:val="20"/>
                <w:szCs w:val="20"/>
                <w:lang w:eastAsia="en-US"/>
              </w:rPr>
              <w:t>optrenia</w:t>
            </w:r>
            <w:proofErr w:type="spellEnd"/>
            <w:r w:rsidRPr="00BF5969">
              <w:rPr>
                <w:rFonts w:eastAsiaTheme="minorHAnsi"/>
                <w:sz w:val="20"/>
                <w:szCs w:val="20"/>
                <w:lang w:eastAsia="en-US"/>
              </w:rPr>
              <w:t>, aby</w:t>
            </w:r>
          </w:p>
          <w:p w14:paraId="769FEBC9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zakázali uvádzanie na trh, dovoz a výrobu aj vývoz výrobkov</w:t>
            </w:r>
          </w:p>
          <w:p w14:paraId="7025881C" w14:textId="77777777" w:rsidR="00B331E0" w:rsidRPr="00F104B5" w:rsidRDefault="00B331E0" w:rsidP="00BD1D3C">
            <w:pPr>
              <w:pStyle w:val="Normlnywebov"/>
              <w:keepNext/>
              <w:keepLine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uvedených v tejto smernici.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39161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104B5">
              <w:rPr>
                <w:sz w:val="20"/>
                <w:szCs w:val="20"/>
              </w:rPr>
              <w:t>N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D3624" w14:textId="77777777" w:rsidR="00B331E0" w:rsidRPr="00F104B5" w:rsidRDefault="00B331E0" w:rsidP="00BD1D3C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104B5">
              <w:rPr>
                <w:b/>
                <w:sz w:val="20"/>
                <w:szCs w:val="20"/>
              </w:rPr>
              <w:t xml:space="preserve">NZ 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2DF51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4</w:t>
            </w:r>
          </w:p>
          <w:p w14:paraId="5CDDF0E7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14:paraId="496FBCE3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5EAE2AAD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5</w:t>
            </w:r>
          </w:p>
          <w:p w14:paraId="5AA8235C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14:paraId="7F616B91" w14:textId="77777777" w:rsidR="00B331E0" w:rsidRPr="00F104B5" w:rsidRDefault="00B331E0" w:rsidP="00BD1D3C">
            <w:pPr>
              <w:keepNext/>
              <w:keepLines/>
              <w:rPr>
                <w:sz w:val="20"/>
                <w:szCs w:val="20"/>
              </w:rPr>
            </w:pPr>
          </w:p>
          <w:p w14:paraId="57689023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6568B486" w14:textId="0BF66BFB" w:rsidR="00B331E0" w:rsidRDefault="00B331E0" w:rsidP="00C3736C">
            <w:pPr>
              <w:keepNext/>
              <w:keepLines/>
              <w:rPr>
                <w:sz w:val="20"/>
                <w:szCs w:val="20"/>
              </w:rPr>
            </w:pPr>
          </w:p>
          <w:p w14:paraId="7CE2689F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</w:t>
            </w:r>
          </w:p>
          <w:p w14:paraId="14D483D7" w14:textId="77777777" w:rsidR="00B331E0" w:rsidRPr="00F104B5" w:rsidRDefault="007D5433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8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28E1F" w14:textId="20E9FE7F" w:rsidR="00B331E0" w:rsidRDefault="00EE1CC9" w:rsidP="00EE1CC9">
            <w:pPr>
              <w:pStyle w:val="tlVavo125cmOpakovanzarka066cm"/>
              <w:keepNext/>
              <w:keepLines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 w:rsidR="00C3736C" w:rsidRPr="00C3736C">
              <w:rPr>
                <w:sz w:val="20"/>
                <w:szCs w:val="20"/>
              </w:rPr>
              <w:t>Výrobca, splnomocnen</w:t>
            </w:r>
            <w:r>
              <w:rPr>
                <w:sz w:val="20"/>
                <w:szCs w:val="20"/>
              </w:rPr>
              <w:t xml:space="preserve">ý zástupca a dovozca je povinný </w:t>
            </w:r>
            <w:r w:rsidR="00C3736C" w:rsidRPr="00C3736C">
              <w:rPr>
                <w:sz w:val="20"/>
                <w:szCs w:val="20"/>
              </w:rPr>
              <w:t>uvádzať na trh len bezpečné výrobky.</w:t>
            </w:r>
          </w:p>
          <w:p w14:paraId="23A30BE3" w14:textId="77777777" w:rsidR="00B331E0" w:rsidRDefault="00B331E0" w:rsidP="00BD1D3C">
            <w:pPr>
              <w:pStyle w:val="tlVavo125cmOpakovanzarka066cm"/>
              <w:keepNext/>
              <w:keepLines/>
              <w:ind w:left="311" w:hanging="283"/>
              <w:jc w:val="both"/>
              <w:rPr>
                <w:sz w:val="20"/>
                <w:szCs w:val="20"/>
              </w:rPr>
            </w:pPr>
          </w:p>
          <w:p w14:paraId="7C056FBC" w14:textId="1711B8E3" w:rsidR="00B331E0" w:rsidRPr="0071291D" w:rsidRDefault="00B331E0" w:rsidP="00BD1D3C">
            <w:pPr>
              <w:pStyle w:val="tlVavo125cmOpakovanzarka066cm"/>
              <w:keepNext/>
              <w:keepLines/>
              <w:ind w:left="311" w:hanging="283"/>
              <w:jc w:val="both"/>
              <w:rPr>
                <w:sz w:val="20"/>
                <w:szCs w:val="20"/>
              </w:rPr>
            </w:pPr>
            <w:r w:rsidRPr="0071291D">
              <w:rPr>
                <w:sz w:val="20"/>
                <w:szCs w:val="20"/>
              </w:rPr>
              <w:t>(1)</w:t>
            </w:r>
            <w:r w:rsidRPr="0071291D">
              <w:rPr>
                <w:sz w:val="20"/>
                <w:szCs w:val="20"/>
              </w:rPr>
              <w:tab/>
              <w:t>Distrib</w:t>
            </w:r>
            <w:r>
              <w:rPr>
                <w:sz w:val="20"/>
                <w:szCs w:val="20"/>
              </w:rPr>
              <w:t>útor</w:t>
            </w:r>
            <w:r w:rsidRPr="0071291D">
              <w:rPr>
                <w:sz w:val="20"/>
                <w:szCs w:val="20"/>
              </w:rPr>
              <w:t xml:space="preserve"> nesmie sprístupňovať na trhu výrobky, </w:t>
            </w:r>
            <w:r w:rsidR="00C3736C">
              <w:rPr>
                <w:sz w:val="20"/>
                <w:szCs w:val="20"/>
              </w:rPr>
              <w:t>ktoré</w:t>
            </w:r>
          </w:p>
          <w:p w14:paraId="7D35A5F7" w14:textId="03E05F2A" w:rsidR="00C3736C" w:rsidRPr="00C3736C" w:rsidRDefault="00C3736C" w:rsidP="00C3736C">
            <w:pPr>
              <w:pStyle w:val="tlVavo125cmOpakovanzarka066cm"/>
              <w:keepNext/>
              <w:keepLines/>
              <w:ind w:left="396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</w:t>
            </w:r>
            <w:r w:rsidRPr="00C3736C">
              <w:rPr>
                <w:sz w:val="20"/>
                <w:szCs w:val="20"/>
              </w:rPr>
              <w:t xml:space="preserve">nespĺňajú požiadavky na bezpečnosť alebo </w:t>
            </w:r>
          </w:p>
          <w:p w14:paraId="47625087" w14:textId="0E2CEBA5" w:rsidR="00B331E0" w:rsidRDefault="00C3736C" w:rsidP="00C3736C">
            <w:pPr>
              <w:pStyle w:val="tlVavo125cmOpakovanzarka066cm"/>
              <w:keepNext/>
              <w:keepLines/>
              <w:ind w:left="396" w:hanging="283"/>
              <w:jc w:val="both"/>
              <w:rPr>
                <w:sz w:val="20"/>
                <w:szCs w:val="20"/>
              </w:rPr>
            </w:pPr>
            <w:r w:rsidRPr="00C3736C">
              <w:rPr>
                <w:sz w:val="20"/>
                <w:szCs w:val="20"/>
              </w:rPr>
              <w:t>b)</w:t>
            </w:r>
            <w:r w:rsidRPr="00C3736C">
              <w:rPr>
                <w:sz w:val="20"/>
                <w:szCs w:val="20"/>
              </w:rPr>
              <w:tab/>
              <w:t>neobsahujú označenie alebo sprievodnú dokumentáciu podľa § 4 ods. 2.</w:t>
            </w:r>
          </w:p>
          <w:p w14:paraId="2ABC870E" w14:textId="77777777" w:rsidR="00C3736C" w:rsidRDefault="00C3736C" w:rsidP="00BD1D3C">
            <w:pPr>
              <w:pStyle w:val="tlVavo125cmOpakovanzarka066cm"/>
              <w:keepNext/>
              <w:keepLines/>
              <w:ind w:left="0" w:firstLine="28"/>
              <w:jc w:val="both"/>
              <w:rPr>
                <w:sz w:val="20"/>
                <w:szCs w:val="20"/>
              </w:rPr>
            </w:pPr>
          </w:p>
          <w:p w14:paraId="21B82E8D" w14:textId="6865F6DE" w:rsidR="00B331E0" w:rsidRDefault="007D5433" w:rsidP="00BD1D3C">
            <w:pPr>
              <w:pStyle w:val="tlVavo125cmOpakovanzarka066cm"/>
              <w:keepNext/>
              <w:keepLines/>
              <w:ind w:left="0" w:firstLine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</w:t>
            </w:r>
            <w:r w:rsidR="00B331E0">
              <w:rPr>
                <w:sz w:val="20"/>
                <w:szCs w:val="20"/>
              </w:rPr>
              <w:t xml:space="preserve">) </w:t>
            </w:r>
            <w:r w:rsidR="00B331E0" w:rsidRPr="0071291D">
              <w:rPr>
                <w:sz w:val="20"/>
                <w:szCs w:val="20"/>
              </w:rPr>
              <w:t xml:space="preserve">Nebezpečný výrobok je výrobok, ktorý nespĺňa požiadavky podľa odseku 1. Za nebezpečný výrobok sa považuje aj </w:t>
            </w:r>
            <w:r w:rsidR="00B331E0">
              <w:rPr>
                <w:sz w:val="20"/>
                <w:szCs w:val="20"/>
              </w:rPr>
              <w:t xml:space="preserve">nebezpečná napodobenina </w:t>
            </w:r>
            <w:r w:rsidR="00B331E0" w:rsidRPr="0071291D">
              <w:rPr>
                <w:sz w:val="20"/>
                <w:szCs w:val="20"/>
              </w:rPr>
              <w:t>výrobk</w:t>
            </w:r>
            <w:r w:rsidR="00B331E0">
              <w:rPr>
                <w:sz w:val="20"/>
                <w:szCs w:val="20"/>
              </w:rPr>
              <w:t>u</w:t>
            </w:r>
            <w:r w:rsidR="00B331E0" w:rsidRPr="0071291D">
              <w:rPr>
                <w:sz w:val="20"/>
                <w:szCs w:val="20"/>
              </w:rPr>
              <w:t>, ktor</w:t>
            </w:r>
            <w:r w:rsidR="00B331E0">
              <w:rPr>
                <w:sz w:val="20"/>
                <w:szCs w:val="20"/>
              </w:rPr>
              <w:t>á</w:t>
            </w:r>
            <w:r w:rsidR="00B331E0" w:rsidRPr="0071291D">
              <w:rPr>
                <w:sz w:val="20"/>
                <w:szCs w:val="20"/>
              </w:rPr>
              <w:t xml:space="preserve"> svojím tvarom, vôňou, farbou, vzhľadom, balením, označením, objemom alebo veľkosťou môže u spotrebiteľa, najmä u dieťaťa, vyvolať riziko zámeny s potravinou a ohroziť tak jeho život alebo zdravie.</w:t>
            </w:r>
          </w:p>
          <w:p w14:paraId="31DE9317" w14:textId="77777777" w:rsidR="00B331E0" w:rsidRPr="00FB1F53" w:rsidRDefault="00B331E0" w:rsidP="00BD1D3C">
            <w:pPr>
              <w:pStyle w:val="tlVavo125cmOpakovanzarka066cm"/>
              <w:keepNext/>
              <w:keepLines/>
              <w:ind w:left="311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DB837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Ú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0EE2D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B331E0" w:rsidRPr="00FB1F53" w14:paraId="7F4DB771" w14:textId="77777777" w:rsidTr="00BD1D3C">
        <w:trPr>
          <w:gridAfter w:val="1"/>
          <w:wAfter w:w="5" w:type="pct"/>
          <w:trHeight w:val="7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C92A" w14:textId="77777777" w:rsidR="00B331E0" w:rsidRPr="00F104B5" w:rsidRDefault="00B331E0" w:rsidP="00BD1D3C">
            <w:pPr>
              <w:jc w:val="center"/>
              <w:rPr>
                <w:sz w:val="20"/>
                <w:szCs w:val="20"/>
              </w:rPr>
            </w:pPr>
            <w:r w:rsidRPr="00F104B5">
              <w:rPr>
                <w:sz w:val="20"/>
                <w:szCs w:val="20"/>
              </w:rPr>
              <w:lastRenderedPageBreak/>
              <w:t xml:space="preserve">Č.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52D3E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Členské štáty musia najmä zabezpečiť, aby sa vykonávala</w:t>
            </w:r>
          </w:p>
          <w:p w14:paraId="6AC58D52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kontrola výrobkov na trhu s cieľom zaistiť, aby sa žiadne</w:t>
            </w:r>
          </w:p>
          <w:p w14:paraId="37CB6EE9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výrobky, na ktoré sa vzťahuje táto smernica, neuvádzali na trh</w:t>
            </w:r>
          </w:p>
          <w:p w14:paraId="126ABEAF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a prijmú všetky potrebné opatrenia, aby príslušné orgány</w:t>
            </w:r>
          </w:p>
          <w:p w14:paraId="2421F17A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týchto štátov stiahli alebo prinútili stiahnuť zo svojho trhu</w:t>
            </w:r>
          </w:p>
          <w:p w14:paraId="4539AE1C" w14:textId="5095DC8D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 xml:space="preserve">výrobok, na ktorý sa vzťahuje táto </w:t>
            </w:r>
            <w:r w:rsidR="004C3620">
              <w:rPr>
                <w:rFonts w:eastAsiaTheme="minorHAnsi"/>
                <w:sz w:val="20"/>
                <w:szCs w:val="20"/>
                <w:lang w:eastAsia="en-US"/>
              </w:rPr>
              <w:t>s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mernica.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94B60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D8E99" w14:textId="77777777" w:rsidR="00B331E0" w:rsidRPr="00F104B5" w:rsidRDefault="00B331E0" w:rsidP="00BD1D3C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NZ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44C90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8</w:t>
            </w:r>
          </w:p>
          <w:p w14:paraId="4EBA0701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14:paraId="51AB9145" w14:textId="77777777" w:rsidR="00B65686" w:rsidRDefault="00B65686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3DF0F116" w14:textId="77777777" w:rsidR="00B65686" w:rsidRDefault="00B65686" w:rsidP="00B6568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5F5DBDD8" w14:textId="77777777" w:rsidR="00B65686" w:rsidRDefault="00B65686" w:rsidP="00B6568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14:paraId="2A48F40B" w14:textId="77777777" w:rsidR="00B65686" w:rsidRDefault="00B65686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4BC7050A" w14:textId="77777777" w:rsidR="00B65686" w:rsidRDefault="00B65686" w:rsidP="00B6568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2D192F92" w14:textId="77777777" w:rsidR="00B65686" w:rsidRDefault="00B65686" w:rsidP="00B6568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3A42ACD6" w14:textId="77777777" w:rsidR="00B65686" w:rsidRDefault="00B65686" w:rsidP="00B6568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2AED5B72" w14:textId="77777777" w:rsidR="00B65686" w:rsidRDefault="00B65686" w:rsidP="00B6568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</w:t>
            </w:r>
          </w:p>
          <w:p w14:paraId="6ED9E5C0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384FDF93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6B40E8BC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342D6870" w14:textId="77777777" w:rsidR="00B65686" w:rsidRDefault="00B65686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4D0C5925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9</w:t>
            </w:r>
          </w:p>
          <w:p w14:paraId="6DC4ACB7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14:paraId="2D22E53D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2EC11945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40F34A2D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50717F95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2D384BCD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63C0B4B0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72E0AD22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9</w:t>
            </w:r>
          </w:p>
          <w:p w14:paraId="305EF274" w14:textId="3BAE5C6D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O: </w:t>
            </w:r>
            <w:r w:rsidR="00645185">
              <w:rPr>
                <w:sz w:val="20"/>
                <w:szCs w:val="20"/>
              </w:rPr>
              <w:t>5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824C8" w14:textId="77777777" w:rsidR="009662BA" w:rsidRDefault="009662BA" w:rsidP="009662BA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B65686">
              <w:rPr>
                <w:sz w:val="20"/>
                <w:szCs w:val="20"/>
              </w:rPr>
              <w:t>Dohľad nad dodržiavaním povinností podľa tohto zákona vykonáva Slovenská obchodná inšpekcia,</w:t>
            </w:r>
            <w:r w:rsidRPr="00B65686">
              <w:rPr>
                <w:sz w:val="20"/>
                <w:szCs w:val="20"/>
                <w:vertAlign w:val="superscript"/>
              </w:rPr>
              <w:t>10</w:t>
            </w:r>
            <w:r w:rsidRPr="00B65686">
              <w:rPr>
                <w:sz w:val="20"/>
                <w:szCs w:val="20"/>
              </w:rPr>
              <w:t>) ak odsek 2 neustanovuje inak.</w:t>
            </w:r>
          </w:p>
          <w:p w14:paraId="12F7E1ED" w14:textId="77777777" w:rsidR="009662BA" w:rsidRPr="00B65686" w:rsidRDefault="009662BA" w:rsidP="009662BA">
            <w:pPr>
              <w:spacing w:line="259" w:lineRule="auto"/>
              <w:ind w:left="567"/>
              <w:jc w:val="both"/>
              <w:rPr>
                <w:sz w:val="20"/>
                <w:szCs w:val="20"/>
              </w:rPr>
            </w:pPr>
          </w:p>
          <w:p w14:paraId="4AA30FB2" w14:textId="77777777" w:rsidR="009662BA" w:rsidRDefault="009662BA" w:rsidP="009662BA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Pr="00B65686">
              <w:rPr>
                <w:sz w:val="20"/>
                <w:szCs w:val="20"/>
              </w:rPr>
              <w:t>Pri</w:t>
            </w:r>
            <w:r w:rsidR="006402BC">
              <w:rPr>
                <w:sz w:val="20"/>
                <w:szCs w:val="20"/>
              </w:rPr>
              <w:t xml:space="preserve"> posudzovaní bezpečnosti</w:t>
            </w:r>
            <w:r w:rsidRPr="00B65686">
              <w:rPr>
                <w:sz w:val="20"/>
                <w:szCs w:val="20"/>
              </w:rPr>
              <w:t xml:space="preserve"> výrobku podľa § 3 ods. 2 a 3 vykonáva dohľad nad dodržiavaním povinností podľa tohto zákona orgán dohľadu nad určeným výrobkom.</w:t>
            </w:r>
            <w:r>
              <w:rPr>
                <w:sz w:val="20"/>
                <w:szCs w:val="20"/>
                <w:vertAlign w:val="superscript"/>
              </w:rPr>
              <w:t>11</w:t>
            </w:r>
            <w:r w:rsidRPr="00B65686">
              <w:rPr>
                <w:sz w:val="20"/>
                <w:szCs w:val="20"/>
              </w:rPr>
              <w:t>)</w:t>
            </w:r>
          </w:p>
          <w:p w14:paraId="6C9E0E41" w14:textId="77777777" w:rsidR="009662BA" w:rsidRPr="00B65686" w:rsidRDefault="009662BA" w:rsidP="009662B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  <w:p w14:paraId="6062DE75" w14:textId="77777777" w:rsidR="007B22B7" w:rsidRDefault="009662BA" w:rsidP="007B22B7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  <w:r w:rsidR="00EE1CC9">
              <w:rPr>
                <w:sz w:val="20"/>
                <w:szCs w:val="20"/>
              </w:rPr>
              <w:t xml:space="preserve"> </w:t>
            </w:r>
            <w:r w:rsidRPr="00B65686">
              <w:rPr>
                <w:sz w:val="20"/>
                <w:szCs w:val="20"/>
              </w:rPr>
              <w:t>Orgán dohľadu postupuje pri výkone dohľadu nad všeobecnou bezpečnosťou výrobkov podľa tohto zákona</w:t>
            </w:r>
            <w:r>
              <w:rPr>
                <w:sz w:val="20"/>
                <w:szCs w:val="20"/>
              </w:rPr>
              <w:t xml:space="preserve"> </w:t>
            </w:r>
            <w:r w:rsidRPr="00B65686">
              <w:rPr>
                <w:sz w:val="20"/>
                <w:szCs w:val="20"/>
              </w:rPr>
              <w:t>a osobitného predpis</w:t>
            </w:r>
            <w:r w:rsidR="00A24F9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B65686">
              <w:rPr>
                <w:sz w:val="20"/>
                <w:szCs w:val="20"/>
                <w:vertAlign w:val="superscript"/>
              </w:rPr>
              <w:t>2</w:t>
            </w:r>
            <w:r w:rsidRPr="00B65686">
              <w:rPr>
                <w:sz w:val="20"/>
                <w:szCs w:val="20"/>
              </w:rPr>
              <w:t>) a spolupracuje s ostatným</w:t>
            </w:r>
            <w:r w:rsidR="00A24F9E">
              <w:rPr>
                <w:sz w:val="20"/>
                <w:szCs w:val="20"/>
              </w:rPr>
              <w:t>i</w:t>
            </w:r>
            <w:r w:rsidRPr="00B65686">
              <w:rPr>
                <w:sz w:val="20"/>
                <w:szCs w:val="20"/>
              </w:rPr>
              <w:t xml:space="preserve"> orgánmi dohľadu.</w:t>
            </w:r>
          </w:p>
          <w:p w14:paraId="50BB7017" w14:textId="77777777" w:rsidR="007B22B7" w:rsidRDefault="007B22B7" w:rsidP="007B22B7">
            <w:pPr>
              <w:spacing w:line="259" w:lineRule="auto"/>
              <w:jc w:val="both"/>
              <w:rPr>
                <w:sz w:val="20"/>
                <w:szCs w:val="20"/>
              </w:rPr>
            </w:pPr>
          </w:p>
          <w:p w14:paraId="27B89907" w14:textId="77777777" w:rsidR="007B22B7" w:rsidRDefault="00B331E0" w:rsidP="007B22B7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71291D">
              <w:rPr>
                <w:sz w:val="20"/>
                <w:szCs w:val="20"/>
              </w:rPr>
              <w:t xml:space="preserve">Orgán dohľadu je oprávnený </w:t>
            </w:r>
            <w:r>
              <w:rPr>
                <w:sz w:val="20"/>
                <w:szCs w:val="20"/>
              </w:rPr>
              <w:t>pri výkone dohľadu nad bezpečnosťou výrobkov</w:t>
            </w:r>
          </w:p>
          <w:p w14:paraId="29FC317B" w14:textId="72CA36B9" w:rsidR="007B22B7" w:rsidRDefault="00B331E0" w:rsidP="007B22B7">
            <w:pPr>
              <w:spacing w:line="259" w:lineRule="auto"/>
              <w:ind w:left="381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1291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71291D">
              <w:rPr>
                <w:sz w:val="20"/>
                <w:szCs w:val="20"/>
              </w:rPr>
              <w:t xml:space="preserve">vyžadovať od hospodárskych subjektov všetky informácie potrebné na posúdenie bezpečnosti výrobku a splnenie povinností podľa </w:t>
            </w:r>
            <w:r w:rsidR="00AC2998" w:rsidRPr="00AC2998">
              <w:rPr>
                <w:sz w:val="20"/>
                <w:szCs w:val="20"/>
              </w:rPr>
              <w:t>§ 4 až 6</w:t>
            </w:r>
            <w:r w:rsidRPr="0071291D">
              <w:rPr>
                <w:sz w:val="20"/>
                <w:szCs w:val="20"/>
              </w:rPr>
              <w:t>,</w:t>
            </w:r>
          </w:p>
          <w:p w14:paraId="69E0E1D2" w14:textId="77777777" w:rsidR="007B22B7" w:rsidRDefault="00B331E0" w:rsidP="007B22B7">
            <w:pPr>
              <w:spacing w:line="259" w:lineRule="auto"/>
              <w:ind w:left="381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="00A24F9E">
              <w:rPr>
                <w:sz w:val="20"/>
                <w:szCs w:val="20"/>
              </w:rPr>
              <w:t>odobrať vzorky</w:t>
            </w:r>
            <w:r w:rsidRPr="0071291D">
              <w:rPr>
                <w:sz w:val="20"/>
                <w:szCs w:val="20"/>
              </w:rPr>
              <w:t xml:space="preserve"> výrobk</w:t>
            </w:r>
            <w:r w:rsidR="00A24F9E">
              <w:rPr>
                <w:sz w:val="20"/>
                <w:szCs w:val="20"/>
              </w:rPr>
              <w:t>ov</w:t>
            </w:r>
            <w:r>
              <w:rPr>
                <w:sz w:val="20"/>
                <w:szCs w:val="20"/>
              </w:rPr>
              <w:t>,</w:t>
            </w:r>
          </w:p>
          <w:p w14:paraId="263CB098" w14:textId="77777777" w:rsidR="007B22B7" w:rsidRDefault="00B331E0" w:rsidP="007B22B7">
            <w:pPr>
              <w:spacing w:line="259" w:lineRule="auto"/>
              <w:ind w:left="381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  <w:r w:rsidRPr="0071291D">
              <w:rPr>
                <w:sz w:val="20"/>
                <w:szCs w:val="20"/>
              </w:rPr>
              <w:t xml:space="preserve"> zabezpečiť skúšky na overenie bezpečnosti výrobkov.</w:t>
            </w:r>
          </w:p>
          <w:p w14:paraId="6A552D85" w14:textId="518DBEA6" w:rsidR="007B22B7" w:rsidRDefault="007B22B7" w:rsidP="007B22B7">
            <w:pPr>
              <w:spacing w:line="259" w:lineRule="auto"/>
              <w:ind w:left="381" w:hanging="284"/>
              <w:jc w:val="both"/>
              <w:rPr>
                <w:sz w:val="20"/>
                <w:szCs w:val="20"/>
              </w:rPr>
            </w:pPr>
          </w:p>
          <w:p w14:paraId="25C6E1AD" w14:textId="1B50B969" w:rsidR="004B1308" w:rsidRPr="004B1308" w:rsidRDefault="004B1308" w:rsidP="004B1308">
            <w:pPr>
              <w:spacing w:line="259" w:lineRule="auto"/>
              <w:ind w:left="381" w:hanging="284"/>
              <w:jc w:val="both"/>
              <w:rPr>
                <w:sz w:val="20"/>
                <w:szCs w:val="20"/>
              </w:rPr>
            </w:pPr>
            <w:r w:rsidRPr="004B1308">
              <w:rPr>
                <w:sz w:val="20"/>
                <w:szCs w:val="20"/>
              </w:rPr>
              <w:t>(5) Orgán dohľadu je oprávnený uložiť opatrenie, na vykonanie tohto opatrenia určiť primeranú lehotu na jeho splnenie a podanie správy o jeho splnení, ktorým</w:t>
            </w:r>
          </w:p>
          <w:p w14:paraId="59CC64BD" w14:textId="77777777" w:rsidR="004B1308" w:rsidRPr="004B1308" w:rsidRDefault="004B1308" w:rsidP="004B1308">
            <w:pPr>
              <w:spacing w:line="259" w:lineRule="auto"/>
              <w:ind w:left="381" w:hanging="284"/>
              <w:jc w:val="both"/>
              <w:rPr>
                <w:sz w:val="20"/>
                <w:szCs w:val="20"/>
              </w:rPr>
            </w:pPr>
            <w:r w:rsidRPr="004B1308">
              <w:rPr>
                <w:sz w:val="20"/>
                <w:szCs w:val="20"/>
              </w:rPr>
              <w:t>a)</w:t>
            </w:r>
            <w:r w:rsidRPr="004B1308">
              <w:rPr>
                <w:sz w:val="20"/>
                <w:szCs w:val="20"/>
              </w:rPr>
              <w:tab/>
              <w:t>zakáže do vykonania nápravy uvádzanie výrobku na trh alebo sprístupňovanie výrobku na trhu, ak zistí, že výrobok nespĺňa požiadavky podľa § 3 až 6,</w:t>
            </w:r>
          </w:p>
          <w:p w14:paraId="11419E06" w14:textId="77777777" w:rsidR="004B1308" w:rsidRPr="004B1308" w:rsidRDefault="004B1308" w:rsidP="004B1308">
            <w:pPr>
              <w:spacing w:line="259" w:lineRule="auto"/>
              <w:ind w:left="381" w:hanging="284"/>
              <w:jc w:val="both"/>
              <w:rPr>
                <w:sz w:val="20"/>
                <w:szCs w:val="20"/>
              </w:rPr>
            </w:pPr>
            <w:r w:rsidRPr="004B1308">
              <w:rPr>
                <w:sz w:val="20"/>
                <w:szCs w:val="20"/>
              </w:rPr>
              <w:t>b)</w:t>
            </w:r>
            <w:r w:rsidRPr="004B1308">
              <w:rPr>
                <w:sz w:val="20"/>
                <w:szCs w:val="20"/>
              </w:rPr>
              <w:tab/>
              <w:t>nariadi stiahnutie výrobku z trhu, ak zistí, že výrobok nespĺňa požiadavky podľa § 3 až 6,</w:t>
            </w:r>
          </w:p>
          <w:p w14:paraId="1D580D38" w14:textId="77777777" w:rsidR="004B1308" w:rsidRPr="004B1308" w:rsidRDefault="004B1308" w:rsidP="004B1308">
            <w:pPr>
              <w:spacing w:line="259" w:lineRule="auto"/>
              <w:ind w:left="381" w:hanging="284"/>
              <w:jc w:val="both"/>
              <w:rPr>
                <w:sz w:val="20"/>
                <w:szCs w:val="20"/>
              </w:rPr>
            </w:pPr>
            <w:r w:rsidRPr="004B1308">
              <w:rPr>
                <w:sz w:val="20"/>
                <w:szCs w:val="20"/>
              </w:rPr>
              <w:t>c)</w:t>
            </w:r>
            <w:r w:rsidRPr="004B1308">
              <w:rPr>
                <w:sz w:val="20"/>
                <w:szCs w:val="20"/>
              </w:rPr>
              <w:tab/>
              <w:t>nariadi spätné prevzatie výrobku, ak zistí, že výrobok nespĺňa požiadavky na bezpečnosť podľa § 3,</w:t>
            </w:r>
          </w:p>
          <w:p w14:paraId="55FFEA4B" w14:textId="77777777" w:rsidR="004B1308" w:rsidRPr="004B1308" w:rsidRDefault="004B1308" w:rsidP="004B1308">
            <w:pPr>
              <w:spacing w:line="259" w:lineRule="auto"/>
              <w:ind w:left="381" w:hanging="284"/>
              <w:jc w:val="both"/>
              <w:rPr>
                <w:sz w:val="20"/>
                <w:szCs w:val="20"/>
              </w:rPr>
            </w:pPr>
            <w:r w:rsidRPr="004B1308">
              <w:rPr>
                <w:sz w:val="20"/>
                <w:szCs w:val="20"/>
              </w:rPr>
              <w:t>d)</w:t>
            </w:r>
            <w:r w:rsidRPr="004B1308">
              <w:rPr>
                <w:sz w:val="20"/>
                <w:szCs w:val="20"/>
              </w:rPr>
              <w:tab/>
              <w:t>uloží povinnosť hospodárskemu subjektu na svoje náklady účinným spôsobom informovať o nebezpečnom výrobku a o rizikách spotrebiteľov, ktorí by mohli byť použitím výrobku vystavení takému riziku, v rozsahu oznámenia podľa § 6 ods. 2 písm. d),</w:t>
            </w:r>
          </w:p>
          <w:p w14:paraId="3B6FE96A" w14:textId="55CC2DFD" w:rsidR="00B331E0" w:rsidRPr="00FB1F53" w:rsidRDefault="004B1308" w:rsidP="004B1308">
            <w:pPr>
              <w:spacing w:line="259" w:lineRule="auto"/>
              <w:ind w:left="381" w:hanging="284"/>
              <w:jc w:val="both"/>
              <w:rPr>
                <w:sz w:val="20"/>
                <w:szCs w:val="20"/>
              </w:rPr>
            </w:pPr>
            <w:r w:rsidRPr="004B1308">
              <w:rPr>
                <w:sz w:val="20"/>
                <w:szCs w:val="20"/>
              </w:rPr>
              <w:t>e)</w:t>
            </w:r>
            <w:r w:rsidRPr="004B1308">
              <w:rPr>
                <w:sz w:val="20"/>
                <w:szCs w:val="20"/>
              </w:rPr>
              <w:tab/>
              <w:t>nariadi znehodnotenie nebezpečného výrobku.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A4FD0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4C344" w14:textId="77777777" w:rsidR="00B331E0" w:rsidRDefault="00645185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Poznámky pod čiarou k odkazom </w:t>
            </w:r>
            <w:r w:rsidRPr="007A44D8"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 xml:space="preserve">) až </w:t>
            </w:r>
            <w:r>
              <w:rPr>
                <w:sz w:val="20"/>
                <w:szCs w:val="20"/>
                <w:vertAlign w:val="superscript"/>
              </w:rPr>
              <w:t>12</w:t>
            </w:r>
            <w:r>
              <w:rPr>
                <w:sz w:val="20"/>
                <w:szCs w:val="20"/>
              </w:rPr>
              <w:t>):</w:t>
            </w:r>
          </w:p>
          <w:p w14:paraId="6FB3E656" w14:textId="77777777" w:rsidR="00645185" w:rsidRDefault="00645185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 xml:space="preserve">) </w:t>
            </w:r>
            <w:r w:rsidRPr="00645185">
              <w:rPr>
                <w:sz w:val="20"/>
                <w:szCs w:val="20"/>
              </w:rPr>
              <w:t>§ 3 zákona č. 128/2002 Z. z. o štátnej kontrole vnútorného trhu vo veciach ochrany spotrebiteľa a o zmene                            a doplnení niektorých zákonov v znení neskorších predpisov.</w:t>
            </w:r>
          </w:p>
          <w:p w14:paraId="63985AE4" w14:textId="77777777" w:rsidR="00645185" w:rsidRDefault="00645185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742E1689" w14:textId="77777777" w:rsidR="007B22B7" w:rsidRDefault="007B22B7" w:rsidP="007B22B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11</w:t>
            </w:r>
            <w:r>
              <w:rPr>
                <w:sz w:val="20"/>
                <w:szCs w:val="20"/>
              </w:rPr>
              <w:t xml:space="preserve">) </w:t>
            </w:r>
            <w:r w:rsidRPr="00645185">
              <w:rPr>
                <w:sz w:val="20"/>
                <w:szCs w:val="20"/>
              </w:rPr>
              <w:t xml:space="preserve">§ 26 zákona č. 56/2018 Z. z. v znení </w:t>
            </w:r>
            <w:r>
              <w:rPr>
                <w:sz w:val="20"/>
                <w:szCs w:val="20"/>
              </w:rPr>
              <w:t>neskorších predpisov.</w:t>
            </w:r>
          </w:p>
          <w:p w14:paraId="49900808" w14:textId="77777777" w:rsidR="00645185" w:rsidRDefault="00645185" w:rsidP="0064518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35910994" w14:textId="77777777" w:rsidR="00645185" w:rsidRPr="00645185" w:rsidRDefault="00645185" w:rsidP="00645185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12</w:t>
            </w:r>
            <w:r>
              <w:rPr>
                <w:sz w:val="20"/>
                <w:szCs w:val="20"/>
              </w:rPr>
              <w:t xml:space="preserve">) </w:t>
            </w:r>
            <w:r w:rsidRPr="00645185">
              <w:rPr>
                <w:sz w:val="20"/>
                <w:szCs w:val="20"/>
              </w:rPr>
              <w:t>Napríklad zákon č. 128/2002 Z. z. v znení neskorších predpisov.</w:t>
            </w:r>
          </w:p>
          <w:p w14:paraId="1829311C" w14:textId="77777777" w:rsidR="00645185" w:rsidRPr="00FB1F53" w:rsidRDefault="00645185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B331E0" w:rsidRPr="00FB1F53" w14:paraId="5AB5E6D2" w14:textId="77777777" w:rsidTr="00BD1D3C">
        <w:trPr>
          <w:gridAfter w:val="1"/>
          <w:wAfter w:w="5" w:type="pct"/>
          <w:trHeight w:val="7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53B3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Č. 4</w:t>
            </w:r>
          </w:p>
          <w:p w14:paraId="402ED85D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F358F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 xml:space="preserve">1. Ak členský štát prijme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sobitné opatrenia podľa článkov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2 a 3, musí o tom informovať Komisiu. Uvedie popis príslušného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výrobku a dôvody svojho rozhodnutia.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Ak sú už podrobnosti o výrobku požadované podľa rozhodnutia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84/133/EHS, ďalšie oznámenie sa podľa tejto smernice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nepožaduje.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Komisia pri najbližšej príležitosti zašle iným členským štátom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podrobné informácie.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69D9F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99B19" w14:textId="77777777" w:rsidR="00B331E0" w:rsidRPr="00F104B5" w:rsidRDefault="00B331E0" w:rsidP="00BD1D3C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NZ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01315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</w:t>
            </w:r>
          </w:p>
          <w:p w14:paraId="0328CFFE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1, 2, 4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00210" w14:textId="7AD8E032" w:rsidR="00B331E0" w:rsidRDefault="00B331E0" w:rsidP="00BD1D3C">
            <w:pPr>
              <w:pStyle w:val="tlVavo125cmOpakovanzarka066cm"/>
              <w:keepNext/>
              <w:keepLines/>
              <w:ind w:left="26" w:firstLine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 w:rsidR="004C3620" w:rsidRPr="004C3620">
              <w:rPr>
                <w:sz w:val="20"/>
                <w:szCs w:val="20"/>
              </w:rPr>
              <w:t>Ak orgán dohľadu prijme dobrovoľné opatrenie od hospodárskeho subjektu alebo uloží hospodárskemu subjektu opatrenie voči výrobku, ktorý nepredstavuje vážne riziko pre zdravie a bezpečnosť spotrebiteľa, môže oznámiť prijatie opatrenia ministerstvu</w:t>
            </w:r>
            <w:r w:rsidR="008D7481">
              <w:rPr>
                <w:sz w:val="20"/>
                <w:szCs w:val="20"/>
              </w:rPr>
              <w:t xml:space="preserve"> hospodárstva</w:t>
            </w:r>
            <w:r w:rsidR="004C3620" w:rsidRPr="004C3620">
              <w:rPr>
                <w:sz w:val="20"/>
                <w:szCs w:val="20"/>
              </w:rPr>
              <w:t xml:space="preserve"> prostredníctvom systému RAPEX.</w:t>
            </w:r>
          </w:p>
          <w:p w14:paraId="141C01E6" w14:textId="77777777" w:rsidR="00B331E0" w:rsidRDefault="00B331E0" w:rsidP="00BD1D3C">
            <w:pPr>
              <w:pStyle w:val="tlVavo125cmOpakovanzarka066cm"/>
              <w:keepNext/>
              <w:keepLines/>
              <w:ind w:left="26" w:firstLine="2"/>
              <w:jc w:val="both"/>
              <w:rPr>
                <w:sz w:val="20"/>
                <w:szCs w:val="20"/>
              </w:rPr>
            </w:pPr>
          </w:p>
          <w:p w14:paraId="1181961F" w14:textId="086C2E13" w:rsidR="00B331E0" w:rsidRDefault="00B331E0" w:rsidP="00BD1D3C">
            <w:pPr>
              <w:pStyle w:val="tlVavo125cmOpakovanzarka066cm"/>
              <w:keepNext/>
              <w:keepLines/>
              <w:ind w:left="26" w:firstLine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="004C3620" w:rsidRPr="004C3620">
              <w:rPr>
                <w:sz w:val="20"/>
                <w:szCs w:val="20"/>
              </w:rPr>
              <w:t>Ak orgán dohľadu prijme dobrovoľné opatrenie od hospodárskeho subjektu alebo uloží hospodárskemu subjektu opatrenie voči výrobku, ktorý predstavuje vážne riziko pre zdravie a bezpečnosť spotrebiteľa, musí najneskôr do desiatich dní od prijatia opatrenia, v prípade mimoriadnych situácií do troch dní od prijatia opatrenia, oznámiť ministerstvu</w:t>
            </w:r>
            <w:r w:rsidR="008D7481">
              <w:rPr>
                <w:sz w:val="20"/>
                <w:szCs w:val="20"/>
              </w:rPr>
              <w:t xml:space="preserve"> hospodárstva </w:t>
            </w:r>
            <w:r w:rsidR="004C3620" w:rsidRPr="004C3620">
              <w:rPr>
                <w:sz w:val="20"/>
                <w:szCs w:val="20"/>
              </w:rPr>
              <w:t>prijatie opatrenia prostredníctvom systému RAPEX.</w:t>
            </w:r>
          </w:p>
          <w:p w14:paraId="3368D444" w14:textId="77777777" w:rsidR="00B331E0" w:rsidRDefault="00B331E0" w:rsidP="00BD1D3C">
            <w:pPr>
              <w:pStyle w:val="tlVavo125cmOpakovanzarka066cm"/>
              <w:keepNext/>
              <w:keepLines/>
              <w:ind w:left="26" w:firstLine="2"/>
              <w:jc w:val="both"/>
              <w:rPr>
                <w:sz w:val="20"/>
                <w:szCs w:val="20"/>
              </w:rPr>
            </w:pPr>
          </w:p>
          <w:p w14:paraId="57A40699" w14:textId="30749EF8" w:rsidR="00B331E0" w:rsidRPr="00FB1F53" w:rsidRDefault="004C3620" w:rsidP="00BD1D3C">
            <w:pPr>
              <w:pStyle w:val="tlVavo125cmOpakovanzarka066cm"/>
              <w:keepNext/>
              <w:keepLines/>
              <w:ind w:left="26" w:firstLine="2"/>
              <w:jc w:val="both"/>
              <w:rPr>
                <w:sz w:val="20"/>
                <w:szCs w:val="20"/>
              </w:rPr>
            </w:pPr>
            <w:r w:rsidRPr="004C3620">
              <w:rPr>
                <w:sz w:val="20"/>
                <w:szCs w:val="20"/>
              </w:rPr>
              <w:t>(4)</w:t>
            </w:r>
            <w:r>
              <w:rPr>
                <w:sz w:val="20"/>
                <w:szCs w:val="20"/>
              </w:rPr>
              <w:t xml:space="preserve"> </w:t>
            </w:r>
            <w:r w:rsidRPr="004C3620">
              <w:rPr>
                <w:sz w:val="20"/>
                <w:szCs w:val="20"/>
              </w:rPr>
              <w:t xml:space="preserve">Ministerstvo </w:t>
            </w:r>
            <w:r w:rsidR="008D7481">
              <w:rPr>
                <w:sz w:val="20"/>
                <w:szCs w:val="20"/>
              </w:rPr>
              <w:t xml:space="preserve">hospodárstva </w:t>
            </w:r>
            <w:r w:rsidRPr="004C3620">
              <w:rPr>
                <w:sz w:val="20"/>
                <w:szCs w:val="20"/>
              </w:rPr>
              <w:t>bezodkladne zasiela hlásenia o nebezpečných výrobkoch podľa odsekov 1 a 2 Komisii prostredníctvom systému RAPEX.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E09E0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DBE9A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B331E0" w:rsidRPr="00FB1F53" w14:paraId="5D9D3021" w14:textId="77777777" w:rsidTr="00BD1D3C">
        <w:trPr>
          <w:gridAfter w:val="1"/>
          <w:wAfter w:w="5" w:type="pct"/>
          <w:trHeight w:val="7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E11" w14:textId="77777777" w:rsidR="00B331E0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4</w:t>
            </w:r>
          </w:p>
          <w:p w14:paraId="2E0DCB9B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8D372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2. Komisia alebo členský štát môžu požiadať výbor zriadený</w:t>
            </w:r>
          </w:p>
          <w:p w14:paraId="1EE4A9F6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na základe rozhodnutia 84/133/EHS, aby sa podieľal na výmene</w:t>
            </w:r>
          </w:p>
          <w:p w14:paraId="45590B46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názorov na otázky týkajúce sa uplatňovania tejto smernice.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24C28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a.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05832" w14:textId="77777777" w:rsidR="00B331E0" w:rsidRPr="00F104B5" w:rsidRDefault="00B331E0" w:rsidP="00BD1D3C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462D0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F8793" w14:textId="77777777" w:rsidR="00B331E0" w:rsidRPr="00FB1F53" w:rsidRDefault="00B331E0" w:rsidP="00BD1D3C">
            <w:pPr>
              <w:pStyle w:val="tlVavo125cmOpakovanzarka066cm"/>
              <w:keepNext/>
              <w:keepLines/>
              <w:ind w:left="311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0ED37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93684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B331E0" w:rsidRPr="00FB1F53" w14:paraId="14A786AA" w14:textId="77777777" w:rsidTr="00BD1D3C">
        <w:trPr>
          <w:gridAfter w:val="1"/>
          <w:wAfter w:w="5" w:type="pct"/>
          <w:trHeight w:val="7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B72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5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D0F1C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Dva roky po dni uvedenom v článku 6 Rada rozhodne, na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základe správy Komisie týkajúcej sa získaných skúseností, sprevádzaných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príslušnými návrhmi, o prípadnej úprave tejto smernice,</w:t>
            </w:r>
          </w:p>
          <w:p w14:paraId="6B19982F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najmä s ohľadom na rozšírenie jej pôsobnosti na nebezpečné</w:t>
            </w:r>
          </w:p>
          <w:p w14:paraId="4FF03C62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napodobneniny iné ako sú napodobneniny potravín,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a o prípadnom preskúmaní postupov stanovených v článku 4.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95870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a.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29C8C" w14:textId="77777777" w:rsidR="00B331E0" w:rsidRPr="00F104B5" w:rsidRDefault="00B331E0" w:rsidP="00BD1D3C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C9B3A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BB6FE" w14:textId="77777777" w:rsidR="00B331E0" w:rsidRPr="00FB1F53" w:rsidRDefault="00B331E0" w:rsidP="00BD1D3C">
            <w:pPr>
              <w:pStyle w:val="tlVavo125cmOpakovanzarka066cm"/>
              <w:keepNext/>
              <w:keepLines/>
              <w:ind w:left="311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80D96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DE8C4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C2C92" w:rsidRPr="00FB1F53" w14:paraId="2BCEF454" w14:textId="77777777" w:rsidTr="00BD1D3C">
        <w:trPr>
          <w:gridAfter w:val="1"/>
          <w:wAfter w:w="5" w:type="pct"/>
          <w:trHeight w:val="7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EAF7" w14:textId="77777777" w:rsidR="007C2C92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Č. 6</w:t>
            </w:r>
          </w:p>
          <w:p w14:paraId="04740350" w14:textId="77777777" w:rsidR="007C2C92" w:rsidRPr="00F104B5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FD805" w14:textId="77777777" w:rsidR="007C2C92" w:rsidRPr="00BF5969" w:rsidRDefault="007C2C92" w:rsidP="007C2C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1. Členské štáty príjmu opatrenia potrebné na dosiahnutie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súladu s touto smernicou najneskôr do 26. júna 1989. Bezodkladne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o tom informujú Komisiu.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F2E5B" w14:textId="77777777" w:rsidR="007C2C92" w:rsidRPr="00F104B5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21A52" w14:textId="77777777" w:rsidR="007C2C92" w:rsidRPr="007C2C92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</w:t>
            </w:r>
            <w:r w:rsidRPr="007C2C92">
              <w:rPr>
                <w:sz w:val="20"/>
                <w:szCs w:val="20"/>
              </w:rPr>
              <w:t xml:space="preserve"> č. 575/2001 Z. z.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89DA6" w14:textId="77777777" w:rsidR="007C2C92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35</w:t>
            </w:r>
          </w:p>
          <w:p w14:paraId="5F24BC53" w14:textId="77777777" w:rsidR="007C2C92" w:rsidRPr="00F104B5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7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99FE2" w14:textId="77777777" w:rsidR="007C2C92" w:rsidRPr="00FB1F53" w:rsidRDefault="007C2C92" w:rsidP="007C2C92">
            <w:pPr>
              <w:pStyle w:val="tlVavo125cmOpakovanzarka066cm"/>
              <w:keepNext/>
              <w:keepLines/>
              <w:ind w:left="311" w:hanging="283"/>
              <w:jc w:val="both"/>
              <w:rPr>
                <w:sz w:val="20"/>
                <w:szCs w:val="20"/>
              </w:rPr>
            </w:pPr>
            <w:r w:rsidRPr="007C2C92">
              <w:rPr>
                <w:sz w:val="20"/>
                <w:szCs w:val="20"/>
              </w:rPr>
              <w:t>(7) Ministerstvá a ostatné ústredné orgán</w:t>
            </w:r>
            <w:r>
              <w:rPr>
                <w:sz w:val="20"/>
                <w:szCs w:val="20"/>
              </w:rPr>
              <w:t xml:space="preserve">y štátnej správy v </w:t>
            </w:r>
            <w:r w:rsidRPr="007C2C92">
              <w:rPr>
                <w:sz w:val="20"/>
                <w:szCs w:val="20"/>
              </w:rPr>
              <w:t>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771E0" w14:textId="77777777" w:rsidR="007C2C92" w:rsidRPr="00FB1F53" w:rsidRDefault="00645185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870DF" w14:textId="77777777" w:rsidR="007C2C92" w:rsidRPr="00FB1F53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C2C92" w:rsidRPr="00FB1F53" w14:paraId="6E3BD47D" w14:textId="77777777" w:rsidTr="00BD1D3C">
        <w:trPr>
          <w:gridAfter w:val="1"/>
          <w:wAfter w:w="5" w:type="pct"/>
          <w:trHeight w:val="7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1C6" w14:textId="77777777" w:rsidR="007C2C92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6</w:t>
            </w:r>
          </w:p>
          <w:p w14:paraId="72D0D8CD" w14:textId="77777777" w:rsidR="007C2C92" w:rsidRPr="00F104B5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A2270" w14:textId="77777777" w:rsidR="007C2C92" w:rsidRPr="00BF5969" w:rsidRDefault="007C2C92" w:rsidP="007C2C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2. Členské štáty oznámia Komisii znenia vnútroštátnych</w:t>
            </w:r>
          </w:p>
          <w:p w14:paraId="72A8072A" w14:textId="77777777" w:rsidR="007C2C92" w:rsidRPr="00BF5969" w:rsidRDefault="007C2C92" w:rsidP="007C2C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 xml:space="preserve">právnych predpisov, ktoré </w:t>
            </w:r>
            <w:proofErr w:type="spellStart"/>
            <w:r w:rsidRPr="00BF5969">
              <w:rPr>
                <w:rFonts w:eastAsiaTheme="minorHAnsi"/>
                <w:sz w:val="20"/>
                <w:szCs w:val="20"/>
                <w:lang w:eastAsia="en-US"/>
              </w:rPr>
              <w:t>prjmú</w:t>
            </w:r>
            <w:proofErr w:type="spellEnd"/>
            <w:r w:rsidRPr="00BF5969">
              <w:rPr>
                <w:rFonts w:eastAsiaTheme="minorHAnsi"/>
                <w:sz w:val="20"/>
                <w:szCs w:val="20"/>
                <w:lang w:eastAsia="en-US"/>
              </w:rPr>
              <w:t xml:space="preserve"> v oblasti pôsobnosti tejto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smernice.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7C65A" w14:textId="77777777" w:rsidR="007C2C92" w:rsidRPr="00F104B5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13A59" w14:textId="77777777" w:rsidR="007C2C92" w:rsidRPr="00F104B5" w:rsidRDefault="007C2C92" w:rsidP="007C2C92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zákon</w:t>
            </w:r>
            <w:r w:rsidRPr="007C2C92">
              <w:rPr>
                <w:sz w:val="20"/>
                <w:szCs w:val="20"/>
              </w:rPr>
              <w:t xml:space="preserve"> č. 575/2001 Z. z.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81F08" w14:textId="77777777" w:rsidR="007C2C92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35</w:t>
            </w:r>
          </w:p>
          <w:p w14:paraId="7BAB404F" w14:textId="77777777" w:rsidR="007C2C92" w:rsidRPr="00F104B5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7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EFEB2" w14:textId="77777777" w:rsidR="007C2C92" w:rsidRPr="00FB1F53" w:rsidRDefault="007C2C92" w:rsidP="007C2C92">
            <w:pPr>
              <w:pStyle w:val="tlVavo125cmOpakovanzarka066cm"/>
              <w:keepNext/>
              <w:keepLines/>
              <w:ind w:left="311" w:hanging="283"/>
              <w:jc w:val="both"/>
              <w:rPr>
                <w:sz w:val="20"/>
                <w:szCs w:val="20"/>
              </w:rPr>
            </w:pPr>
            <w:r w:rsidRPr="007C2C92">
              <w:rPr>
                <w:sz w:val="20"/>
                <w:szCs w:val="20"/>
              </w:rPr>
              <w:t>(7) 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DF75C" w14:textId="77777777" w:rsidR="007C2C92" w:rsidRPr="00FB1F53" w:rsidRDefault="00645185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778A3" w14:textId="77777777" w:rsidR="007C2C92" w:rsidRPr="00FB1F53" w:rsidRDefault="007C2C92" w:rsidP="007C2C9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B331E0" w:rsidRPr="00FB1F53" w14:paraId="1D8573C7" w14:textId="77777777" w:rsidTr="00BD1D3C">
        <w:trPr>
          <w:gridAfter w:val="1"/>
          <w:wAfter w:w="5" w:type="pct"/>
          <w:trHeight w:val="7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9FFF" w14:textId="77777777" w:rsidR="00B331E0" w:rsidRPr="00F104B5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7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DB25C" w14:textId="77777777" w:rsidR="00B331E0" w:rsidRPr="00BF5969" w:rsidRDefault="00B331E0" w:rsidP="00BD1D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5969">
              <w:rPr>
                <w:rFonts w:eastAsiaTheme="minorHAnsi"/>
                <w:sz w:val="20"/>
                <w:szCs w:val="20"/>
                <w:lang w:eastAsia="en-US"/>
              </w:rPr>
              <w:t>Táto smernica je adresovaná členským štátom.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03A27" w14:textId="77777777" w:rsidR="00B331E0" w:rsidRPr="00E95D6D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a.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3D5FE" w14:textId="77777777" w:rsidR="00B331E0" w:rsidRPr="00E95D6D" w:rsidRDefault="00B331E0" w:rsidP="00BD1D3C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53370" w14:textId="77777777" w:rsidR="00B331E0" w:rsidRPr="00E95D6D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31213" w14:textId="77777777" w:rsidR="00B331E0" w:rsidRPr="00FB1F53" w:rsidRDefault="00B331E0" w:rsidP="00BD1D3C">
            <w:pPr>
              <w:pStyle w:val="tlVavo125cmOpakovanzarka066cm"/>
              <w:keepNext/>
              <w:keepLines/>
              <w:ind w:left="311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93A33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A5B18" w14:textId="77777777" w:rsidR="00B331E0" w:rsidRPr="00FB1F53" w:rsidRDefault="00B331E0" w:rsidP="00BD1D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</w:tbl>
    <w:p w14:paraId="23B74B6C" w14:textId="77777777" w:rsidR="006622FE" w:rsidRDefault="006622FE" w:rsidP="00B331E0"/>
    <w:sectPr w:rsidR="006622FE" w:rsidSect="00E52F25">
      <w:footerReference w:type="default" r:id="rId7"/>
      <w:pgSz w:w="16838" w:h="11906" w:orient="landscape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048E7" w14:textId="77777777" w:rsidR="0090433F" w:rsidRDefault="0090433F" w:rsidP="00841184">
      <w:r>
        <w:separator/>
      </w:r>
    </w:p>
  </w:endnote>
  <w:endnote w:type="continuationSeparator" w:id="0">
    <w:p w14:paraId="385E7780" w14:textId="77777777" w:rsidR="0090433F" w:rsidRDefault="0090433F" w:rsidP="0084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460498"/>
      <w:docPartObj>
        <w:docPartGallery w:val="Page Numbers (Bottom of Page)"/>
        <w:docPartUnique/>
      </w:docPartObj>
    </w:sdtPr>
    <w:sdtEndPr/>
    <w:sdtContent>
      <w:p w14:paraId="28AA8B01" w14:textId="340B0F1C" w:rsidR="00841184" w:rsidRDefault="0084118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73E">
          <w:rPr>
            <w:noProof/>
          </w:rPr>
          <w:t>2</w:t>
        </w:r>
        <w:r>
          <w:fldChar w:fldCharType="end"/>
        </w:r>
      </w:p>
    </w:sdtContent>
  </w:sdt>
  <w:p w14:paraId="31A375C3" w14:textId="77777777" w:rsidR="00841184" w:rsidRDefault="008411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C5379" w14:textId="77777777" w:rsidR="0090433F" w:rsidRDefault="0090433F" w:rsidP="00841184">
      <w:r>
        <w:separator/>
      </w:r>
    </w:p>
  </w:footnote>
  <w:footnote w:type="continuationSeparator" w:id="0">
    <w:p w14:paraId="629CD6C8" w14:textId="77777777" w:rsidR="0090433F" w:rsidRDefault="0090433F" w:rsidP="00841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EAB239C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" w15:restartNumberingAfterBreak="0">
    <w:nsid w:val="29C77F12"/>
    <w:multiLevelType w:val="hybridMultilevel"/>
    <w:tmpl w:val="02E0A108"/>
    <w:lvl w:ilvl="0" w:tplc="97AE683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7975B9"/>
    <w:multiLevelType w:val="hybridMultilevel"/>
    <w:tmpl w:val="12665A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6811"/>
    <w:multiLevelType w:val="hybridMultilevel"/>
    <w:tmpl w:val="C1A8BF44"/>
    <w:lvl w:ilvl="0" w:tplc="45123A7A">
      <w:start w:val="1"/>
      <w:numFmt w:val="decimal"/>
      <w:lvlText w:val="(%1)"/>
      <w:lvlJc w:val="left"/>
      <w:pPr>
        <w:ind w:left="2487" w:hanging="360"/>
      </w:p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65"/>
    <w:rsid w:val="00095DA5"/>
    <w:rsid w:val="003670E7"/>
    <w:rsid w:val="003A4A5D"/>
    <w:rsid w:val="004154B3"/>
    <w:rsid w:val="004559C7"/>
    <w:rsid w:val="004B1308"/>
    <w:rsid w:val="004C3620"/>
    <w:rsid w:val="005E773E"/>
    <w:rsid w:val="006402BC"/>
    <w:rsid w:val="00645185"/>
    <w:rsid w:val="00645412"/>
    <w:rsid w:val="0065749B"/>
    <w:rsid w:val="006622FE"/>
    <w:rsid w:val="00665C1F"/>
    <w:rsid w:val="006D653D"/>
    <w:rsid w:val="007A44D8"/>
    <w:rsid w:val="007B22B7"/>
    <w:rsid w:val="007C2C92"/>
    <w:rsid w:val="007D5433"/>
    <w:rsid w:val="007F4330"/>
    <w:rsid w:val="00841184"/>
    <w:rsid w:val="0087520A"/>
    <w:rsid w:val="008D7481"/>
    <w:rsid w:val="0090433F"/>
    <w:rsid w:val="0091581C"/>
    <w:rsid w:val="009662BA"/>
    <w:rsid w:val="009C3333"/>
    <w:rsid w:val="009D22BB"/>
    <w:rsid w:val="00A24F9E"/>
    <w:rsid w:val="00AC2998"/>
    <w:rsid w:val="00AD6E03"/>
    <w:rsid w:val="00B331E0"/>
    <w:rsid w:val="00B65686"/>
    <w:rsid w:val="00BA36CD"/>
    <w:rsid w:val="00C3736C"/>
    <w:rsid w:val="00C87B65"/>
    <w:rsid w:val="00DA3612"/>
    <w:rsid w:val="00E52F25"/>
    <w:rsid w:val="00E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13A9"/>
  <w15:chartTrackingRefBased/>
  <w15:docId w15:val="{E8B18C64-34EF-4C55-9996-A440B03B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3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87B65"/>
    <w:pPr>
      <w:keepNext/>
      <w:outlineLvl w:val="0"/>
    </w:pPr>
    <w:rPr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7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7B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7B65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7B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87B6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C87B65"/>
  </w:style>
  <w:style w:type="paragraph" w:styleId="Nzov">
    <w:name w:val="Title"/>
    <w:basedOn w:val="Normlny"/>
    <w:link w:val="NzovChar"/>
    <w:qFormat/>
    <w:rsid w:val="00C87B65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rsid w:val="00C87B65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Default">
    <w:name w:val="Default"/>
    <w:rsid w:val="00C87B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C87B65"/>
    <w:pPr>
      <w:ind w:firstLine="708"/>
    </w:pPr>
    <w:rPr>
      <w:rFonts w:eastAsiaTheme="minorEastAsia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87B65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C87B65"/>
    <w:pPr>
      <w:ind w:firstLine="708"/>
      <w:jc w:val="both"/>
    </w:pPr>
    <w:rPr>
      <w:rFonts w:eastAsiaTheme="minorEastAsia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87B65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C87B65"/>
    <w:pPr>
      <w:spacing w:before="480" w:after="120"/>
    </w:pPr>
    <w:rPr>
      <w:rFonts w:eastAsiaTheme="minorEastAsia"/>
      <w:b/>
      <w:bCs/>
      <w:sz w:val="32"/>
      <w:szCs w:val="32"/>
      <w:lang w:eastAsia="en-US"/>
    </w:rPr>
  </w:style>
  <w:style w:type="paragraph" w:customStyle="1" w:styleId="Vykonaj">
    <w:name w:val="Vykonajú"/>
    <w:basedOn w:val="Normlny"/>
    <w:next w:val="Vykonajzoznam"/>
    <w:uiPriority w:val="99"/>
    <w:rsid w:val="00C87B65"/>
    <w:pPr>
      <w:keepNext/>
      <w:spacing w:before="360"/>
    </w:pPr>
    <w:rPr>
      <w:rFonts w:eastAsiaTheme="minorEastAsia"/>
      <w:b/>
      <w:bCs/>
      <w:lang w:eastAsia="en-US"/>
    </w:rPr>
  </w:style>
  <w:style w:type="paragraph" w:customStyle="1" w:styleId="Vykonajzoznam">
    <w:name w:val="Vykonajú_zoznam"/>
    <w:basedOn w:val="Normlny"/>
    <w:uiPriority w:val="99"/>
    <w:rsid w:val="00C87B65"/>
    <w:pPr>
      <w:ind w:left="1418"/>
    </w:pPr>
    <w:rPr>
      <w:rFonts w:eastAsiaTheme="minorEastAsia"/>
      <w:lang w:eastAsia="en-US"/>
    </w:rPr>
  </w:style>
  <w:style w:type="paragraph" w:customStyle="1" w:styleId="Navedomie">
    <w:name w:val="Na vedomie"/>
    <w:basedOn w:val="Vykonajzoznam"/>
    <w:next w:val="Normlny"/>
    <w:uiPriority w:val="99"/>
    <w:rsid w:val="00C87B65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sid w:val="00C87B6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site">
    <w:name w:val="Nositeľ"/>
    <w:basedOn w:val="Zakladnystyl"/>
    <w:next w:val="Normlny"/>
    <w:uiPriority w:val="99"/>
    <w:rsid w:val="00C87B65"/>
    <w:pPr>
      <w:spacing w:before="240" w:after="120"/>
      <w:ind w:left="567"/>
    </w:pPr>
    <w:rPr>
      <w:b/>
      <w:bCs/>
    </w:rPr>
  </w:style>
  <w:style w:type="paragraph" w:customStyle="1" w:styleId="Heading1orobas">
    <w:name w:val="Heading 1.Čo robí (časť)"/>
    <w:basedOn w:val="Normlny"/>
    <w:next w:val="Nosite"/>
    <w:uiPriority w:val="99"/>
    <w:rsid w:val="00C87B65"/>
    <w:pPr>
      <w:keepNext/>
      <w:numPr>
        <w:numId w:val="1"/>
      </w:numPr>
      <w:spacing w:before="360"/>
    </w:pPr>
    <w:rPr>
      <w:rFonts w:eastAsiaTheme="minorEastAsia"/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uiPriority w:val="99"/>
    <w:rsid w:val="00C87B65"/>
    <w:pPr>
      <w:numPr>
        <w:ilvl w:val="1"/>
        <w:numId w:val="1"/>
      </w:numPr>
      <w:spacing w:before="120"/>
      <w:jc w:val="both"/>
    </w:pPr>
    <w:rPr>
      <w:rFonts w:eastAsiaTheme="minorEastAsia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87B65"/>
    <w:rPr>
      <w:sz w:val="16"/>
      <w:szCs w:val="16"/>
    </w:rPr>
  </w:style>
  <w:style w:type="paragraph" w:customStyle="1" w:styleId="Textkomentra1">
    <w:name w:val="Text komentára1"/>
    <w:basedOn w:val="Normlny"/>
    <w:next w:val="Textkomentra"/>
    <w:link w:val="TextkomentraChar"/>
    <w:uiPriority w:val="99"/>
    <w:unhideWhenUsed/>
    <w:rsid w:val="00C87B6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1"/>
    <w:uiPriority w:val="99"/>
    <w:rsid w:val="00C87B65"/>
    <w:rPr>
      <w:sz w:val="20"/>
      <w:szCs w:val="20"/>
    </w:rPr>
  </w:style>
  <w:style w:type="paragraph" w:customStyle="1" w:styleId="Textpoznmkypodiarou1">
    <w:name w:val="Text poznámky pod čiarou1"/>
    <w:basedOn w:val="Normlny"/>
    <w:next w:val="Textpoznmkypodiarou"/>
    <w:link w:val="TextpoznmkypodiarouChar"/>
    <w:uiPriority w:val="99"/>
    <w:unhideWhenUsed/>
    <w:rsid w:val="00C87B6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1"/>
    <w:uiPriority w:val="99"/>
    <w:rsid w:val="00C87B6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87B65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C87B65"/>
    <w:rPr>
      <w:color w:val="0000FF"/>
      <w:u w:val="single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C87B65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C87B6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unhideWhenUsed/>
    <w:rsid w:val="00C87B65"/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rsid w:val="00C87B6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7B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7B65"/>
    <w:rPr>
      <w:rFonts w:ascii="Segoe UI" w:eastAsia="Times New Roman" w:hAnsi="Segoe UI" w:cs="Segoe UI"/>
      <w:sz w:val="18"/>
      <w:szCs w:val="18"/>
      <w:lang w:eastAsia="sk-SK"/>
    </w:rPr>
  </w:style>
  <w:style w:type="character" w:styleId="Zstupntext">
    <w:name w:val="Placeholder Text"/>
    <w:uiPriority w:val="99"/>
    <w:semiHidden/>
    <w:rsid w:val="00C87B65"/>
    <w:rPr>
      <w:rFonts w:ascii="Times New Roman" w:hAnsi="Times New Roman" w:cs="Times New Roman"/>
      <w:color w:val="808080"/>
    </w:rPr>
  </w:style>
  <w:style w:type="paragraph" w:styleId="Bezriadkovania">
    <w:name w:val="No Spacing"/>
    <w:uiPriority w:val="1"/>
    <w:qFormat/>
    <w:rsid w:val="00C87B65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87B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87B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B6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link w:val="NormlnywebovChar"/>
    <w:uiPriority w:val="99"/>
    <w:unhideWhenUsed/>
    <w:rsid w:val="00C87B65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59"/>
    <w:rsid w:val="00C87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0">
    <w:name w:val="_Normálny"/>
    <w:basedOn w:val="Normlny"/>
    <w:rsid w:val="00C87B65"/>
    <w:pPr>
      <w:autoSpaceDE w:val="0"/>
      <w:autoSpaceDN w:val="0"/>
    </w:pPr>
    <w:rPr>
      <w:sz w:val="20"/>
      <w:szCs w:val="20"/>
      <w:lang w:eastAsia="en-US"/>
    </w:rPr>
  </w:style>
  <w:style w:type="paragraph" w:customStyle="1" w:styleId="tlVavo125cmOpakovanzarka066cm">
    <w:name w:val="Štýl Vľavo:  125 cm Opakovaná zarážka:  066 cm"/>
    <w:basedOn w:val="Normlny"/>
    <w:uiPriority w:val="99"/>
    <w:rsid w:val="00C87B65"/>
    <w:pPr>
      <w:ind w:left="1080" w:hanging="372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7B65"/>
    <w:rPr>
      <w:b/>
      <w:bCs/>
    </w:rPr>
  </w:style>
  <w:style w:type="character" w:customStyle="1" w:styleId="PredmetkomentraChar">
    <w:name w:val="Predmet komentára Char"/>
    <w:basedOn w:val="TextkomentraChar1"/>
    <w:link w:val="Predmetkomentra"/>
    <w:uiPriority w:val="99"/>
    <w:semiHidden/>
    <w:rsid w:val="00C87B6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87B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B6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87B65"/>
  </w:style>
  <w:style w:type="table" w:customStyle="1" w:styleId="Mriekatabuky1">
    <w:name w:val="Mriežka tabuľky1"/>
    <w:basedOn w:val="Normlnatabuka"/>
    <w:next w:val="Mriekatabuky"/>
    <w:uiPriority w:val="59"/>
    <w:rsid w:val="00C87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C87B65"/>
    <w:rPr>
      <w:b/>
      <w:bCs/>
    </w:rPr>
  </w:style>
  <w:style w:type="paragraph" w:styleId="Revzia">
    <w:name w:val="Revision"/>
    <w:hidden/>
    <w:uiPriority w:val="99"/>
    <w:semiHidden/>
    <w:rsid w:val="00C87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C87B6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adpis">
    <w:name w:val="Nadpis"/>
    <w:next w:val="Normlny"/>
    <w:qFormat/>
    <w:rsid w:val="00C87B65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color w:val="08A8F8"/>
      <w:sz w:val="29"/>
      <w:szCs w:val="29"/>
      <w:lang w:val="cs-CZ" w:eastAsia="cs-CZ"/>
    </w:rPr>
  </w:style>
  <w:style w:type="paragraph" w:customStyle="1" w:styleId="Paragraf">
    <w:name w:val="Paragraf"/>
    <w:next w:val="Normlny"/>
    <w:qFormat/>
    <w:rsid w:val="00C87B65"/>
    <w:pPr>
      <w:spacing w:before="240" w:after="100" w:afterAutospacing="1" w:line="240" w:lineRule="auto"/>
      <w:jc w:val="center"/>
      <w:outlineLvl w:val="6"/>
    </w:pPr>
    <w:rPr>
      <w:rFonts w:ascii="Arial" w:eastAsia="Times New Roman" w:hAnsi="Arial" w:cs="Arial"/>
      <w:b/>
      <w:color w:val="FF8400"/>
      <w:sz w:val="26"/>
      <w:szCs w:val="26"/>
      <w:lang w:val="cs-CZ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C87B65"/>
    <w:rPr>
      <w:vertAlign w:val="superscript"/>
    </w:rPr>
  </w:style>
  <w:style w:type="paragraph" w:customStyle="1" w:styleId="Clanek">
    <w:name w:val="Clanek"/>
    <w:next w:val="Normlny"/>
    <w:qFormat/>
    <w:rsid w:val="00C87B65"/>
    <w:pPr>
      <w:spacing w:before="240" w:after="100" w:afterAutospacing="1" w:line="240" w:lineRule="auto"/>
      <w:jc w:val="center"/>
      <w:outlineLvl w:val="6"/>
    </w:pPr>
    <w:rPr>
      <w:rFonts w:ascii="Arial" w:hAnsi="Arial"/>
      <w:b/>
      <w:color w:val="E06000"/>
      <w:sz w:val="26"/>
      <w:szCs w:val="26"/>
      <w:lang w:val="cs-CZ"/>
    </w:rPr>
  </w:style>
  <w:style w:type="paragraph" w:customStyle="1" w:styleId="Priloha">
    <w:name w:val="Priloha"/>
    <w:next w:val="Normlny"/>
    <w:qFormat/>
    <w:rsid w:val="00C87B65"/>
    <w:pPr>
      <w:spacing w:before="240" w:after="100" w:afterAutospacing="1" w:line="240" w:lineRule="auto"/>
      <w:jc w:val="center"/>
      <w:outlineLvl w:val="0"/>
    </w:pPr>
    <w:rPr>
      <w:rFonts w:ascii="Arial" w:hAnsi="Arial"/>
      <w:b/>
      <w:color w:val="8496B0" w:themeColor="text2" w:themeTint="99"/>
      <w:sz w:val="28"/>
      <w:lang w:val="cs-CZ"/>
    </w:rPr>
  </w:style>
  <w:style w:type="paragraph" w:customStyle="1" w:styleId="PrefixBold">
    <w:name w:val="PrefixBold"/>
    <w:basedOn w:val="Normlny"/>
    <w:qFormat/>
    <w:rsid w:val="00C87B65"/>
    <w:pPr>
      <w:spacing w:before="60" w:after="60"/>
      <w:jc w:val="center"/>
    </w:pPr>
    <w:rPr>
      <w:rFonts w:ascii="Arial" w:eastAsiaTheme="minorHAnsi" w:hAnsi="Arial" w:cstheme="minorBidi"/>
      <w:b/>
      <w:color w:val="323E4F" w:themeColor="text2" w:themeShade="BF"/>
      <w:sz w:val="32"/>
      <w:szCs w:val="32"/>
      <w:lang w:val="cs-CZ" w:eastAsia="en-US"/>
    </w:rPr>
  </w:style>
  <w:style w:type="paragraph" w:customStyle="1" w:styleId="PrefixPredpisDatum">
    <w:name w:val="PrefixPredpisDatum"/>
    <w:basedOn w:val="PrefixBold"/>
    <w:qFormat/>
    <w:rsid w:val="00C87B65"/>
    <w:rPr>
      <w:b w:val="0"/>
      <w:sz w:val="24"/>
      <w:szCs w:val="24"/>
    </w:rPr>
  </w:style>
  <w:style w:type="paragraph" w:customStyle="1" w:styleId="PrefixTitle">
    <w:name w:val="PrefixTitle"/>
    <w:basedOn w:val="Normlny"/>
    <w:qFormat/>
    <w:rsid w:val="00C87B65"/>
    <w:pPr>
      <w:spacing w:before="60" w:after="600"/>
      <w:jc w:val="center"/>
    </w:pPr>
    <w:rPr>
      <w:rFonts w:ascii="Arial" w:eastAsiaTheme="minorHAnsi" w:hAnsi="Arial" w:cstheme="minorBidi"/>
      <w:b/>
      <w:color w:val="323E4F" w:themeColor="text2" w:themeShade="BF"/>
      <w:sz w:val="3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Ladislav</dc:creator>
  <cp:keywords/>
  <dc:description/>
  <cp:lastModifiedBy>Hajdu Ladislav</cp:lastModifiedBy>
  <cp:revision>2</cp:revision>
  <cp:lastPrinted>2023-04-04T08:03:00Z</cp:lastPrinted>
  <dcterms:created xsi:type="dcterms:W3CDTF">2022-10-17T10:55:00Z</dcterms:created>
  <dcterms:modified xsi:type="dcterms:W3CDTF">2023-04-04T08:04:00Z</dcterms:modified>
</cp:coreProperties>
</file>