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007" w:rsidRPr="00895898" w:rsidRDefault="00753007" w:rsidP="00753007">
      <w:pPr>
        <w:jc w:val="center"/>
        <w:rPr>
          <w:rFonts w:eastAsia="Calibri"/>
          <w:b/>
          <w:sz w:val="28"/>
          <w:szCs w:val="28"/>
        </w:rPr>
      </w:pPr>
      <w:bookmarkStart w:id="0" w:name="_GoBack"/>
      <w:bookmarkEnd w:id="0"/>
      <w:r w:rsidRPr="00895898">
        <w:rPr>
          <w:rFonts w:eastAsia="Calibri"/>
          <w:b/>
          <w:sz w:val="28"/>
          <w:szCs w:val="28"/>
        </w:rPr>
        <w:t>Analýza vplyvov na podnikateľské prostredie</w:t>
      </w:r>
    </w:p>
    <w:p w:rsidR="00753007" w:rsidRPr="00895898" w:rsidRDefault="00753007" w:rsidP="00753007">
      <w:pPr>
        <w:jc w:val="both"/>
        <w:rPr>
          <w:rFonts w:eastAsia="Calibri"/>
          <w:b/>
        </w:rPr>
      </w:pPr>
    </w:p>
    <w:p w:rsidR="0083330D" w:rsidRDefault="00753007" w:rsidP="00753007">
      <w:pPr>
        <w:jc w:val="both"/>
        <w:rPr>
          <w:rFonts w:eastAsia="Calibri"/>
          <w:b/>
        </w:rPr>
      </w:pPr>
      <w:r w:rsidRPr="001F1B43">
        <w:rPr>
          <w:rFonts w:eastAsia="Calibri"/>
          <w:b/>
        </w:rPr>
        <w:t>Názov materiálu:</w:t>
      </w:r>
      <w:r>
        <w:rPr>
          <w:rFonts w:eastAsia="Calibri"/>
          <w:b/>
        </w:rPr>
        <w:t xml:space="preserve"> </w:t>
      </w:r>
      <w:r w:rsidRPr="00B0103B">
        <w:rPr>
          <w:rFonts w:eastAsia="Calibri"/>
        </w:rPr>
        <w:t xml:space="preserve">Zákon o všeobecnej bezpečnosti výrobkov </w:t>
      </w:r>
      <w:r w:rsidRPr="006A0864">
        <w:rPr>
          <w:rFonts w:eastAsia="Calibri"/>
        </w:rPr>
        <w:t xml:space="preserve">a  o zmene a doplnení niektorých zákonov </w:t>
      </w:r>
    </w:p>
    <w:p w:rsidR="00753007" w:rsidRPr="001F1B43" w:rsidRDefault="00753007" w:rsidP="00753007">
      <w:pPr>
        <w:jc w:val="both"/>
        <w:rPr>
          <w:rFonts w:eastAsia="Calibri"/>
          <w:b/>
        </w:rPr>
      </w:pPr>
      <w:r w:rsidRPr="001F1B43">
        <w:rPr>
          <w:rFonts w:eastAsia="Calibri"/>
          <w:b/>
        </w:rPr>
        <w:t>Predkladateľ:</w:t>
      </w:r>
      <w:r>
        <w:rPr>
          <w:rFonts w:eastAsia="Calibri"/>
          <w:b/>
        </w:rPr>
        <w:t xml:space="preserve"> </w:t>
      </w:r>
      <w:r w:rsidRPr="00B0103B">
        <w:rPr>
          <w:rFonts w:eastAsia="Calibri"/>
        </w:rPr>
        <w:t>Ministerstvo hospodárstva Slovenskej republiky</w:t>
      </w:r>
    </w:p>
    <w:p w:rsidR="00753007" w:rsidRPr="001F1B43" w:rsidRDefault="00753007" w:rsidP="00753007">
      <w:pPr>
        <w:jc w:val="both"/>
        <w:rPr>
          <w:rFonts w:eastAsia="Calibri"/>
          <w:b/>
        </w:rPr>
      </w:pPr>
    </w:p>
    <w:p w:rsidR="00753007" w:rsidRPr="001F1B43" w:rsidRDefault="00753007" w:rsidP="00753007">
      <w:pPr>
        <w:jc w:val="both"/>
        <w:rPr>
          <w:rFonts w:eastAsia="Calibri"/>
          <w:b/>
        </w:rPr>
      </w:pPr>
      <w:r w:rsidRPr="001F1B43">
        <w:rPr>
          <w:rFonts w:eastAsia="Calibri"/>
          <w:b/>
        </w:rPr>
        <w:t>3.1 Náklady regulácie</w:t>
      </w:r>
    </w:p>
    <w:p w:rsidR="00753007" w:rsidRPr="001F1B43" w:rsidRDefault="00753007" w:rsidP="00753007">
      <w:pPr>
        <w:tabs>
          <w:tab w:val="left" w:pos="8025"/>
        </w:tabs>
        <w:rPr>
          <w:rFonts w:eastAsia="Calibri"/>
          <w:bCs/>
          <w:i/>
          <w:iCs/>
        </w:rPr>
      </w:pPr>
      <w:r w:rsidRPr="001F1B43">
        <w:rPr>
          <w:rFonts w:eastAsia="Calibri"/>
          <w:b/>
          <w:i/>
          <w:iCs/>
        </w:rPr>
        <w:t xml:space="preserve">3.1.1 Súhrnná tabuľka nákladov regulácie </w:t>
      </w:r>
      <w:r>
        <w:rPr>
          <w:rFonts w:eastAsia="Calibri"/>
          <w:b/>
          <w:i/>
          <w:iCs/>
        </w:rPr>
        <w:tab/>
      </w:r>
    </w:p>
    <w:p w:rsidR="00753007" w:rsidRPr="001F1B43" w:rsidRDefault="00753007" w:rsidP="00753007">
      <w:pPr>
        <w:jc w:val="both"/>
        <w:rPr>
          <w:rFonts w:eastAsia="Calibri"/>
          <w:b/>
        </w:rPr>
      </w:pPr>
    </w:p>
    <w:p w:rsidR="00753007" w:rsidRPr="00D8247C" w:rsidRDefault="00753007" w:rsidP="00753007">
      <w:pPr>
        <w:jc w:val="both"/>
        <w:rPr>
          <w:rFonts w:eastAsia="Calibri"/>
          <w:i/>
        </w:rPr>
      </w:pPr>
      <w:r w:rsidRPr="00D8247C">
        <w:rPr>
          <w:rFonts w:eastAsia="Calibri"/>
          <w:i/>
        </w:rPr>
        <w:t xml:space="preserve">Tabuľka č. 1: Zmeny nákladov (ročne) v prepočte na podnikateľské prostredie (PP), vyhodnotenie mechanizmu znižovania byrokracie a nákladov. </w:t>
      </w:r>
    </w:p>
    <w:p w:rsidR="00753007" w:rsidRPr="00D8247C" w:rsidRDefault="00753007" w:rsidP="00753007">
      <w:pPr>
        <w:jc w:val="both"/>
        <w:rPr>
          <w:rFonts w:eastAsia="Calibri"/>
          <w:i/>
        </w:rPr>
      </w:pPr>
      <w:r w:rsidRPr="00D8247C">
        <w:rPr>
          <w:rFonts w:eastAsia="Calibri"/>
          <w:i/>
        </w:rPr>
        <w:t xml:space="preserve">Nahraďte rovnakou tabuľkou po vyplnení Kalkulačky nákladov podnikateľského prostredia, ktorá je povinnou prílohou tejto analýzy a nájdete ju na </w:t>
      </w:r>
      <w:hyperlink r:id="rId5" w:history="1">
        <w:r w:rsidRPr="00D8247C">
          <w:rPr>
            <w:rFonts w:eastAsia="Calibri"/>
            <w:i/>
            <w:color w:val="0563C1"/>
            <w:u w:val="single"/>
          </w:rPr>
          <w:t>webovom sídle MH SR</w:t>
        </w:r>
      </w:hyperlink>
      <w:r w:rsidRPr="00D8247C">
        <w:rPr>
          <w:rFonts w:eastAsia="Calibri"/>
          <w:i/>
        </w:rPr>
        <w:t xml:space="preserve">, (ďalej len </w:t>
      </w:r>
      <w:r>
        <w:rPr>
          <w:rFonts w:eastAsia="Calibri"/>
          <w:i/>
        </w:rPr>
        <w:t>„</w:t>
      </w:r>
      <w:r w:rsidRPr="00D8247C">
        <w:rPr>
          <w:rFonts w:eastAsia="Calibri"/>
          <w:i/>
        </w:rPr>
        <w:t>Kalkulačka nákladov</w:t>
      </w:r>
      <w:r>
        <w:rPr>
          <w:rFonts w:eastAsia="Calibri"/>
          <w:i/>
        </w:rPr>
        <w:t>“</w:t>
      </w:r>
      <w:r w:rsidRPr="00D8247C">
        <w:rPr>
          <w:rFonts w:eastAsia="Calibri"/>
          <w:i/>
        </w:rPr>
        <w:t>):</w:t>
      </w:r>
    </w:p>
    <w:p w:rsidR="00753007" w:rsidRDefault="00753007" w:rsidP="00753007">
      <w:pPr>
        <w:rPr>
          <w:rFonts w:eastAsia="Calibri"/>
          <w:b/>
        </w:rPr>
      </w:pPr>
    </w:p>
    <w:p w:rsidR="00753007" w:rsidRDefault="00753007" w:rsidP="00753007">
      <w:pPr>
        <w:rPr>
          <w:rFonts w:eastAsia="Calibri"/>
          <w:b/>
        </w:rPr>
      </w:pPr>
    </w:p>
    <w:tbl>
      <w:tblPr>
        <w:tblW w:w="8780" w:type="dxa"/>
        <w:tblCellMar>
          <w:left w:w="70" w:type="dxa"/>
          <w:right w:w="70" w:type="dxa"/>
        </w:tblCellMar>
        <w:tblLook w:val="04A0" w:firstRow="1" w:lastRow="0" w:firstColumn="1" w:lastColumn="0" w:noHBand="0" w:noVBand="1"/>
      </w:tblPr>
      <w:tblGrid>
        <w:gridCol w:w="3780"/>
        <w:gridCol w:w="1580"/>
        <w:gridCol w:w="1060"/>
        <w:gridCol w:w="1360"/>
        <w:gridCol w:w="1000"/>
      </w:tblGrid>
      <w:tr w:rsidR="00482FEF" w:rsidRPr="00482FEF" w:rsidTr="00482FEF">
        <w:trPr>
          <w:trHeight w:val="51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82FEF" w:rsidRPr="00482FEF" w:rsidRDefault="00482FEF" w:rsidP="00482FEF">
            <w:pPr>
              <w:jc w:val="center"/>
              <w:rPr>
                <w:b/>
                <w:bCs/>
                <w:i/>
                <w:iCs/>
                <w:color w:val="000000"/>
                <w:sz w:val="20"/>
                <w:szCs w:val="20"/>
              </w:rPr>
            </w:pPr>
            <w:r w:rsidRPr="00482FEF">
              <w:rPr>
                <w:b/>
                <w:bCs/>
                <w:i/>
                <w:iCs/>
                <w:color w:val="000000"/>
                <w:sz w:val="20"/>
                <w:szCs w:val="20"/>
              </w:rPr>
              <w:t>TYP NÁKLADOV</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rsidR="00482FEF" w:rsidRPr="00482FEF" w:rsidRDefault="00482FEF" w:rsidP="00482FEF">
            <w:pPr>
              <w:jc w:val="center"/>
              <w:rPr>
                <w:b/>
                <w:bCs/>
                <w:color w:val="000000"/>
                <w:sz w:val="20"/>
                <w:szCs w:val="20"/>
              </w:rPr>
            </w:pPr>
            <w:r w:rsidRPr="00482FEF">
              <w:rPr>
                <w:b/>
                <w:bCs/>
                <w:color w:val="000000"/>
                <w:sz w:val="20"/>
                <w:szCs w:val="20"/>
              </w:rPr>
              <w:t>Zvýšenie nákladov v € na PP</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rsidR="00482FEF" w:rsidRPr="00482FEF" w:rsidRDefault="00482FEF" w:rsidP="00482FEF">
            <w:pPr>
              <w:jc w:val="center"/>
              <w:rPr>
                <w:b/>
                <w:bCs/>
                <w:color w:val="000000"/>
                <w:sz w:val="20"/>
                <w:szCs w:val="20"/>
              </w:rPr>
            </w:pPr>
            <w:r w:rsidRPr="00482FEF">
              <w:rPr>
                <w:b/>
                <w:bCs/>
                <w:color w:val="000000"/>
                <w:sz w:val="20"/>
                <w:szCs w:val="20"/>
              </w:rPr>
              <w:t>Zníženie nákladov v € na PP</w:t>
            </w:r>
          </w:p>
        </w:tc>
      </w:tr>
      <w:tr w:rsidR="00482FEF" w:rsidRPr="00482FEF" w:rsidTr="00482FEF">
        <w:trPr>
          <w:trHeight w:val="66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482FEF" w:rsidRPr="00482FEF" w:rsidRDefault="00482FEF" w:rsidP="00482FEF">
            <w:pPr>
              <w:rPr>
                <w:b/>
                <w:bCs/>
                <w:i/>
                <w:iCs/>
                <w:color w:val="000000"/>
                <w:sz w:val="20"/>
                <w:szCs w:val="20"/>
              </w:rPr>
            </w:pPr>
            <w:proofErr w:type="spellStart"/>
            <w:r w:rsidRPr="00482FEF">
              <w:rPr>
                <w:b/>
                <w:bCs/>
                <w:i/>
                <w:iCs/>
                <w:color w:val="000000"/>
                <w:sz w:val="20"/>
                <w:szCs w:val="20"/>
              </w:rPr>
              <w:t>A.Dane</w:t>
            </w:r>
            <w:proofErr w:type="spellEnd"/>
            <w:r w:rsidRPr="00482FEF">
              <w:rPr>
                <w:b/>
                <w:bCs/>
                <w:i/>
                <w:iCs/>
                <w:color w:val="000000"/>
                <w:sz w:val="20"/>
                <w:szCs w:val="20"/>
              </w:rPr>
              <w:t xml:space="preserve">, odvody, clá a poplatky, ktorých cieľom je znižovať negatívne </w:t>
            </w:r>
            <w:proofErr w:type="spellStart"/>
            <w:r w:rsidRPr="00482FEF">
              <w:rPr>
                <w:b/>
                <w:bCs/>
                <w:i/>
                <w:iCs/>
                <w:color w:val="000000"/>
                <w:sz w:val="20"/>
                <w:szCs w:val="20"/>
              </w:rPr>
              <w:t>externality</w:t>
            </w:r>
            <w:proofErr w:type="spellEnd"/>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482FEF" w:rsidRPr="00482FEF" w:rsidRDefault="00482FEF" w:rsidP="00482FEF">
            <w:pPr>
              <w:jc w:val="center"/>
              <w:rPr>
                <w:b/>
                <w:bCs/>
                <w:color w:val="000000"/>
                <w:sz w:val="20"/>
                <w:szCs w:val="20"/>
              </w:rPr>
            </w:pPr>
            <w:r w:rsidRPr="00482FEF">
              <w:rPr>
                <w:b/>
                <w:bCs/>
                <w:color w:val="000000"/>
                <w:sz w:val="20"/>
                <w:szCs w:val="20"/>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482FEF" w:rsidRPr="00482FEF" w:rsidRDefault="00482FEF" w:rsidP="00482FEF">
            <w:pPr>
              <w:jc w:val="center"/>
              <w:rPr>
                <w:b/>
                <w:bCs/>
                <w:color w:val="000000"/>
                <w:sz w:val="20"/>
                <w:szCs w:val="20"/>
              </w:rPr>
            </w:pPr>
            <w:r w:rsidRPr="00482FEF">
              <w:rPr>
                <w:b/>
                <w:bCs/>
                <w:color w:val="000000"/>
                <w:sz w:val="20"/>
                <w:szCs w:val="20"/>
              </w:rPr>
              <w:t>0</w:t>
            </w:r>
          </w:p>
        </w:tc>
      </w:tr>
      <w:tr w:rsidR="00482FEF" w:rsidRPr="00482FEF" w:rsidTr="00482FEF">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482FEF" w:rsidRPr="00482FEF" w:rsidRDefault="00482FEF" w:rsidP="00482FEF">
            <w:pPr>
              <w:rPr>
                <w:b/>
                <w:bCs/>
                <w:i/>
                <w:iCs/>
                <w:color w:val="000000"/>
                <w:sz w:val="20"/>
                <w:szCs w:val="20"/>
              </w:rPr>
            </w:pPr>
            <w:r w:rsidRPr="00482FEF">
              <w:rPr>
                <w:b/>
                <w:bCs/>
                <w:i/>
                <w:iCs/>
                <w:color w:val="000000"/>
                <w:sz w:val="20"/>
                <w:szCs w:val="20"/>
              </w:rPr>
              <w:t>B. Iné poplatky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482FEF" w:rsidRPr="00482FEF" w:rsidRDefault="00482FEF" w:rsidP="00482FEF">
            <w:pPr>
              <w:jc w:val="center"/>
              <w:rPr>
                <w:b/>
                <w:bCs/>
                <w:color w:val="000000"/>
                <w:sz w:val="20"/>
                <w:szCs w:val="20"/>
              </w:rPr>
            </w:pPr>
            <w:r w:rsidRPr="00482FEF">
              <w:rPr>
                <w:b/>
                <w:bCs/>
                <w:color w:val="000000"/>
                <w:sz w:val="20"/>
                <w:szCs w:val="20"/>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482FEF" w:rsidRPr="00482FEF" w:rsidRDefault="00482FEF" w:rsidP="00482FEF">
            <w:pPr>
              <w:jc w:val="center"/>
              <w:rPr>
                <w:b/>
                <w:bCs/>
                <w:color w:val="000000"/>
                <w:sz w:val="20"/>
                <w:szCs w:val="20"/>
              </w:rPr>
            </w:pPr>
            <w:r w:rsidRPr="00482FEF">
              <w:rPr>
                <w:b/>
                <w:bCs/>
                <w:color w:val="000000"/>
                <w:sz w:val="20"/>
                <w:szCs w:val="20"/>
              </w:rPr>
              <w:t>0</w:t>
            </w:r>
          </w:p>
        </w:tc>
      </w:tr>
      <w:tr w:rsidR="00482FEF" w:rsidRPr="00482FEF" w:rsidTr="00482FEF">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482FEF" w:rsidRPr="00482FEF" w:rsidRDefault="00482FEF" w:rsidP="00482FEF">
            <w:pPr>
              <w:rPr>
                <w:b/>
                <w:bCs/>
                <w:i/>
                <w:iCs/>
                <w:color w:val="000000"/>
                <w:sz w:val="20"/>
                <w:szCs w:val="20"/>
              </w:rPr>
            </w:pPr>
            <w:r w:rsidRPr="00482FEF">
              <w:rPr>
                <w:b/>
                <w:bCs/>
                <w:i/>
                <w:iCs/>
                <w:color w:val="000000"/>
                <w:sz w:val="20"/>
                <w:szCs w:val="20"/>
              </w:rPr>
              <w:t>C. Nepriame finančné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482FEF" w:rsidRPr="00482FEF" w:rsidRDefault="00482FEF" w:rsidP="00482FEF">
            <w:pPr>
              <w:jc w:val="center"/>
              <w:rPr>
                <w:b/>
                <w:bCs/>
                <w:color w:val="000000"/>
                <w:sz w:val="20"/>
                <w:szCs w:val="20"/>
              </w:rPr>
            </w:pPr>
            <w:r w:rsidRPr="00482FEF">
              <w:rPr>
                <w:b/>
                <w:bCs/>
                <w:color w:val="000000"/>
                <w:sz w:val="20"/>
                <w:szCs w:val="20"/>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482FEF" w:rsidRPr="00482FEF" w:rsidRDefault="00482FEF" w:rsidP="00482FEF">
            <w:pPr>
              <w:jc w:val="center"/>
              <w:rPr>
                <w:b/>
                <w:bCs/>
                <w:color w:val="000000"/>
                <w:sz w:val="20"/>
                <w:szCs w:val="20"/>
              </w:rPr>
            </w:pPr>
            <w:r w:rsidRPr="00482FEF">
              <w:rPr>
                <w:b/>
                <w:bCs/>
                <w:color w:val="000000"/>
                <w:sz w:val="20"/>
                <w:szCs w:val="20"/>
              </w:rPr>
              <w:t>0</w:t>
            </w:r>
          </w:p>
        </w:tc>
      </w:tr>
      <w:tr w:rsidR="00482FEF" w:rsidRPr="00482FEF" w:rsidTr="00482FEF">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482FEF" w:rsidRPr="00482FEF" w:rsidRDefault="00482FEF" w:rsidP="00482FEF">
            <w:pPr>
              <w:rPr>
                <w:b/>
                <w:bCs/>
                <w:i/>
                <w:iCs/>
                <w:color w:val="000000"/>
                <w:sz w:val="20"/>
                <w:szCs w:val="20"/>
              </w:rPr>
            </w:pPr>
            <w:r w:rsidRPr="00482FEF">
              <w:rPr>
                <w:b/>
                <w:bCs/>
                <w:i/>
                <w:iCs/>
                <w:color w:val="000000"/>
                <w:sz w:val="20"/>
                <w:szCs w:val="20"/>
              </w:rPr>
              <w:t>D. Administratívne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482FEF" w:rsidRPr="00482FEF" w:rsidRDefault="00482FEF" w:rsidP="00482FEF">
            <w:pPr>
              <w:jc w:val="center"/>
              <w:rPr>
                <w:b/>
                <w:bCs/>
                <w:color w:val="000000"/>
                <w:sz w:val="20"/>
                <w:szCs w:val="20"/>
              </w:rPr>
            </w:pPr>
            <w:r w:rsidRPr="00482FEF">
              <w:rPr>
                <w:b/>
                <w:bCs/>
                <w:color w:val="000000"/>
                <w:sz w:val="20"/>
                <w:szCs w:val="20"/>
              </w:rPr>
              <w:t>3 535 931</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482FEF" w:rsidRPr="00482FEF" w:rsidRDefault="00482FEF" w:rsidP="00482FEF">
            <w:pPr>
              <w:jc w:val="center"/>
              <w:rPr>
                <w:b/>
                <w:bCs/>
                <w:color w:val="000000"/>
                <w:sz w:val="20"/>
                <w:szCs w:val="20"/>
              </w:rPr>
            </w:pPr>
            <w:r w:rsidRPr="00482FEF">
              <w:rPr>
                <w:b/>
                <w:bCs/>
                <w:color w:val="000000"/>
                <w:sz w:val="20"/>
                <w:szCs w:val="20"/>
              </w:rPr>
              <w:t>0</w:t>
            </w:r>
          </w:p>
        </w:tc>
      </w:tr>
      <w:tr w:rsidR="00482FEF" w:rsidRPr="00482FEF" w:rsidTr="00482FEF">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482FEF" w:rsidRPr="00482FEF" w:rsidRDefault="00482FEF" w:rsidP="00482FEF">
            <w:pPr>
              <w:rPr>
                <w:b/>
                <w:bCs/>
                <w:i/>
                <w:iCs/>
                <w:color w:val="000000"/>
                <w:sz w:val="20"/>
                <w:szCs w:val="20"/>
              </w:rPr>
            </w:pPr>
            <w:r w:rsidRPr="00482FEF">
              <w:rPr>
                <w:b/>
                <w:bCs/>
                <w:i/>
                <w:iCs/>
                <w:color w:val="000000"/>
                <w:sz w:val="20"/>
                <w:szCs w:val="20"/>
              </w:rPr>
              <w:t>Spolu = A+B+C+D</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482FEF" w:rsidRPr="00482FEF" w:rsidRDefault="00482FEF" w:rsidP="00482FEF">
            <w:pPr>
              <w:jc w:val="center"/>
              <w:rPr>
                <w:b/>
                <w:bCs/>
                <w:color w:val="000000"/>
                <w:sz w:val="20"/>
                <w:szCs w:val="20"/>
              </w:rPr>
            </w:pPr>
            <w:r w:rsidRPr="00482FEF">
              <w:rPr>
                <w:b/>
                <w:bCs/>
                <w:color w:val="000000"/>
                <w:sz w:val="20"/>
                <w:szCs w:val="20"/>
              </w:rPr>
              <w:t>3 535 931</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482FEF" w:rsidRPr="00482FEF" w:rsidRDefault="00482FEF" w:rsidP="00482FEF">
            <w:pPr>
              <w:jc w:val="center"/>
              <w:rPr>
                <w:b/>
                <w:bCs/>
                <w:color w:val="000000"/>
                <w:sz w:val="20"/>
                <w:szCs w:val="20"/>
              </w:rPr>
            </w:pPr>
            <w:r w:rsidRPr="00482FEF">
              <w:rPr>
                <w:b/>
                <w:bCs/>
                <w:color w:val="000000"/>
                <w:sz w:val="20"/>
                <w:szCs w:val="20"/>
              </w:rPr>
              <w:t>0</w:t>
            </w:r>
          </w:p>
        </w:tc>
      </w:tr>
      <w:tr w:rsidR="00482FEF" w:rsidRPr="00482FEF" w:rsidTr="00482FEF">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482FEF" w:rsidRPr="00482FEF" w:rsidRDefault="00482FEF" w:rsidP="00482FEF">
            <w:pPr>
              <w:rPr>
                <w:b/>
                <w:bCs/>
                <w:i/>
                <w:iCs/>
                <w:color w:val="000000"/>
                <w:sz w:val="20"/>
                <w:szCs w:val="20"/>
              </w:rPr>
            </w:pPr>
            <w:r w:rsidRPr="00482FEF">
              <w:rPr>
                <w:b/>
                <w:bCs/>
                <w:i/>
                <w:iCs/>
                <w:color w:val="000000"/>
                <w:sz w:val="20"/>
                <w:szCs w:val="20"/>
              </w:rPr>
              <w:t xml:space="preserve"> Z toho</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482FEF" w:rsidRPr="00482FEF" w:rsidRDefault="00482FEF" w:rsidP="00482FEF">
            <w:pPr>
              <w:jc w:val="center"/>
              <w:rPr>
                <w:b/>
                <w:bCs/>
                <w:color w:val="000000"/>
                <w:sz w:val="20"/>
                <w:szCs w:val="20"/>
              </w:rPr>
            </w:pPr>
            <w:r w:rsidRPr="00482FEF">
              <w:rPr>
                <w:b/>
                <w:bCs/>
                <w:color w:val="000000"/>
                <w:sz w:val="20"/>
                <w:szCs w:val="20"/>
              </w:rPr>
              <w:t> </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482FEF" w:rsidRPr="00482FEF" w:rsidRDefault="00482FEF" w:rsidP="00482FEF">
            <w:pPr>
              <w:jc w:val="center"/>
              <w:rPr>
                <w:b/>
                <w:bCs/>
                <w:color w:val="000000"/>
                <w:sz w:val="20"/>
                <w:szCs w:val="20"/>
              </w:rPr>
            </w:pPr>
            <w:r w:rsidRPr="00482FEF">
              <w:rPr>
                <w:b/>
                <w:bCs/>
                <w:color w:val="000000"/>
                <w:sz w:val="20"/>
                <w:szCs w:val="20"/>
              </w:rPr>
              <w:t> </w:t>
            </w:r>
          </w:p>
        </w:tc>
      </w:tr>
      <w:tr w:rsidR="00482FEF" w:rsidRPr="00482FEF" w:rsidTr="00482FEF">
        <w:trPr>
          <w:trHeight w:val="615"/>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482FEF" w:rsidRPr="00482FEF" w:rsidRDefault="00482FEF" w:rsidP="00482FEF">
            <w:pPr>
              <w:rPr>
                <w:b/>
                <w:bCs/>
                <w:i/>
                <w:iCs/>
                <w:color w:val="000000"/>
                <w:sz w:val="20"/>
                <w:szCs w:val="20"/>
              </w:rPr>
            </w:pPr>
            <w:r w:rsidRPr="00482FEF">
              <w:rPr>
                <w:b/>
                <w:bCs/>
                <w:i/>
                <w:iCs/>
                <w:color w:val="000000"/>
                <w:sz w:val="20"/>
                <w:szCs w:val="20"/>
              </w:rPr>
              <w:t xml:space="preserve">E. Vplyv na </w:t>
            </w:r>
            <w:proofErr w:type="spellStart"/>
            <w:r w:rsidRPr="00482FEF">
              <w:rPr>
                <w:b/>
                <w:bCs/>
                <w:i/>
                <w:iCs/>
                <w:color w:val="000000"/>
                <w:sz w:val="20"/>
                <w:szCs w:val="20"/>
              </w:rPr>
              <w:t>mikro</w:t>
            </w:r>
            <w:proofErr w:type="spellEnd"/>
            <w:r w:rsidRPr="00482FEF">
              <w:rPr>
                <w:b/>
                <w:bCs/>
                <w:i/>
                <w:iCs/>
                <w:color w:val="000000"/>
                <w:sz w:val="20"/>
                <w:szCs w:val="20"/>
              </w:rPr>
              <w:t xml:space="preserve">, malé a stredné </w:t>
            </w:r>
            <w:proofErr w:type="spellStart"/>
            <w:r w:rsidRPr="00482FEF">
              <w:rPr>
                <w:b/>
                <w:bCs/>
                <w:i/>
                <w:iCs/>
                <w:color w:val="000000"/>
                <w:sz w:val="20"/>
                <w:szCs w:val="20"/>
              </w:rPr>
              <w:t>podn</w:t>
            </w:r>
            <w:proofErr w:type="spellEnd"/>
            <w:r w:rsidRPr="00482FEF">
              <w:rPr>
                <w:b/>
                <w:bCs/>
                <w:i/>
                <w:iCs/>
                <w:color w:val="000000"/>
                <w:sz w:val="20"/>
                <w:szCs w:val="20"/>
              </w:rPr>
              <w:t>.</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482FEF" w:rsidRPr="00482FEF" w:rsidRDefault="00482FEF" w:rsidP="00482FEF">
            <w:pPr>
              <w:jc w:val="center"/>
              <w:rPr>
                <w:b/>
                <w:bCs/>
                <w:color w:val="000000"/>
                <w:sz w:val="20"/>
                <w:szCs w:val="20"/>
              </w:rPr>
            </w:pPr>
            <w:r w:rsidRPr="00482FEF">
              <w:rPr>
                <w:b/>
                <w:bCs/>
                <w:color w:val="000000"/>
                <w:sz w:val="20"/>
                <w:szCs w:val="20"/>
              </w:rPr>
              <w:t>2 223 484</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482FEF" w:rsidRPr="00482FEF" w:rsidRDefault="00482FEF" w:rsidP="00482FEF">
            <w:pPr>
              <w:jc w:val="center"/>
              <w:rPr>
                <w:b/>
                <w:bCs/>
                <w:color w:val="000000"/>
                <w:sz w:val="20"/>
                <w:szCs w:val="20"/>
              </w:rPr>
            </w:pPr>
            <w:r w:rsidRPr="00482FEF">
              <w:rPr>
                <w:b/>
                <w:bCs/>
                <w:color w:val="000000"/>
                <w:sz w:val="20"/>
                <w:szCs w:val="20"/>
              </w:rPr>
              <w:t>0</w:t>
            </w:r>
          </w:p>
        </w:tc>
      </w:tr>
      <w:tr w:rsidR="00482FEF" w:rsidRPr="00482FEF" w:rsidTr="00482FEF">
        <w:trPr>
          <w:trHeight w:val="990"/>
        </w:trPr>
        <w:tc>
          <w:tcPr>
            <w:tcW w:w="3780" w:type="dxa"/>
            <w:tcBorders>
              <w:top w:val="nil"/>
              <w:left w:val="single" w:sz="8" w:space="0" w:color="auto"/>
              <w:bottom w:val="single" w:sz="8" w:space="0" w:color="auto"/>
              <w:right w:val="single" w:sz="4" w:space="0" w:color="auto"/>
            </w:tcBorders>
            <w:shd w:val="clear" w:color="auto" w:fill="auto"/>
            <w:vAlign w:val="center"/>
            <w:hideMark/>
          </w:tcPr>
          <w:p w:rsidR="00482FEF" w:rsidRPr="00482FEF" w:rsidRDefault="00482FEF" w:rsidP="00482FEF">
            <w:pPr>
              <w:rPr>
                <w:b/>
                <w:bCs/>
                <w:i/>
                <w:iCs/>
                <w:color w:val="000000"/>
                <w:sz w:val="20"/>
                <w:szCs w:val="20"/>
              </w:rPr>
            </w:pPr>
            <w:r w:rsidRPr="00482FEF">
              <w:rPr>
                <w:b/>
                <w:bCs/>
                <w:i/>
                <w:iCs/>
                <w:color w:val="000000"/>
                <w:sz w:val="20"/>
                <w:szCs w:val="20"/>
              </w:rPr>
              <w:t>F. Úplná harmonizácia práva EÚ</w:t>
            </w:r>
            <w:r w:rsidRPr="00482FEF">
              <w:rPr>
                <w:b/>
                <w:bCs/>
                <w:i/>
                <w:iCs/>
                <w:color w:val="000000"/>
                <w:sz w:val="20"/>
                <w:szCs w:val="20"/>
              </w:rPr>
              <w:br/>
            </w:r>
            <w:r w:rsidRPr="00482FEF">
              <w:rPr>
                <w:i/>
                <w:iCs/>
                <w:color w:val="000000"/>
                <w:sz w:val="16"/>
                <w:szCs w:val="16"/>
              </w:rPr>
              <w:t xml:space="preserve">(okrem daní, odvodov, ciel a poplatkov, ktorých cieľom je znižovať negatívne </w:t>
            </w:r>
            <w:proofErr w:type="spellStart"/>
            <w:r w:rsidRPr="00482FEF">
              <w:rPr>
                <w:i/>
                <w:iCs/>
                <w:color w:val="000000"/>
                <w:sz w:val="16"/>
                <w:szCs w:val="16"/>
              </w:rPr>
              <w:t>externality</w:t>
            </w:r>
            <w:proofErr w:type="spellEnd"/>
            <w:r w:rsidRPr="00482FEF">
              <w:rPr>
                <w:i/>
                <w:iCs/>
                <w:color w:val="000000"/>
                <w:sz w:val="16"/>
                <w:szCs w:val="16"/>
              </w:rPr>
              <w:t>)</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rsidR="00482FEF" w:rsidRPr="00482FEF" w:rsidRDefault="00482FEF" w:rsidP="00482FEF">
            <w:pPr>
              <w:jc w:val="center"/>
              <w:rPr>
                <w:b/>
                <w:bCs/>
                <w:color w:val="000000"/>
                <w:sz w:val="20"/>
                <w:szCs w:val="20"/>
              </w:rPr>
            </w:pPr>
            <w:r w:rsidRPr="00482FEF">
              <w:rPr>
                <w:b/>
                <w:bCs/>
                <w:color w:val="000000"/>
                <w:sz w:val="20"/>
                <w:szCs w:val="20"/>
              </w:rPr>
              <w:t>3 535 931</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rsidR="00482FEF" w:rsidRPr="00482FEF" w:rsidRDefault="00482FEF" w:rsidP="00482FEF">
            <w:pPr>
              <w:jc w:val="center"/>
              <w:rPr>
                <w:b/>
                <w:bCs/>
                <w:color w:val="000000"/>
                <w:sz w:val="20"/>
                <w:szCs w:val="20"/>
              </w:rPr>
            </w:pPr>
            <w:r w:rsidRPr="00482FEF">
              <w:rPr>
                <w:b/>
                <w:bCs/>
                <w:color w:val="000000"/>
                <w:sz w:val="20"/>
                <w:szCs w:val="20"/>
              </w:rPr>
              <w:t>0</w:t>
            </w:r>
          </w:p>
        </w:tc>
      </w:tr>
      <w:tr w:rsidR="00482FEF" w:rsidRPr="00482FEF" w:rsidTr="00482FEF">
        <w:trPr>
          <w:trHeight w:val="270"/>
        </w:trPr>
        <w:tc>
          <w:tcPr>
            <w:tcW w:w="3780" w:type="dxa"/>
            <w:tcBorders>
              <w:top w:val="nil"/>
              <w:left w:val="nil"/>
              <w:bottom w:val="nil"/>
              <w:right w:val="nil"/>
            </w:tcBorders>
            <w:shd w:val="clear" w:color="auto" w:fill="auto"/>
            <w:noWrap/>
            <w:vAlign w:val="bottom"/>
            <w:hideMark/>
          </w:tcPr>
          <w:p w:rsidR="00482FEF" w:rsidRPr="00482FEF" w:rsidRDefault="00482FEF" w:rsidP="00482FEF">
            <w:pPr>
              <w:jc w:val="center"/>
              <w:rPr>
                <w:b/>
                <w:bCs/>
                <w:color w:val="000000"/>
                <w:sz w:val="20"/>
                <w:szCs w:val="20"/>
              </w:rPr>
            </w:pPr>
          </w:p>
        </w:tc>
        <w:tc>
          <w:tcPr>
            <w:tcW w:w="1580" w:type="dxa"/>
            <w:tcBorders>
              <w:top w:val="nil"/>
              <w:left w:val="nil"/>
              <w:bottom w:val="nil"/>
              <w:right w:val="nil"/>
            </w:tcBorders>
            <w:shd w:val="clear" w:color="auto" w:fill="auto"/>
            <w:vAlign w:val="center"/>
            <w:hideMark/>
          </w:tcPr>
          <w:p w:rsidR="00482FEF" w:rsidRPr="00482FEF" w:rsidRDefault="00482FEF" w:rsidP="00482FEF">
            <w:pPr>
              <w:rPr>
                <w:sz w:val="20"/>
                <w:szCs w:val="20"/>
              </w:rPr>
            </w:pPr>
          </w:p>
        </w:tc>
        <w:tc>
          <w:tcPr>
            <w:tcW w:w="1060" w:type="dxa"/>
            <w:tcBorders>
              <w:top w:val="nil"/>
              <w:left w:val="nil"/>
              <w:bottom w:val="nil"/>
              <w:right w:val="nil"/>
            </w:tcBorders>
            <w:shd w:val="clear" w:color="auto" w:fill="auto"/>
            <w:vAlign w:val="center"/>
            <w:hideMark/>
          </w:tcPr>
          <w:p w:rsidR="00482FEF" w:rsidRPr="00482FEF" w:rsidRDefault="00482FEF" w:rsidP="00482FEF">
            <w:pPr>
              <w:rPr>
                <w:sz w:val="20"/>
                <w:szCs w:val="20"/>
              </w:rPr>
            </w:pPr>
          </w:p>
        </w:tc>
        <w:tc>
          <w:tcPr>
            <w:tcW w:w="1360" w:type="dxa"/>
            <w:tcBorders>
              <w:top w:val="nil"/>
              <w:left w:val="nil"/>
              <w:bottom w:val="nil"/>
              <w:right w:val="nil"/>
            </w:tcBorders>
            <w:shd w:val="clear" w:color="auto" w:fill="auto"/>
            <w:vAlign w:val="center"/>
            <w:hideMark/>
          </w:tcPr>
          <w:p w:rsidR="00482FEF" w:rsidRPr="00482FEF" w:rsidRDefault="00482FEF" w:rsidP="00482FEF">
            <w:pPr>
              <w:rPr>
                <w:sz w:val="20"/>
                <w:szCs w:val="20"/>
              </w:rPr>
            </w:pPr>
          </w:p>
        </w:tc>
        <w:tc>
          <w:tcPr>
            <w:tcW w:w="1000" w:type="dxa"/>
            <w:tcBorders>
              <w:top w:val="nil"/>
              <w:left w:val="nil"/>
              <w:bottom w:val="nil"/>
              <w:right w:val="nil"/>
            </w:tcBorders>
            <w:shd w:val="clear" w:color="auto" w:fill="auto"/>
            <w:vAlign w:val="center"/>
            <w:hideMark/>
          </w:tcPr>
          <w:p w:rsidR="00482FEF" w:rsidRPr="00482FEF" w:rsidRDefault="00482FEF" w:rsidP="00482FEF">
            <w:pPr>
              <w:rPr>
                <w:sz w:val="20"/>
                <w:szCs w:val="20"/>
              </w:rPr>
            </w:pPr>
          </w:p>
        </w:tc>
      </w:tr>
      <w:tr w:rsidR="00482FEF" w:rsidRPr="00482FEF" w:rsidTr="00482FEF">
        <w:trPr>
          <w:trHeight w:val="33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82FEF" w:rsidRPr="00482FEF" w:rsidRDefault="00482FEF" w:rsidP="00482FEF">
            <w:pPr>
              <w:rPr>
                <w:i/>
                <w:iCs/>
                <w:color w:val="000000"/>
                <w:sz w:val="20"/>
                <w:szCs w:val="20"/>
              </w:rPr>
            </w:pPr>
            <w:r w:rsidRPr="00482FEF">
              <w:rPr>
                <w:i/>
                <w:iCs/>
                <w:color w:val="000000"/>
                <w:sz w:val="20"/>
                <w:szCs w:val="20"/>
              </w:rPr>
              <w:t>VÝPOČET PRAVIDLA 1in2out:</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rsidR="00482FEF" w:rsidRPr="00482FEF" w:rsidRDefault="00482FEF" w:rsidP="00482FEF">
            <w:pPr>
              <w:jc w:val="center"/>
              <w:rPr>
                <w:color w:val="000000"/>
                <w:sz w:val="20"/>
                <w:szCs w:val="20"/>
              </w:rPr>
            </w:pPr>
            <w:r w:rsidRPr="00482FEF">
              <w:rPr>
                <w:color w:val="000000"/>
                <w:sz w:val="20"/>
                <w:szCs w:val="20"/>
              </w:rPr>
              <w:t>IN</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rsidR="00482FEF" w:rsidRPr="00482FEF" w:rsidRDefault="00482FEF" w:rsidP="00482FEF">
            <w:pPr>
              <w:jc w:val="center"/>
              <w:rPr>
                <w:color w:val="000000"/>
                <w:sz w:val="20"/>
                <w:szCs w:val="20"/>
              </w:rPr>
            </w:pPr>
            <w:r w:rsidRPr="00482FEF">
              <w:rPr>
                <w:color w:val="000000"/>
                <w:sz w:val="20"/>
                <w:szCs w:val="20"/>
              </w:rPr>
              <w:t>OUT</w:t>
            </w:r>
          </w:p>
        </w:tc>
      </w:tr>
      <w:tr w:rsidR="00482FEF" w:rsidRPr="00482FEF" w:rsidTr="00482FEF">
        <w:trPr>
          <w:trHeight w:val="345"/>
        </w:trPr>
        <w:tc>
          <w:tcPr>
            <w:tcW w:w="3780" w:type="dxa"/>
            <w:tcBorders>
              <w:top w:val="nil"/>
              <w:left w:val="single" w:sz="8" w:space="0" w:color="auto"/>
              <w:bottom w:val="single" w:sz="8" w:space="0" w:color="auto"/>
              <w:right w:val="single" w:sz="4" w:space="0" w:color="auto"/>
            </w:tcBorders>
            <w:shd w:val="clear" w:color="auto" w:fill="auto"/>
            <w:vAlign w:val="center"/>
            <w:hideMark/>
          </w:tcPr>
          <w:p w:rsidR="00482FEF" w:rsidRPr="00482FEF" w:rsidRDefault="00482FEF" w:rsidP="00482FEF">
            <w:pPr>
              <w:rPr>
                <w:i/>
                <w:iCs/>
                <w:color w:val="000000"/>
                <w:sz w:val="20"/>
                <w:szCs w:val="20"/>
              </w:rPr>
            </w:pPr>
            <w:r w:rsidRPr="00482FEF">
              <w:rPr>
                <w:i/>
                <w:iCs/>
                <w:color w:val="000000"/>
                <w:sz w:val="20"/>
                <w:szCs w:val="20"/>
              </w:rPr>
              <w:t>G. Náklady okrem výnimiek = B+C+D-F</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rsidR="00482FEF" w:rsidRPr="00482FEF" w:rsidRDefault="00482FEF" w:rsidP="00482FEF">
            <w:pPr>
              <w:jc w:val="center"/>
              <w:rPr>
                <w:b/>
                <w:bCs/>
                <w:color w:val="000000"/>
                <w:sz w:val="20"/>
                <w:szCs w:val="20"/>
              </w:rPr>
            </w:pPr>
            <w:r w:rsidRPr="00482FEF">
              <w:rPr>
                <w:b/>
                <w:bCs/>
                <w:color w:val="000000"/>
                <w:sz w:val="20"/>
                <w:szCs w:val="20"/>
              </w:rPr>
              <w:t>0</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rsidR="00482FEF" w:rsidRPr="00482FEF" w:rsidRDefault="00482FEF" w:rsidP="00482FEF">
            <w:pPr>
              <w:jc w:val="center"/>
              <w:rPr>
                <w:b/>
                <w:bCs/>
                <w:color w:val="000000"/>
                <w:sz w:val="20"/>
                <w:szCs w:val="20"/>
              </w:rPr>
            </w:pPr>
            <w:r w:rsidRPr="00482FEF">
              <w:rPr>
                <w:b/>
                <w:bCs/>
                <w:color w:val="000000"/>
                <w:sz w:val="20"/>
                <w:szCs w:val="20"/>
              </w:rPr>
              <w:t>0</w:t>
            </w:r>
          </w:p>
        </w:tc>
      </w:tr>
    </w:tbl>
    <w:p w:rsidR="00753007" w:rsidRDefault="00753007">
      <w:pPr>
        <w:sectPr w:rsidR="00753007">
          <w:pgSz w:w="11906" w:h="16838"/>
          <w:pgMar w:top="1417" w:right="1417" w:bottom="1417" w:left="1417" w:header="708" w:footer="708" w:gutter="0"/>
          <w:cols w:space="708"/>
          <w:docGrid w:linePitch="360"/>
        </w:sectPr>
      </w:pPr>
    </w:p>
    <w:p w:rsidR="00753007" w:rsidRPr="001F1B43" w:rsidRDefault="00753007" w:rsidP="00753007">
      <w:pPr>
        <w:rPr>
          <w:rFonts w:eastAsia="Calibri"/>
          <w:b/>
          <w:i/>
          <w:iCs/>
        </w:rPr>
      </w:pPr>
      <w:r w:rsidRPr="001F1B43">
        <w:rPr>
          <w:rFonts w:eastAsia="Calibri"/>
          <w:b/>
          <w:i/>
          <w:iCs/>
        </w:rPr>
        <w:lastRenderedPageBreak/>
        <w:t>3.1.2 Výpočty vplyvov jednotlivých regulácií na zmeny v nákladoch podnikateľov</w:t>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p>
    <w:p w:rsidR="00753007" w:rsidRPr="00D8247C" w:rsidRDefault="00753007" w:rsidP="00753007">
      <w:pPr>
        <w:jc w:val="both"/>
        <w:rPr>
          <w:rFonts w:eastAsia="Calibri"/>
          <w:i/>
        </w:rPr>
      </w:pPr>
      <w:r w:rsidRPr="00D8247C">
        <w:rPr>
          <w:rFonts w:eastAsia="Calibri"/>
          <w:i/>
        </w:rPr>
        <w:t>Tabuľka č. 2: Výpočet vplyvov jednotlivých regulácií (nahraďte rovnakou tabuľkou po vyplnení Kalkulačky nákladov):</w:t>
      </w:r>
    </w:p>
    <w:p w:rsidR="00753007" w:rsidRDefault="00753007" w:rsidP="00753007">
      <w:pPr>
        <w:jc w:val="both"/>
        <w:rPr>
          <w:rFonts w:eastAsia="Calibri"/>
          <w:b/>
          <w:bCs/>
          <w:i/>
        </w:rPr>
      </w:pPr>
    </w:p>
    <w:tbl>
      <w:tblPr>
        <w:tblW w:w="5000" w:type="pct"/>
        <w:tblCellMar>
          <w:left w:w="70" w:type="dxa"/>
          <w:right w:w="70" w:type="dxa"/>
        </w:tblCellMar>
        <w:tblLook w:val="04A0" w:firstRow="1" w:lastRow="0" w:firstColumn="1" w:lastColumn="0" w:noHBand="0" w:noVBand="1"/>
      </w:tblPr>
      <w:tblGrid>
        <w:gridCol w:w="451"/>
        <w:gridCol w:w="1946"/>
        <w:gridCol w:w="1085"/>
        <w:gridCol w:w="1129"/>
        <w:gridCol w:w="1218"/>
        <w:gridCol w:w="934"/>
        <w:gridCol w:w="2615"/>
        <w:gridCol w:w="974"/>
        <w:gridCol w:w="974"/>
        <w:gridCol w:w="791"/>
        <w:gridCol w:w="974"/>
        <w:gridCol w:w="903"/>
      </w:tblGrid>
      <w:tr w:rsidR="00F83AF8" w:rsidRPr="00F83AF8" w:rsidTr="00F83AF8">
        <w:trPr>
          <w:trHeight w:val="255"/>
        </w:trPr>
        <w:tc>
          <w:tcPr>
            <w:tcW w:w="21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F83AF8" w:rsidRPr="00F83AF8" w:rsidRDefault="00F83AF8" w:rsidP="00F83AF8">
            <w:pPr>
              <w:jc w:val="center"/>
              <w:rPr>
                <w:b/>
                <w:bCs/>
                <w:color w:val="000000"/>
                <w:sz w:val="20"/>
                <w:szCs w:val="20"/>
              </w:rPr>
            </w:pPr>
            <w:proofErr w:type="spellStart"/>
            <w:r w:rsidRPr="00F83AF8">
              <w:rPr>
                <w:b/>
                <w:bCs/>
                <w:color w:val="000000"/>
                <w:sz w:val="20"/>
                <w:szCs w:val="20"/>
              </w:rPr>
              <w:t>P.č</w:t>
            </w:r>
            <w:proofErr w:type="spellEnd"/>
            <w:r w:rsidRPr="00F83AF8">
              <w:rPr>
                <w:b/>
                <w:bCs/>
                <w:color w:val="000000"/>
                <w:sz w:val="20"/>
                <w:szCs w:val="20"/>
              </w:rPr>
              <w:t>.</w:t>
            </w:r>
          </w:p>
        </w:tc>
        <w:tc>
          <w:tcPr>
            <w:tcW w:w="896"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F83AF8" w:rsidRPr="00F83AF8" w:rsidRDefault="00F83AF8" w:rsidP="00F83AF8">
            <w:pPr>
              <w:jc w:val="center"/>
              <w:rPr>
                <w:b/>
                <w:bCs/>
                <w:color w:val="000000"/>
                <w:sz w:val="20"/>
                <w:szCs w:val="20"/>
              </w:rPr>
            </w:pPr>
            <w:r w:rsidRPr="00F83AF8">
              <w:rPr>
                <w:b/>
                <w:bCs/>
                <w:color w:val="000000"/>
                <w:sz w:val="20"/>
                <w:szCs w:val="20"/>
              </w:rPr>
              <w:t xml:space="preserve">Zrozumiteľný a stručný opis regulácie </w:t>
            </w:r>
            <w:r w:rsidRPr="00F83AF8">
              <w:rPr>
                <w:b/>
                <w:bCs/>
                <w:color w:val="000000"/>
                <w:sz w:val="20"/>
                <w:szCs w:val="20"/>
              </w:rPr>
              <w:br/>
              <w:t>(dôvod zvýšenia/zníženia nákladov na PP)</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F83AF8" w:rsidRPr="00F83AF8" w:rsidRDefault="00F83AF8" w:rsidP="00F83AF8">
            <w:pPr>
              <w:jc w:val="center"/>
              <w:rPr>
                <w:b/>
                <w:bCs/>
                <w:color w:val="000000"/>
                <w:sz w:val="20"/>
                <w:szCs w:val="20"/>
              </w:rPr>
            </w:pPr>
            <w:r w:rsidRPr="00F83AF8">
              <w:rPr>
                <w:b/>
                <w:bCs/>
                <w:color w:val="000000"/>
                <w:sz w:val="20"/>
                <w:szCs w:val="20"/>
              </w:rPr>
              <w:t>Číslo normy</w:t>
            </w:r>
            <w:r w:rsidRPr="00F83AF8">
              <w:rPr>
                <w:b/>
                <w:bCs/>
                <w:color w:val="000000"/>
                <w:sz w:val="20"/>
                <w:szCs w:val="20"/>
              </w:rPr>
              <w:br/>
            </w:r>
            <w:r w:rsidRPr="00F83AF8">
              <w:rPr>
                <w:color w:val="000000"/>
                <w:sz w:val="20"/>
                <w:szCs w:val="20"/>
              </w:rPr>
              <w:t>(zákona, vyhlášky a pod.)</w:t>
            </w:r>
          </w:p>
        </w:tc>
        <w:tc>
          <w:tcPr>
            <w:tcW w:w="269"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F83AF8" w:rsidRPr="00F83AF8" w:rsidRDefault="00F83AF8" w:rsidP="00F83AF8">
            <w:pPr>
              <w:jc w:val="center"/>
              <w:rPr>
                <w:b/>
                <w:bCs/>
                <w:color w:val="000000"/>
                <w:sz w:val="20"/>
                <w:szCs w:val="20"/>
              </w:rPr>
            </w:pPr>
            <w:r w:rsidRPr="00F83AF8">
              <w:rPr>
                <w:b/>
                <w:bCs/>
                <w:color w:val="000000"/>
                <w:sz w:val="20"/>
                <w:szCs w:val="20"/>
              </w:rPr>
              <w:t>Lokalizácia</w:t>
            </w:r>
            <w:r w:rsidRPr="00F83AF8">
              <w:rPr>
                <w:b/>
                <w:bCs/>
                <w:color w:val="000000"/>
                <w:sz w:val="20"/>
                <w:szCs w:val="20"/>
              </w:rPr>
              <w:br/>
              <w:t>(§, ods.)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F83AF8" w:rsidRPr="00F83AF8" w:rsidRDefault="00F83AF8" w:rsidP="00F83AF8">
            <w:pPr>
              <w:jc w:val="center"/>
              <w:rPr>
                <w:b/>
                <w:bCs/>
                <w:color w:val="000000"/>
                <w:sz w:val="20"/>
                <w:szCs w:val="20"/>
              </w:rPr>
            </w:pPr>
            <w:r w:rsidRPr="00F83AF8">
              <w:rPr>
                <w:b/>
                <w:bCs/>
                <w:color w:val="000000"/>
                <w:sz w:val="20"/>
                <w:szCs w:val="20"/>
              </w:rPr>
              <w:t xml:space="preserve">Pôvod regulácie: </w:t>
            </w:r>
            <w:r w:rsidRPr="00F83AF8">
              <w:rPr>
                <w:b/>
                <w:bCs/>
                <w:color w:val="000000"/>
                <w:sz w:val="20"/>
                <w:szCs w:val="20"/>
              </w:rPr>
              <w:br/>
            </w:r>
            <w:r w:rsidRPr="00F83AF8">
              <w:rPr>
                <w:color w:val="000000"/>
                <w:sz w:val="20"/>
                <w:szCs w:val="20"/>
              </w:rPr>
              <w:t xml:space="preserve">SR/EÚ úplná </w:t>
            </w:r>
            <w:proofErr w:type="spellStart"/>
            <w:r w:rsidRPr="00F83AF8">
              <w:rPr>
                <w:color w:val="000000"/>
                <w:sz w:val="20"/>
                <w:szCs w:val="20"/>
              </w:rPr>
              <w:t>harm</w:t>
            </w:r>
            <w:proofErr w:type="spellEnd"/>
            <w:r w:rsidRPr="00F83AF8">
              <w:rPr>
                <w:color w:val="000000"/>
                <w:sz w:val="20"/>
                <w:szCs w:val="20"/>
              </w:rPr>
              <w:t xml:space="preserve">./EÚ </w:t>
            </w:r>
            <w:proofErr w:type="spellStart"/>
            <w:r w:rsidRPr="00F83AF8">
              <w:rPr>
                <w:color w:val="000000"/>
                <w:sz w:val="20"/>
                <w:szCs w:val="20"/>
              </w:rPr>
              <w:t>harm</w:t>
            </w:r>
            <w:proofErr w:type="spellEnd"/>
            <w:r w:rsidRPr="00F83AF8">
              <w:rPr>
                <w:color w:val="000000"/>
                <w:sz w:val="20"/>
                <w:szCs w:val="20"/>
              </w:rPr>
              <w:t>. s možnosťou voľby</w:t>
            </w:r>
          </w:p>
        </w:tc>
        <w:tc>
          <w:tcPr>
            <w:tcW w:w="238"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F83AF8" w:rsidRPr="00F83AF8" w:rsidRDefault="00F83AF8" w:rsidP="00F83AF8">
            <w:pPr>
              <w:jc w:val="center"/>
              <w:rPr>
                <w:b/>
                <w:bCs/>
                <w:color w:val="000000"/>
                <w:sz w:val="20"/>
                <w:szCs w:val="20"/>
              </w:rPr>
            </w:pPr>
            <w:r w:rsidRPr="00F83AF8">
              <w:rPr>
                <w:b/>
                <w:bCs/>
                <w:color w:val="000000"/>
                <w:sz w:val="20"/>
                <w:szCs w:val="20"/>
              </w:rPr>
              <w:t>Účinnosť regulácie</w:t>
            </w:r>
          </w:p>
        </w:tc>
        <w:tc>
          <w:tcPr>
            <w:tcW w:w="1061"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F83AF8" w:rsidRPr="00F83AF8" w:rsidRDefault="00F83AF8" w:rsidP="00F83AF8">
            <w:pPr>
              <w:jc w:val="center"/>
              <w:rPr>
                <w:b/>
                <w:bCs/>
                <w:color w:val="000000"/>
                <w:sz w:val="20"/>
                <w:szCs w:val="20"/>
              </w:rPr>
            </w:pPr>
            <w:r w:rsidRPr="00F83AF8">
              <w:rPr>
                <w:b/>
                <w:bCs/>
                <w:color w:val="000000"/>
                <w:sz w:val="20"/>
                <w:szCs w:val="20"/>
              </w:rPr>
              <w:t xml:space="preserve">Kategória </w:t>
            </w:r>
            <w:proofErr w:type="spellStart"/>
            <w:r w:rsidRPr="00F83AF8">
              <w:rPr>
                <w:b/>
                <w:bCs/>
                <w:color w:val="000000"/>
                <w:sz w:val="20"/>
                <w:szCs w:val="20"/>
              </w:rPr>
              <w:t>dotk</w:t>
            </w:r>
            <w:proofErr w:type="spellEnd"/>
            <w:r w:rsidRPr="00F83AF8">
              <w:rPr>
                <w:b/>
                <w:bCs/>
                <w:color w:val="000000"/>
                <w:sz w:val="20"/>
                <w:szCs w:val="20"/>
              </w:rPr>
              <w:t>. subjektov</w:t>
            </w:r>
          </w:p>
        </w:tc>
        <w:tc>
          <w:tcPr>
            <w:tcW w:w="25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F83AF8" w:rsidRPr="00F83AF8" w:rsidRDefault="00F83AF8" w:rsidP="00F83AF8">
            <w:pPr>
              <w:jc w:val="center"/>
              <w:rPr>
                <w:b/>
                <w:bCs/>
                <w:color w:val="000000"/>
                <w:sz w:val="20"/>
                <w:szCs w:val="20"/>
              </w:rPr>
            </w:pPr>
            <w:r w:rsidRPr="00F83AF8">
              <w:rPr>
                <w:b/>
                <w:bCs/>
                <w:color w:val="000000"/>
                <w:sz w:val="20"/>
                <w:szCs w:val="20"/>
              </w:rPr>
              <w:t xml:space="preserve">Počet subjektov spolu </w:t>
            </w:r>
          </w:p>
        </w:tc>
        <w:tc>
          <w:tcPr>
            <w:tcW w:w="323"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F83AF8" w:rsidRPr="00F83AF8" w:rsidRDefault="00F83AF8" w:rsidP="00F83AF8">
            <w:pPr>
              <w:jc w:val="center"/>
              <w:rPr>
                <w:b/>
                <w:bCs/>
                <w:color w:val="000000"/>
                <w:sz w:val="20"/>
                <w:szCs w:val="20"/>
              </w:rPr>
            </w:pPr>
            <w:r w:rsidRPr="00F83AF8">
              <w:rPr>
                <w:b/>
                <w:bCs/>
                <w:color w:val="000000"/>
                <w:sz w:val="20"/>
                <w:szCs w:val="20"/>
              </w:rPr>
              <w:t>Počet subjektov MSP</w:t>
            </w:r>
          </w:p>
        </w:tc>
        <w:tc>
          <w:tcPr>
            <w:tcW w:w="280"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F83AF8" w:rsidRPr="00F83AF8" w:rsidRDefault="00F83AF8" w:rsidP="00F83AF8">
            <w:pPr>
              <w:jc w:val="center"/>
              <w:rPr>
                <w:b/>
                <w:bCs/>
                <w:color w:val="000000"/>
                <w:sz w:val="20"/>
                <w:szCs w:val="20"/>
              </w:rPr>
            </w:pPr>
            <w:r w:rsidRPr="00F83AF8">
              <w:rPr>
                <w:b/>
                <w:bCs/>
                <w:color w:val="000000"/>
                <w:sz w:val="20"/>
                <w:szCs w:val="20"/>
              </w:rPr>
              <w:t>Vplyv na 1 podnik. v €</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F83AF8" w:rsidRPr="00F83AF8" w:rsidRDefault="00F83AF8" w:rsidP="00F83AF8">
            <w:pPr>
              <w:jc w:val="center"/>
              <w:rPr>
                <w:b/>
                <w:bCs/>
                <w:color w:val="000000"/>
                <w:sz w:val="20"/>
                <w:szCs w:val="20"/>
              </w:rPr>
            </w:pPr>
            <w:r w:rsidRPr="00F83AF8">
              <w:rPr>
                <w:b/>
                <w:bCs/>
                <w:color w:val="000000"/>
                <w:sz w:val="20"/>
                <w:szCs w:val="20"/>
              </w:rPr>
              <w:t xml:space="preserve">Vplyv na kategóriu </w:t>
            </w:r>
            <w:proofErr w:type="spellStart"/>
            <w:r w:rsidRPr="00F83AF8">
              <w:rPr>
                <w:b/>
                <w:bCs/>
                <w:color w:val="000000"/>
                <w:sz w:val="20"/>
                <w:szCs w:val="20"/>
              </w:rPr>
              <w:t>dotk</w:t>
            </w:r>
            <w:proofErr w:type="spellEnd"/>
            <w:r w:rsidRPr="00F83AF8">
              <w:rPr>
                <w:b/>
                <w:bCs/>
                <w:color w:val="000000"/>
                <w:sz w:val="20"/>
                <w:szCs w:val="20"/>
              </w:rPr>
              <w:t>. subjektov v €</w:t>
            </w:r>
          </w:p>
        </w:tc>
        <w:tc>
          <w:tcPr>
            <w:tcW w:w="450"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F83AF8" w:rsidRPr="00F83AF8" w:rsidRDefault="00F83AF8" w:rsidP="00F83AF8">
            <w:pPr>
              <w:jc w:val="center"/>
              <w:rPr>
                <w:b/>
                <w:bCs/>
                <w:color w:val="000000"/>
                <w:sz w:val="20"/>
                <w:szCs w:val="20"/>
              </w:rPr>
            </w:pPr>
            <w:r w:rsidRPr="00F83AF8">
              <w:rPr>
                <w:b/>
                <w:bCs/>
                <w:color w:val="000000"/>
                <w:sz w:val="20"/>
                <w:szCs w:val="20"/>
              </w:rPr>
              <w:t>Druh vplyvu</w:t>
            </w:r>
            <w:r w:rsidRPr="00F83AF8">
              <w:rPr>
                <w:b/>
                <w:bCs/>
                <w:color w:val="000000"/>
                <w:sz w:val="20"/>
                <w:szCs w:val="20"/>
              </w:rPr>
              <w:br/>
            </w:r>
            <w:r w:rsidRPr="00F83AF8">
              <w:rPr>
                <w:color w:val="000000"/>
                <w:sz w:val="20"/>
                <w:szCs w:val="20"/>
              </w:rPr>
              <w:t xml:space="preserve">In (zvyšuje náklady) / </w:t>
            </w:r>
            <w:r w:rsidRPr="00F83AF8">
              <w:rPr>
                <w:color w:val="000000"/>
                <w:sz w:val="20"/>
                <w:szCs w:val="20"/>
              </w:rPr>
              <w:br/>
            </w:r>
            <w:proofErr w:type="spellStart"/>
            <w:r w:rsidRPr="00F83AF8">
              <w:rPr>
                <w:color w:val="000000"/>
                <w:sz w:val="20"/>
                <w:szCs w:val="20"/>
              </w:rPr>
              <w:t>Out</w:t>
            </w:r>
            <w:proofErr w:type="spellEnd"/>
            <w:r w:rsidRPr="00F83AF8">
              <w:rPr>
                <w:color w:val="000000"/>
                <w:sz w:val="20"/>
                <w:szCs w:val="20"/>
              </w:rPr>
              <w:t xml:space="preserve"> (znižuje náklady)</w:t>
            </w:r>
          </w:p>
        </w:tc>
      </w:tr>
      <w:tr w:rsidR="00F83AF8" w:rsidRPr="00F83AF8" w:rsidTr="00F83AF8">
        <w:trPr>
          <w:trHeight w:val="458"/>
        </w:trPr>
        <w:tc>
          <w:tcPr>
            <w:tcW w:w="214"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896"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375" w:type="pct"/>
            <w:vMerge/>
            <w:tcBorders>
              <w:top w:val="single" w:sz="4" w:space="0" w:color="auto"/>
              <w:left w:val="single" w:sz="4" w:space="0" w:color="auto"/>
              <w:bottom w:val="single" w:sz="4" w:space="0" w:color="000000"/>
              <w:right w:val="single" w:sz="4" w:space="0" w:color="auto"/>
            </w:tcBorders>
            <w:vAlign w:val="center"/>
            <w:hideMark/>
          </w:tcPr>
          <w:p w:rsidR="00F83AF8" w:rsidRPr="00F83AF8" w:rsidRDefault="00F83AF8" w:rsidP="00F83AF8">
            <w:pPr>
              <w:rPr>
                <w:b/>
                <w:bCs/>
                <w:color w:val="000000"/>
                <w:sz w:val="20"/>
                <w:szCs w:val="20"/>
              </w:rPr>
            </w:pPr>
          </w:p>
        </w:tc>
        <w:tc>
          <w:tcPr>
            <w:tcW w:w="269" w:type="pct"/>
            <w:vMerge/>
            <w:tcBorders>
              <w:top w:val="single" w:sz="4" w:space="0" w:color="auto"/>
              <w:left w:val="single" w:sz="4" w:space="0" w:color="auto"/>
              <w:bottom w:val="single" w:sz="4" w:space="0" w:color="000000"/>
              <w:right w:val="single" w:sz="4" w:space="0" w:color="auto"/>
            </w:tcBorders>
            <w:vAlign w:val="center"/>
            <w:hideMark/>
          </w:tcPr>
          <w:p w:rsidR="00F83AF8" w:rsidRPr="00F83AF8" w:rsidRDefault="00F83AF8" w:rsidP="00F83AF8">
            <w:pPr>
              <w:rPr>
                <w:b/>
                <w:bCs/>
                <w:color w:val="000000"/>
                <w:sz w:val="20"/>
                <w:szCs w:val="2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1061"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r>
      <w:tr w:rsidR="00F83AF8" w:rsidRPr="00F83AF8" w:rsidTr="00F83AF8">
        <w:trPr>
          <w:trHeight w:val="458"/>
        </w:trPr>
        <w:tc>
          <w:tcPr>
            <w:tcW w:w="214"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896"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375" w:type="pct"/>
            <w:vMerge/>
            <w:tcBorders>
              <w:top w:val="single" w:sz="4" w:space="0" w:color="auto"/>
              <w:left w:val="single" w:sz="4" w:space="0" w:color="auto"/>
              <w:bottom w:val="single" w:sz="4" w:space="0" w:color="000000"/>
              <w:right w:val="single" w:sz="4" w:space="0" w:color="auto"/>
            </w:tcBorders>
            <w:vAlign w:val="center"/>
            <w:hideMark/>
          </w:tcPr>
          <w:p w:rsidR="00F83AF8" w:rsidRPr="00F83AF8" w:rsidRDefault="00F83AF8" w:rsidP="00F83AF8">
            <w:pPr>
              <w:rPr>
                <w:b/>
                <w:bCs/>
                <w:color w:val="000000"/>
                <w:sz w:val="20"/>
                <w:szCs w:val="20"/>
              </w:rPr>
            </w:pPr>
          </w:p>
        </w:tc>
        <w:tc>
          <w:tcPr>
            <w:tcW w:w="269" w:type="pct"/>
            <w:vMerge/>
            <w:tcBorders>
              <w:top w:val="single" w:sz="4" w:space="0" w:color="auto"/>
              <w:left w:val="single" w:sz="4" w:space="0" w:color="auto"/>
              <w:bottom w:val="single" w:sz="4" w:space="0" w:color="000000"/>
              <w:right w:val="single" w:sz="4" w:space="0" w:color="auto"/>
            </w:tcBorders>
            <w:vAlign w:val="center"/>
            <w:hideMark/>
          </w:tcPr>
          <w:p w:rsidR="00F83AF8" w:rsidRPr="00F83AF8" w:rsidRDefault="00F83AF8" w:rsidP="00F83AF8">
            <w:pPr>
              <w:rPr>
                <w:b/>
                <w:bCs/>
                <w:color w:val="000000"/>
                <w:sz w:val="20"/>
                <w:szCs w:val="2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1061"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r>
      <w:tr w:rsidR="00F83AF8" w:rsidRPr="00F83AF8" w:rsidTr="00F83AF8">
        <w:trPr>
          <w:trHeight w:val="458"/>
        </w:trPr>
        <w:tc>
          <w:tcPr>
            <w:tcW w:w="214"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896"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375" w:type="pct"/>
            <w:vMerge/>
            <w:tcBorders>
              <w:top w:val="single" w:sz="4" w:space="0" w:color="auto"/>
              <w:left w:val="single" w:sz="4" w:space="0" w:color="auto"/>
              <w:bottom w:val="single" w:sz="4" w:space="0" w:color="000000"/>
              <w:right w:val="single" w:sz="4" w:space="0" w:color="auto"/>
            </w:tcBorders>
            <w:vAlign w:val="center"/>
            <w:hideMark/>
          </w:tcPr>
          <w:p w:rsidR="00F83AF8" w:rsidRPr="00F83AF8" w:rsidRDefault="00F83AF8" w:rsidP="00F83AF8">
            <w:pPr>
              <w:rPr>
                <w:b/>
                <w:bCs/>
                <w:color w:val="000000"/>
                <w:sz w:val="20"/>
                <w:szCs w:val="20"/>
              </w:rPr>
            </w:pPr>
          </w:p>
        </w:tc>
        <w:tc>
          <w:tcPr>
            <w:tcW w:w="269" w:type="pct"/>
            <w:vMerge/>
            <w:tcBorders>
              <w:top w:val="single" w:sz="4" w:space="0" w:color="auto"/>
              <w:left w:val="single" w:sz="4" w:space="0" w:color="auto"/>
              <w:bottom w:val="single" w:sz="4" w:space="0" w:color="000000"/>
              <w:right w:val="single" w:sz="4" w:space="0" w:color="auto"/>
            </w:tcBorders>
            <w:vAlign w:val="center"/>
            <w:hideMark/>
          </w:tcPr>
          <w:p w:rsidR="00F83AF8" w:rsidRPr="00F83AF8" w:rsidRDefault="00F83AF8" w:rsidP="00F83AF8">
            <w:pPr>
              <w:rPr>
                <w:b/>
                <w:bCs/>
                <w:color w:val="000000"/>
                <w:sz w:val="20"/>
                <w:szCs w:val="2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1061"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r>
      <w:tr w:rsidR="00F83AF8" w:rsidRPr="00F83AF8" w:rsidTr="00F83AF8">
        <w:trPr>
          <w:trHeight w:val="458"/>
        </w:trPr>
        <w:tc>
          <w:tcPr>
            <w:tcW w:w="214"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896"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375" w:type="pct"/>
            <w:vMerge/>
            <w:tcBorders>
              <w:top w:val="single" w:sz="4" w:space="0" w:color="auto"/>
              <w:left w:val="single" w:sz="4" w:space="0" w:color="auto"/>
              <w:bottom w:val="single" w:sz="4" w:space="0" w:color="000000"/>
              <w:right w:val="single" w:sz="4" w:space="0" w:color="auto"/>
            </w:tcBorders>
            <w:vAlign w:val="center"/>
            <w:hideMark/>
          </w:tcPr>
          <w:p w:rsidR="00F83AF8" w:rsidRPr="00F83AF8" w:rsidRDefault="00F83AF8" w:rsidP="00F83AF8">
            <w:pPr>
              <w:rPr>
                <w:b/>
                <w:bCs/>
                <w:color w:val="000000"/>
                <w:sz w:val="20"/>
                <w:szCs w:val="20"/>
              </w:rPr>
            </w:pPr>
          </w:p>
        </w:tc>
        <w:tc>
          <w:tcPr>
            <w:tcW w:w="269" w:type="pct"/>
            <w:vMerge/>
            <w:tcBorders>
              <w:top w:val="single" w:sz="4" w:space="0" w:color="auto"/>
              <w:left w:val="single" w:sz="4" w:space="0" w:color="auto"/>
              <w:bottom w:val="single" w:sz="4" w:space="0" w:color="000000"/>
              <w:right w:val="single" w:sz="4" w:space="0" w:color="auto"/>
            </w:tcBorders>
            <w:vAlign w:val="center"/>
            <w:hideMark/>
          </w:tcPr>
          <w:p w:rsidR="00F83AF8" w:rsidRPr="00F83AF8" w:rsidRDefault="00F83AF8" w:rsidP="00F83AF8">
            <w:pPr>
              <w:rPr>
                <w:b/>
                <w:bCs/>
                <w:color w:val="000000"/>
                <w:sz w:val="20"/>
                <w:szCs w:val="2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1061"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r>
      <w:tr w:rsidR="00F83AF8" w:rsidRPr="00F83AF8" w:rsidTr="00F83AF8">
        <w:trPr>
          <w:trHeight w:val="458"/>
        </w:trPr>
        <w:tc>
          <w:tcPr>
            <w:tcW w:w="214"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896"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375" w:type="pct"/>
            <w:vMerge/>
            <w:tcBorders>
              <w:top w:val="single" w:sz="4" w:space="0" w:color="auto"/>
              <w:left w:val="single" w:sz="4" w:space="0" w:color="auto"/>
              <w:bottom w:val="single" w:sz="4" w:space="0" w:color="000000"/>
              <w:right w:val="single" w:sz="4" w:space="0" w:color="auto"/>
            </w:tcBorders>
            <w:vAlign w:val="center"/>
            <w:hideMark/>
          </w:tcPr>
          <w:p w:rsidR="00F83AF8" w:rsidRPr="00F83AF8" w:rsidRDefault="00F83AF8" w:rsidP="00F83AF8">
            <w:pPr>
              <w:rPr>
                <w:b/>
                <w:bCs/>
                <w:color w:val="000000"/>
                <w:sz w:val="20"/>
                <w:szCs w:val="20"/>
              </w:rPr>
            </w:pPr>
          </w:p>
        </w:tc>
        <w:tc>
          <w:tcPr>
            <w:tcW w:w="269" w:type="pct"/>
            <w:vMerge/>
            <w:tcBorders>
              <w:top w:val="single" w:sz="4" w:space="0" w:color="auto"/>
              <w:left w:val="single" w:sz="4" w:space="0" w:color="auto"/>
              <w:bottom w:val="single" w:sz="4" w:space="0" w:color="000000"/>
              <w:right w:val="single" w:sz="4" w:space="0" w:color="auto"/>
            </w:tcBorders>
            <w:vAlign w:val="center"/>
            <w:hideMark/>
          </w:tcPr>
          <w:p w:rsidR="00F83AF8" w:rsidRPr="00F83AF8" w:rsidRDefault="00F83AF8" w:rsidP="00F83AF8">
            <w:pPr>
              <w:rPr>
                <w:b/>
                <w:bCs/>
                <w:color w:val="000000"/>
                <w:sz w:val="20"/>
                <w:szCs w:val="20"/>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1061"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F83AF8" w:rsidRPr="00F83AF8" w:rsidRDefault="00F83AF8" w:rsidP="00F83AF8">
            <w:pPr>
              <w:rPr>
                <w:b/>
                <w:bCs/>
                <w:color w:val="000000"/>
                <w:sz w:val="20"/>
                <w:szCs w:val="20"/>
              </w:rPr>
            </w:pPr>
          </w:p>
        </w:tc>
      </w:tr>
      <w:tr w:rsidR="00F83AF8" w:rsidRPr="00F83AF8" w:rsidTr="00F83AF8">
        <w:trPr>
          <w:trHeight w:val="270"/>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1</w:t>
            </w:r>
          </w:p>
        </w:tc>
        <w:tc>
          <w:tcPr>
            <w:tcW w:w="896"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Povinnosť viesť evidenciu podnetov na bezpečnosť výrobku</w:t>
            </w:r>
          </w:p>
        </w:tc>
        <w:tc>
          <w:tcPr>
            <w:tcW w:w="375"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Zákon o všeobecnej bezpečnosti výrobkov a o zmene a doplnení niektorých zákonov</w:t>
            </w:r>
          </w:p>
        </w:tc>
        <w:tc>
          <w:tcPr>
            <w:tcW w:w="269"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 4 ods. 4 písm. b)</w:t>
            </w:r>
          </w:p>
        </w:tc>
        <w:tc>
          <w:tcPr>
            <w:tcW w:w="324"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EÚ úplná harmonizácia</w:t>
            </w:r>
          </w:p>
        </w:tc>
        <w:tc>
          <w:tcPr>
            <w:tcW w:w="238"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C032F7">
            <w:pPr>
              <w:jc w:val="center"/>
              <w:rPr>
                <w:color w:val="000000"/>
                <w:sz w:val="20"/>
                <w:szCs w:val="20"/>
              </w:rPr>
            </w:pPr>
            <w:r w:rsidRPr="00F83AF8">
              <w:rPr>
                <w:color w:val="000000"/>
                <w:sz w:val="20"/>
                <w:szCs w:val="20"/>
              </w:rPr>
              <w:t>01.0</w:t>
            </w:r>
            <w:r w:rsidR="007363CE">
              <w:rPr>
                <w:color w:val="000000"/>
                <w:sz w:val="20"/>
                <w:szCs w:val="20"/>
              </w:rPr>
              <w:t>8</w:t>
            </w:r>
            <w:r w:rsidRPr="00F83AF8">
              <w:rPr>
                <w:color w:val="000000"/>
                <w:sz w:val="20"/>
                <w:szCs w:val="20"/>
              </w:rPr>
              <w:t>.23</w:t>
            </w:r>
          </w:p>
        </w:tc>
        <w:tc>
          <w:tcPr>
            <w:tcW w:w="1061"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Výrobcovia, splnomocnení zástupcovia a dovozcovia</w:t>
            </w:r>
          </w:p>
        </w:tc>
        <w:tc>
          <w:tcPr>
            <w:tcW w:w="257"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rPr>
                <w:color w:val="000000"/>
                <w:sz w:val="20"/>
                <w:szCs w:val="20"/>
              </w:rPr>
            </w:pPr>
            <w:r w:rsidRPr="00F83AF8">
              <w:rPr>
                <w:color w:val="000000"/>
                <w:sz w:val="20"/>
                <w:szCs w:val="20"/>
              </w:rPr>
              <w:t xml:space="preserve">3 512 </w:t>
            </w:r>
          </w:p>
        </w:tc>
        <w:tc>
          <w:tcPr>
            <w:tcW w:w="323"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rPr>
                <w:color w:val="000000"/>
                <w:sz w:val="20"/>
                <w:szCs w:val="20"/>
              </w:rPr>
            </w:pPr>
            <w:r w:rsidRPr="00F83AF8">
              <w:rPr>
                <w:color w:val="000000"/>
                <w:sz w:val="20"/>
                <w:szCs w:val="20"/>
              </w:rPr>
              <w:t xml:space="preserve">                  2 121 </w:t>
            </w:r>
          </w:p>
        </w:tc>
        <w:tc>
          <w:tcPr>
            <w:tcW w:w="280"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230</w:t>
            </w:r>
          </w:p>
        </w:tc>
        <w:tc>
          <w:tcPr>
            <w:tcW w:w="314"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806 952</w:t>
            </w:r>
          </w:p>
        </w:tc>
        <w:tc>
          <w:tcPr>
            <w:tcW w:w="450"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In (zvyšuje náklady)</w:t>
            </w:r>
          </w:p>
        </w:tc>
      </w:tr>
      <w:tr w:rsidR="00F83AF8" w:rsidRPr="00F83AF8" w:rsidTr="00F83AF8">
        <w:trPr>
          <w:trHeight w:val="1785"/>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2</w:t>
            </w:r>
          </w:p>
        </w:tc>
        <w:tc>
          <w:tcPr>
            <w:tcW w:w="896"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Povinnosť hospodárskeho subjektu poskytnúť informáciu o subjektoch, ktoré mu výrobky dodali</w:t>
            </w:r>
          </w:p>
        </w:tc>
        <w:tc>
          <w:tcPr>
            <w:tcW w:w="375"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Zákon o všeobecnej bezpečnosti výrobkov a o zmene a doplnení niektorých zákonov</w:t>
            </w:r>
          </w:p>
        </w:tc>
        <w:tc>
          <w:tcPr>
            <w:tcW w:w="269"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 6 ods. 6 písm. b)</w:t>
            </w:r>
          </w:p>
        </w:tc>
        <w:tc>
          <w:tcPr>
            <w:tcW w:w="324"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EÚ úplná harmonizácia</w:t>
            </w:r>
          </w:p>
        </w:tc>
        <w:tc>
          <w:tcPr>
            <w:tcW w:w="238"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C032F7">
            <w:pPr>
              <w:jc w:val="center"/>
              <w:rPr>
                <w:color w:val="000000"/>
                <w:sz w:val="20"/>
                <w:szCs w:val="20"/>
              </w:rPr>
            </w:pPr>
            <w:r w:rsidRPr="00F83AF8">
              <w:rPr>
                <w:color w:val="000000"/>
                <w:sz w:val="20"/>
                <w:szCs w:val="20"/>
              </w:rPr>
              <w:t>01.0</w:t>
            </w:r>
            <w:r w:rsidR="007363CE">
              <w:rPr>
                <w:color w:val="000000"/>
                <w:sz w:val="20"/>
                <w:szCs w:val="20"/>
              </w:rPr>
              <w:t>8</w:t>
            </w:r>
            <w:r w:rsidRPr="00F83AF8">
              <w:rPr>
                <w:color w:val="000000"/>
                <w:sz w:val="20"/>
                <w:szCs w:val="20"/>
              </w:rPr>
              <w:t>.23</w:t>
            </w:r>
          </w:p>
        </w:tc>
        <w:tc>
          <w:tcPr>
            <w:tcW w:w="1061"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Výrobcovia, splnomocnení zástupcovia a dovozcovia</w:t>
            </w:r>
          </w:p>
        </w:tc>
        <w:tc>
          <w:tcPr>
            <w:tcW w:w="257"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rPr>
                <w:color w:val="000000"/>
                <w:sz w:val="20"/>
                <w:szCs w:val="20"/>
              </w:rPr>
            </w:pPr>
            <w:r w:rsidRPr="00F83AF8">
              <w:rPr>
                <w:color w:val="000000"/>
                <w:sz w:val="20"/>
                <w:szCs w:val="20"/>
              </w:rPr>
              <w:t xml:space="preserve">3 512 </w:t>
            </w:r>
          </w:p>
        </w:tc>
        <w:tc>
          <w:tcPr>
            <w:tcW w:w="323"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rPr>
                <w:color w:val="000000"/>
                <w:sz w:val="20"/>
                <w:szCs w:val="20"/>
              </w:rPr>
            </w:pPr>
            <w:r w:rsidRPr="00F83AF8">
              <w:rPr>
                <w:color w:val="000000"/>
                <w:sz w:val="20"/>
                <w:szCs w:val="20"/>
              </w:rPr>
              <w:t xml:space="preserve">                  2 121 </w:t>
            </w:r>
          </w:p>
        </w:tc>
        <w:tc>
          <w:tcPr>
            <w:tcW w:w="280"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230</w:t>
            </w:r>
          </w:p>
        </w:tc>
        <w:tc>
          <w:tcPr>
            <w:tcW w:w="314"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806 952</w:t>
            </w:r>
          </w:p>
        </w:tc>
        <w:tc>
          <w:tcPr>
            <w:tcW w:w="450"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In (zvyšuje náklady)</w:t>
            </w:r>
          </w:p>
        </w:tc>
      </w:tr>
      <w:tr w:rsidR="00F83AF8" w:rsidRPr="00F83AF8" w:rsidTr="00F83AF8">
        <w:trPr>
          <w:trHeight w:val="1785"/>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3</w:t>
            </w:r>
          </w:p>
        </w:tc>
        <w:tc>
          <w:tcPr>
            <w:tcW w:w="896"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Povinnosť hospodárskeho subjektu poskytnúť informáciu o subjektoch, ktorým výrobky dodal</w:t>
            </w:r>
          </w:p>
        </w:tc>
        <w:tc>
          <w:tcPr>
            <w:tcW w:w="375"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Zákon o všeobecnej bezpečnosti výrobkov a o zmene a doplnení niektorých zákonov</w:t>
            </w:r>
          </w:p>
        </w:tc>
        <w:tc>
          <w:tcPr>
            <w:tcW w:w="269"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 6 ods. 6 písm. b)</w:t>
            </w:r>
          </w:p>
        </w:tc>
        <w:tc>
          <w:tcPr>
            <w:tcW w:w="324"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EÚ úplná harmonizácia</w:t>
            </w:r>
          </w:p>
        </w:tc>
        <w:tc>
          <w:tcPr>
            <w:tcW w:w="238"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C032F7">
            <w:pPr>
              <w:jc w:val="center"/>
              <w:rPr>
                <w:color w:val="000000"/>
                <w:sz w:val="20"/>
                <w:szCs w:val="20"/>
              </w:rPr>
            </w:pPr>
            <w:r w:rsidRPr="00F83AF8">
              <w:rPr>
                <w:color w:val="000000"/>
                <w:sz w:val="20"/>
                <w:szCs w:val="20"/>
              </w:rPr>
              <w:t>01.0</w:t>
            </w:r>
            <w:r w:rsidR="007363CE">
              <w:rPr>
                <w:color w:val="000000"/>
                <w:sz w:val="20"/>
                <w:szCs w:val="20"/>
              </w:rPr>
              <w:t>8</w:t>
            </w:r>
            <w:r w:rsidRPr="00F83AF8">
              <w:rPr>
                <w:color w:val="000000"/>
                <w:sz w:val="20"/>
                <w:szCs w:val="20"/>
              </w:rPr>
              <w:t>.23</w:t>
            </w:r>
          </w:p>
        </w:tc>
        <w:tc>
          <w:tcPr>
            <w:tcW w:w="1061"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Výrobcovia, splnomocnení zástupcovia a dovozcovia</w:t>
            </w:r>
          </w:p>
        </w:tc>
        <w:tc>
          <w:tcPr>
            <w:tcW w:w="257"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rPr>
                <w:color w:val="000000"/>
                <w:sz w:val="20"/>
                <w:szCs w:val="20"/>
              </w:rPr>
            </w:pPr>
            <w:r>
              <w:rPr>
                <w:color w:val="000000"/>
                <w:sz w:val="20"/>
                <w:szCs w:val="20"/>
              </w:rPr>
              <w:t xml:space="preserve"> </w:t>
            </w:r>
            <w:r w:rsidRPr="00F83AF8">
              <w:rPr>
                <w:color w:val="000000"/>
                <w:sz w:val="20"/>
                <w:szCs w:val="20"/>
              </w:rPr>
              <w:t xml:space="preserve">3 521 </w:t>
            </w:r>
          </w:p>
        </w:tc>
        <w:tc>
          <w:tcPr>
            <w:tcW w:w="323"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rPr>
                <w:color w:val="000000"/>
                <w:sz w:val="20"/>
                <w:szCs w:val="20"/>
              </w:rPr>
            </w:pPr>
            <w:r w:rsidRPr="00F83AF8">
              <w:rPr>
                <w:color w:val="000000"/>
                <w:sz w:val="20"/>
                <w:szCs w:val="20"/>
              </w:rPr>
              <w:t xml:space="preserve">                  2 121 </w:t>
            </w:r>
          </w:p>
        </w:tc>
        <w:tc>
          <w:tcPr>
            <w:tcW w:w="280"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230</w:t>
            </w:r>
          </w:p>
        </w:tc>
        <w:tc>
          <w:tcPr>
            <w:tcW w:w="314"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809 020</w:t>
            </w:r>
          </w:p>
        </w:tc>
        <w:tc>
          <w:tcPr>
            <w:tcW w:w="450"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In (zvyšuje náklady)</w:t>
            </w:r>
          </w:p>
        </w:tc>
      </w:tr>
      <w:tr w:rsidR="00F83AF8" w:rsidRPr="00F83AF8" w:rsidTr="00F83AF8">
        <w:trPr>
          <w:trHeight w:val="1785"/>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lastRenderedPageBreak/>
              <w:t>4</w:t>
            </w:r>
          </w:p>
        </w:tc>
        <w:tc>
          <w:tcPr>
            <w:tcW w:w="896"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Povinnosť hospodárskeho subjektu poskytnúť informáciu o subjektoch, ktoré mu výrobky dodali</w:t>
            </w:r>
          </w:p>
        </w:tc>
        <w:tc>
          <w:tcPr>
            <w:tcW w:w="375"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Zákon o všeobecnej bezpečnosti výrobkov a o zmene a doplnení niektorých zákonov</w:t>
            </w:r>
          </w:p>
        </w:tc>
        <w:tc>
          <w:tcPr>
            <w:tcW w:w="269"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 6 ods. 6 písm. b)</w:t>
            </w:r>
          </w:p>
        </w:tc>
        <w:tc>
          <w:tcPr>
            <w:tcW w:w="324"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EÚ úplná harmonizácia</w:t>
            </w:r>
          </w:p>
        </w:tc>
        <w:tc>
          <w:tcPr>
            <w:tcW w:w="238"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C032F7">
            <w:pPr>
              <w:jc w:val="center"/>
              <w:rPr>
                <w:color w:val="000000"/>
                <w:sz w:val="20"/>
                <w:szCs w:val="20"/>
              </w:rPr>
            </w:pPr>
            <w:r w:rsidRPr="00F83AF8">
              <w:rPr>
                <w:color w:val="000000"/>
                <w:sz w:val="20"/>
                <w:szCs w:val="20"/>
              </w:rPr>
              <w:t>01.0</w:t>
            </w:r>
            <w:r w:rsidR="007363CE">
              <w:rPr>
                <w:color w:val="000000"/>
                <w:sz w:val="20"/>
                <w:szCs w:val="20"/>
              </w:rPr>
              <w:t>8</w:t>
            </w:r>
            <w:r w:rsidRPr="00F83AF8">
              <w:rPr>
                <w:color w:val="000000"/>
                <w:sz w:val="20"/>
                <w:szCs w:val="20"/>
              </w:rPr>
              <w:t>.23</w:t>
            </w:r>
          </w:p>
        </w:tc>
        <w:tc>
          <w:tcPr>
            <w:tcW w:w="1061"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Distribútori</w:t>
            </w:r>
          </w:p>
        </w:tc>
        <w:tc>
          <w:tcPr>
            <w:tcW w:w="257"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rPr>
                <w:color w:val="000000"/>
                <w:sz w:val="20"/>
                <w:szCs w:val="20"/>
              </w:rPr>
            </w:pPr>
            <w:r w:rsidRPr="00F83AF8">
              <w:rPr>
                <w:color w:val="000000"/>
                <w:sz w:val="20"/>
                <w:szCs w:val="20"/>
              </w:rPr>
              <w:t xml:space="preserve">2 422 </w:t>
            </w:r>
          </w:p>
        </w:tc>
        <w:tc>
          <w:tcPr>
            <w:tcW w:w="323"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rPr>
                <w:color w:val="000000"/>
                <w:sz w:val="20"/>
                <w:szCs w:val="20"/>
              </w:rPr>
            </w:pPr>
            <w:r w:rsidRPr="00F83AF8">
              <w:rPr>
                <w:color w:val="000000"/>
                <w:sz w:val="20"/>
                <w:szCs w:val="20"/>
              </w:rPr>
              <w:t xml:space="preserve">                  1 657 </w:t>
            </w:r>
          </w:p>
        </w:tc>
        <w:tc>
          <w:tcPr>
            <w:tcW w:w="280"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230</w:t>
            </w:r>
          </w:p>
        </w:tc>
        <w:tc>
          <w:tcPr>
            <w:tcW w:w="314"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556 503</w:t>
            </w:r>
          </w:p>
        </w:tc>
        <w:tc>
          <w:tcPr>
            <w:tcW w:w="450"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In (zvyšuje náklady)</w:t>
            </w:r>
          </w:p>
        </w:tc>
      </w:tr>
      <w:tr w:rsidR="00F83AF8" w:rsidRPr="00F83AF8" w:rsidTr="00F83AF8">
        <w:trPr>
          <w:trHeight w:val="1785"/>
        </w:trPr>
        <w:tc>
          <w:tcPr>
            <w:tcW w:w="214" w:type="pct"/>
            <w:tcBorders>
              <w:top w:val="nil"/>
              <w:left w:val="single" w:sz="4" w:space="0" w:color="auto"/>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5</w:t>
            </w:r>
          </w:p>
        </w:tc>
        <w:tc>
          <w:tcPr>
            <w:tcW w:w="896"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Povinnosť hospodárskeho subjektu poskytnúť informáciu o subjektoch, ktorým výrobky dodal</w:t>
            </w:r>
          </w:p>
        </w:tc>
        <w:tc>
          <w:tcPr>
            <w:tcW w:w="375"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Zákon o všeobecnej bezpečnosti výrobkov a o zmene a doplnení niektorých zákonov</w:t>
            </w:r>
          </w:p>
        </w:tc>
        <w:tc>
          <w:tcPr>
            <w:tcW w:w="269"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 6 ods. 6 písm. b)</w:t>
            </w:r>
          </w:p>
        </w:tc>
        <w:tc>
          <w:tcPr>
            <w:tcW w:w="324"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EÚ úplná harmonizácia</w:t>
            </w:r>
          </w:p>
        </w:tc>
        <w:tc>
          <w:tcPr>
            <w:tcW w:w="238"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C032F7">
            <w:pPr>
              <w:jc w:val="center"/>
              <w:rPr>
                <w:color w:val="000000"/>
                <w:sz w:val="20"/>
                <w:szCs w:val="20"/>
              </w:rPr>
            </w:pPr>
            <w:r w:rsidRPr="00F83AF8">
              <w:rPr>
                <w:color w:val="000000"/>
                <w:sz w:val="20"/>
                <w:szCs w:val="20"/>
              </w:rPr>
              <w:t>01.0</w:t>
            </w:r>
            <w:r w:rsidR="007363CE">
              <w:rPr>
                <w:color w:val="000000"/>
                <w:sz w:val="20"/>
                <w:szCs w:val="20"/>
              </w:rPr>
              <w:t>8</w:t>
            </w:r>
            <w:r w:rsidRPr="00F83AF8">
              <w:rPr>
                <w:color w:val="000000"/>
                <w:sz w:val="20"/>
                <w:szCs w:val="20"/>
              </w:rPr>
              <w:t>.23</w:t>
            </w:r>
          </w:p>
        </w:tc>
        <w:tc>
          <w:tcPr>
            <w:tcW w:w="1061"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Distribútori</w:t>
            </w:r>
          </w:p>
        </w:tc>
        <w:tc>
          <w:tcPr>
            <w:tcW w:w="257"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rPr>
                <w:color w:val="000000"/>
                <w:sz w:val="20"/>
                <w:szCs w:val="20"/>
              </w:rPr>
            </w:pPr>
            <w:r>
              <w:rPr>
                <w:color w:val="000000"/>
                <w:sz w:val="20"/>
                <w:szCs w:val="20"/>
              </w:rPr>
              <w:t xml:space="preserve"> </w:t>
            </w:r>
            <w:r w:rsidRPr="00F83AF8">
              <w:rPr>
                <w:color w:val="000000"/>
                <w:sz w:val="20"/>
                <w:szCs w:val="20"/>
              </w:rPr>
              <w:t xml:space="preserve">2 422 </w:t>
            </w:r>
          </w:p>
        </w:tc>
        <w:tc>
          <w:tcPr>
            <w:tcW w:w="323"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rPr>
                <w:color w:val="000000"/>
                <w:sz w:val="20"/>
                <w:szCs w:val="20"/>
              </w:rPr>
            </w:pPr>
            <w:r w:rsidRPr="00F83AF8">
              <w:rPr>
                <w:color w:val="000000"/>
                <w:sz w:val="20"/>
                <w:szCs w:val="20"/>
              </w:rPr>
              <w:t xml:space="preserve">                  1 657 </w:t>
            </w:r>
          </w:p>
        </w:tc>
        <w:tc>
          <w:tcPr>
            <w:tcW w:w="280"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230</w:t>
            </w:r>
          </w:p>
        </w:tc>
        <w:tc>
          <w:tcPr>
            <w:tcW w:w="314"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556 503</w:t>
            </w:r>
          </w:p>
        </w:tc>
        <w:tc>
          <w:tcPr>
            <w:tcW w:w="450" w:type="pct"/>
            <w:tcBorders>
              <w:top w:val="nil"/>
              <w:left w:val="nil"/>
              <w:bottom w:val="single" w:sz="4" w:space="0" w:color="auto"/>
              <w:right w:val="single" w:sz="4" w:space="0" w:color="auto"/>
            </w:tcBorders>
            <w:shd w:val="clear" w:color="auto" w:fill="auto"/>
            <w:vAlign w:val="center"/>
            <w:hideMark/>
          </w:tcPr>
          <w:p w:rsidR="00F83AF8" w:rsidRPr="00F83AF8" w:rsidRDefault="00F83AF8" w:rsidP="00F83AF8">
            <w:pPr>
              <w:jc w:val="center"/>
              <w:rPr>
                <w:color w:val="000000"/>
                <w:sz w:val="20"/>
                <w:szCs w:val="20"/>
              </w:rPr>
            </w:pPr>
            <w:r w:rsidRPr="00F83AF8">
              <w:rPr>
                <w:color w:val="000000"/>
                <w:sz w:val="20"/>
                <w:szCs w:val="20"/>
              </w:rPr>
              <w:t>In (zvyšuje náklady)</w:t>
            </w:r>
          </w:p>
        </w:tc>
      </w:tr>
    </w:tbl>
    <w:p w:rsidR="00753007" w:rsidRDefault="00753007" w:rsidP="00753007">
      <w:pPr>
        <w:jc w:val="both"/>
        <w:rPr>
          <w:rFonts w:eastAsia="Calibri"/>
          <w:b/>
          <w:bCs/>
          <w:i/>
        </w:rPr>
        <w:sectPr w:rsidR="00753007" w:rsidSect="00C259C8">
          <w:pgSz w:w="16838" w:h="11906" w:orient="landscape"/>
          <w:pgMar w:top="1417" w:right="1417" w:bottom="1417" w:left="1417" w:header="708" w:footer="708" w:gutter="0"/>
          <w:cols w:space="708"/>
          <w:docGrid w:linePitch="360"/>
        </w:sectPr>
      </w:pPr>
    </w:p>
    <w:p w:rsidR="00753007" w:rsidRPr="001F1B43" w:rsidRDefault="00753007" w:rsidP="00753007">
      <w:pPr>
        <w:jc w:val="both"/>
        <w:rPr>
          <w:rFonts w:eastAsia="Calibri"/>
          <w:b/>
          <w:bCs/>
          <w:i/>
          <w:u w:val="single"/>
        </w:rPr>
      </w:pPr>
      <w:r w:rsidRPr="001F1B43">
        <w:rPr>
          <w:rFonts w:eastAsia="Calibri"/>
          <w:b/>
          <w:bCs/>
          <w:i/>
          <w:u w:val="single"/>
        </w:rPr>
        <w:lastRenderedPageBreak/>
        <w:t xml:space="preserve">Doplňujúce informácie k spôsobu výpočtu vplyvov jednotlivých regulácií na zmenu nákladov </w:t>
      </w:r>
    </w:p>
    <w:p w:rsidR="00753007" w:rsidRDefault="00753007" w:rsidP="00753007">
      <w:pPr>
        <w:jc w:val="both"/>
        <w:rPr>
          <w:rFonts w:eastAsia="Calibri"/>
          <w:bCs/>
          <w:i/>
          <w:iCs/>
          <w:color w:val="000000"/>
        </w:rPr>
      </w:pPr>
      <w:r w:rsidRPr="00D8247C">
        <w:rPr>
          <w:rFonts w:eastAsia="Calibri"/>
          <w:bCs/>
          <w:i/>
          <w:iCs/>
          <w:color w:val="000000"/>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eastAsia="Calibri"/>
          <w:bCs/>
          <w:i/>
          <w:iCs/>
          <w:color w:val="000000"/>
        </w:rPr>
        <w:t>link</w:t>
      </w:r>
      <w:proofErr w:type="spellEnd"/>
      <w:r w:rsidRPr="00D8247C">
        <w:rPr>
          <w:rFonts w:eastAsia="Calibri"/>
          <w:bCs/>
          <w:i/>
          <w:iCs/>
          <w:color w:val="000000"/>
        </w:rPr>
        <w:t xml:space="preserve"> na konkrétne štatistiky, ak sú dostupné na internete). Jednotlivé regulácie môžu mať jeden alebo viac typov nákladov (A. Dane, odvody, clá</w:t>
      </w:r>
      <w:r>
        <w:rPr>
          <w:rFonts w:eastAsia="Calibri"/>
          <w:bCs/>
          <w:i/>
          <w:iCs/>
          <w:color w:val="000000"/>
        </w:rPr>
        <w:t xml:space="preserve"> </w:t>
      </w:r>
      <w:r w:rsidRPr="00A000DA">
        <w:rPr>
          <w:rFonts w:eastAsia="Calibri"/>
          <w:bCs/>
          <w:i/>
          <w:iCs/>
          <w:color w:val="000000"/>
        </w:rPr>
        <w:t xml:space="preserve">a poplatky, ktorých cieľom je znižovať negatívne </w:t>
      </w:r>
      <w:proofErr w:type="spellStart"/>
      <w:r w:rsidRPr="00A000DA">
        <w:rPr>
          <w:rFonts w:eastAsia="Calibri"/>
          <w:bCs/>
          <w:i/>
          <w:iCs/>
          <w:color w:val="000000"/>
        </w:rPr>
        <w:t>externality</w:t>
      </w:r>
      <w:proofErr w:type="spellEnd"/>
      <w:r w:rsidRPr="00D8247C">
        <w:rPr>
          <w:rFonts w:eastAsia="Calibri"/>
          <w:bCs/>
          <w:i/>
          <w:iCs/>
          <w:color w:val="000000"/>
        </w:rPr>
        <w:t xml:space="preserve">, B. </w:t>
      </w:r>
      <w:r>
        <w:rPr>
          <w:rFonts w:eastAsia="Calibri"/>
          <w:bCs/>
          <w:i/>
          <w:iCs/>
          <w:color w:val="000000"/>
        </w:rPr>
        <w:t>Iné p</w:t>
      </w:r>
      <w:r w:rsidRPr="00D8247C">
        <w:rPr>
          <w:rFonts w:eastAsia="Calibri"/>
          <w:bCs/>
          <w:i/>
          <w:iCs/>
          <w:color w:val="000000"/>
        </w:rPr>
        <w:t xml:space="preserve">oplatky, C. Nepriame finančné náklady, D. Administratívne náklady). Rozčleňte ich a vypočítajte v súlade s metodickým postupom. </w:t>
      </w:r>
    </w:p>
    <w:p w:rsidR="00753007" w:rsidRPr="00D8247C" w:rsidRDefault="00753007" w:rsidP="00753007">
      <w:pPr>
        <w:jc w:val="both"/>
        <w:rPr>
          <w:rFonts w:eastAsia="Calibri"/>
          <w:bCs/>
          <w:i/>
          <w:iCs/>
          <w:color w:val="000000"/>
        </w:rPr>
      </w:pPr>
    </w:p>
    <w:p w:rsidR="00505D54" w:rsidRPr="00A0110E" w:rsidRDefault="00131253" w:rsidP="00A0110E">
      <w:pPr>
        <w:jc w:val="both"/>
        <w:rPr>
          <w:rFonts w:eastAsia="Calibri"/>
        </w:rPr>
      </w:pPr>
      <w:r>
        <w:rPr>
          <w:rFonts w:eastAsia="Calibri"/>
        </w:rPr>
        <w:t xml:space="preserve">Pri výpočte nákladov regulácie bola použitá kalkulačka vplyvov na podnikateľské prostredie, ktorá tvorí prílohu materiálu. </w:t>
      </w:r>
      <w:r w:rsidR="00505D54">
        <w:rPr>
          <w:rFonts w:eastAsia="Calibri"/>
        </w:rPr>
        <w:t>Pre</w:t>
      </w:r>
      <w:r w:rsidR="00A0110E">
        <w:rPr>
          <w:rFonts w:eastAsia="Calibri"/>
        </w:rPr>
        <w:t xml:space="preserve"> kvantifikáciu vplyvov povinností</w:t>
      </w:r>
      <w:r w:rsidR="00505D54">
        <w:rPr>
          <w:rFonts w:eastAsia="Calibri"/>
        </w:rPr>
        <w:t xml:space="preserve"> č. 1 </w:t>
      </w:r>
      <w:r w:rsidR="00A0110E">
        <w:rPr>
          <w:rFonts w:eastAsia="Calibri"/>
        </w:rPr>
        <w:t xml:space="preserve">až č. 4 </w:t>
      </w:r>
      <w:r w:rsidR="00505D54">
        <w:rPr>
          <w:rFonts w:eastAsia="Calibri"/>
        </w:rPr>
        <w:t xml:space="preserve">bol použitý vzorec: </w:t>
      </w:r>
      <w:r w:rsidR="00A0110E">
        <w:rPr>
          <w:rFonts w:eastAsia="Calibri"/>
          <w:i/>
        </w:rPr>
        <w:t>'</w:t>
      </w:r>
      <w:r w:rsidR="00505D54" w:rsidRPr="00505D54">
        <w:rPr>
          <w:rFonts w:eastAsia="Calibri"/>
          <w:i/>
        </w:rPr>
        <w:t>kvantifikácia na 1 podnikateľa</w:t>
      </w:r>
      <w:r w:rsidR="00A0110E">
        <w:rPr>
          <w:rFonts w:eastAsia="Calibri"/>
          <w:i/>
        </w:rPr>
        <w:t>'</w:t>
      </w:r>
      <w:r w:rsidR="00505D54" w:rsidRPr="00505D54">
        <w:rPr>
          <w:rFonts w:eastAsia="Calibri"/>
          <w:i/>
        </w:rPr>
        <w:t xml:space="preserve"> </w:t>
      </w:r>
      <w:r w:rsidR="00A0110E">
        <w:rPr>
          <w:rFonts w:eastAsia="Calibri"/>
          <w:i/>
        </w:rPr>
        <w:t xml:space="preserve"> </w:t>
      </w:r>
      <w:r w:rsidR="00505D54" w:rsidRPr="00505D54">
        <w:rPr>
          <w:rFonts w:eastAsia="Calibri"/>
          <w:i/>
        </w:rPr>
        <w:t xml:space="preserve">X </w:t>
      </w:r>
      <w:r w:rsidR="00A0110E">
        <w:rPr>
          <w:rFonts w:eastAsia="Calibri"/>
          <w:i/>
        </w:rPr>
        <w:t xml:space="preserve"> '</w:t>
      </w:r>
      <w:r w:rsidR="00505D54" w:rsidRPr="00505D54">
        <w:rPr>
          <w:rFonts w:eastAsia="Calibri"/>
          <w:i/>
        </w:rPr>
        <w:t>počet dotknutých subjektov</w:t>
      </w:r>
      <w:r w:rsidR="00A0110E">
        <w:rPr>
          <w:rFonts w:eastAsia="Calibri"/>
          <w:i/>
        </w:rPr>
        <w:t>'</w:t>
      </w:r>
      <w:r w:rsidR="00A0110E">
        <w:rPr>
          <w:rFonts w:eastAsia="Calibri"/>
        </w:rPr>
        <w:t>.</w:t>
      </w:r>
    </w:p>
    <w:p w:rsidR="00131253" w:rsidRDefault="00131253" w:rsidP="00131253">
      <w:pPr>
        <w:jc w:val="both"/>
        <w:rPr>
          <w:rFonts w:eastAsia="Calibri"/>
        </w:rPr>
      </w:pPr>
    </w:p>
    <w:p w:rsidR="00131253" w:rsidRDefault="00131253" w:rsidP="00131253">
      <w:pPr>
        <w:jc w:val="both"/>
        <w:rPr>
          <w:rFonts w:eastAsia="Calibri"/>
        </w:rPr>
      </w:pPr>
      <w:r>
        <w:rPr>
          <w:rFonts w:eastAsia="Calibri"/>
        </w:rPr>
        <w:t>Po zapracovaní pripomienok uplatnených v medzirezortnom pripomienkovom konaní došlo k úprave terminológie návrhu zákona. Pojem výrobca v znení návrhu zákona predloženého do predbežného pripomienkového konania a do medzirezortného pripomienkového konania v sebe subsumoval aj kategóriu subjektov, ktorú vo verzii po zapracovaní pripomienok uplatnených v medzirezortnom pripomienkovom konaní pomenúvame zvlášť pojmami splnomocnený zástupca a dovozca. V tabuľke č. 2 sa preto označenie kategórie dotknutých subjektov pri povinnostiach č. 1 až 3 aktualizovalo v súlade s prepracovanou verziou návrhu zákona bez zmeny počtu subjektov.</w:t>
      </w:r>
    </w:p>
    <w:p w:rsidR="00131253" w:rsidRDefault="00131253" w:rsidP="00753007">
      <w:pPr>
        <w:jc w:val="both"/>
        <w:rPr>
          <w:rFonts w:eastAsia="Calibri"/>
        </w:rPr>
      </w:pPr>
    </w:p>
    <w:p w:rsidR="00131253" w:rsidRPr="00827C52" w:rsidRDefault="00827C52" w:rsidP="00827C52">
      <w:pPr>
        <w:pStyle w:val="Odsekzoznamu"/>
        <w:numPr>
          <w:ilvl w:val="0"/>
          <w:numId w:val="4"/>
        </w:numPr>
        <w:jc w:val="both"/>
        <w:rPr>
          <w:rFonts w:ascii="Times New Roman" w:eastAsia="Calibri" w:hAnsi="Times New Roman" w:cs="Times New Roman"/>
          <w:b/>
          <w:sz w:val="24"/>
        </w:rPr>
      </w:pPr>
      <w:r w:rsidRPr="00827C52">
        <w:rPr>
          <w:rFonts w:ascii="Times New Roman" w:eastAsia="Calibri" w:hAnsi="Times New Roman" w:cs="Times New Roman"/>
          <w:b/>
          <w:sz w:val="24"/>
        </w:rPr>
        <w:t xml:space="preserve">Povinnosť č. 1: </w:t>
      </w:r>
      <w:r w:rsidR="00131253" w:rsidRPr="00827C52">
        <w:rPr>
          <w:rFonts w:ascii="Times New Roman" w:eastAsia="Calibri" w:hAnsi="Times New Roman" w:cs="Times New Roman"/>
          <w:b/>
          <w:sz w:val="24"/>
        </w:rPr>
        <w:t>Povinnosť viesť evidenciu podnetov na bezpečnosť výrobku</w:t>
      </w:r>
    </w:p>
    <w:p w:rsidR="00131253" w:rsidRDefault="00131253" w:rsidP="00753007">
      <w:pPr>
        <w:jc w:val="both"/>
        <w:rPr>
          <w:rFonts w:eastAsia="Calibri"/>
        </w:rPr>
      </w:pPr>
    </w:p>
    <w:p w:rsidR="00131253" w:rsidRDefault="00131253" w:rsidP="00753007">
      <w:pPr>
        <w:jc w:val="both"/>
        <w:rPr>
          <w:rFonts w:eastAsia="Calibri"/>
        </w:rPr>
      </w:pPr>
      <w:r>
        <w:rPr>
          <w:rFonts w:eastAsia="Calibri"/>
        </w:rPr>
        <w:t xml:space="preserve">Podľa návrhu zákona majú mať výrobcovia, splnomocnení zástupcovia a dovozcovia povinnosť viesť evidenciu o podnetoch týkajúcich sa bezpečnosti výrobkov. Zavedená regulácia predstavuje pre subjekty administratívne náklady spočívajúce v evidencii a archivácii podnetov. Frekvencia plnenia tejto povinnosti bola expertným odhadom určená na úrovni zodpovedajúcej štvrťročnému plneniu týchto povinností. S použitím kalkulačky </w:t>
      </w:r>
      <w:r w:rsidR="00547E7E">
        <w:rPr>
          <w:rFonts w:eastAsia="Calibri"/>
        </w:rPr>
        <w:t xml:space="preserve">vplyvov na podnikateľské prostredie </w:t>
      </w:r>
      <w:r>
        <w:rPr>
          <w:rFonts w:eastAsia="Calibri"/>
        </w:rPr>
        <w:t xml:space="preserve">bol preto v tomto prípade vplyv na 1 podnikateľa kvantifikovaný </w:t>
      </w:r>
      <w:r w:rsidR="00505D54">
        <w:rPr>
          <w:rFonts w:eastAsia="Calibri"/>
        </w:rPr>
        <w:t xml:space="preserve">približne </w:t>
      </w:r>
      <w:r>
        <w:rPr>
          <w:rFonts w:eastAsia="Calibri"/>
        </w:rPr>
        <w:t xml:space="preserve">na </w:t>
      </w:r>
      <w:r w:rsidRPr="00A0110E">
        <w:rPr>
          <w:rFonts w:eastAsia="Calibri"/>
          <w:i/>
        </w:rPr>
        <w:t>230 eur</w:t>
      </w:r>
      <w:r>
        <w:rPr>
          <w:rFonts w:eastAsia="Calibri"/>
        </w:rPr>
        <w:t xml:space="preserve">. </w:t>
      </w:r>
    </w:p>
    <w:p w:rsidR="00131253" w:rsidRDefault="00131253" w:rsidP="00753007">
      <w:pPr>
        <w:jc w:val="both"/>
        <w:rPr>
          <w:rFonts w:eastAsia="Calibri"/>
        </w:rPr>
      </w:pPr>
    </w:p>
    <w:p w:rsidR="00131253" w:rsidRDefault="00131253" w:rsidP="00131253">
      <w:pPr>
        <w:jc w:val="both"/>
        <w:rPr>
          <w:rFonts w:eastAsia="Calibri"/>
        </w:rPr>
      </w:pPr>
      <w:r>
        <w:rPr>
          <w:rFonts w:eastAsia="Calibri"/>
        </w:rPr>
        <w:t xml:space="preserve">Vzhľadom na to, že regulácia sa týka všeobecnej bezpečnosti výrobkov, dotknutými výrobcami sú výrobcovia všetkých výrobkov okrem tých, ktoré upravujú osobitné predpisy. Rovnako to platí pre kategóriu ďalších dotknutých hospodárskych subjektov – splnomocnených zástupcov a dovozcov. Presný počet dotknutých subjektov nie je známy, nie je ho možné zistiť zo žiadnej databázy, pretože množina výrobkov, na ktoré sa vzťahuje všeobecná požiadavka na bezpečnosť, nie je uzavretá. Predkladateľ z tohto dôvodu prepočítal náklady na vybranú skupinu dotknutých subjektov v rámci modelového príkladu. Počet dotknutých subjektov, vrátane MSP, bol určený použitím údajov z Registra účtovných závierok za rok 2020 na základe kódov SK NACE pre tie činnosti, pre ktoré je možné určiť pôsobnosť návrhu zákona. Pre skupinu výrobcov, splnomocnených zástupcov a dovozcov ide o kódy SK NACE: 32910, 32300, 32200, 32130, 32120, 14110, 14120, 14130, 14140, 14190, 14200, 14310, 14390, 31010, 31020, 31030, 31090. Na základe uvedených kritérií bola pre modelový príklad určená množina </w:t>
      </w:r>
      <w:r w:rsidRPr="00A0110E">
        <w:rPr>
          <w:rFonts w:eastAsia="Calibri"/>
          <w:i/>
        </w:rPr>
        <w:t>3 512 dotknutých subjektov</w:t>
      </w:r>
      <w:r>
        <w:rPr>
          <w:rFonts w:eastAsia="Calibri"/>
        </w:rPr>
        <w:t xml:space="preserve">, z toho </w:t>
      </w:r>
      <w:r w:rsidRPr="00A0110E">
        <w:rPr>
          <w:rFonts w:eastAsia="Calibri"/>
          <w:i/>
        </w:rPr>
        <w:t>2 121 MSP</w:t>
      </w:r>
      <w:r>
        <w:rPr>
          <w:rFonts w:eastAsia="Calibri"/>
        </w:rPr>
        <w:t>.</w:t>
      </w:r>
    </w:p>
    <w:p w:rsidR="00131253" w:rsidRDefault="00131253" w:rsidP="00753007">
      <w:pPr>
        <w:jc w:val="both"/>
        <w:rPr>
          <w:rFonts w:eastAsia="Calibri"/>
          <w:b/>
        </w:rPr>
      </w:pPr>
    </w:p>
    <w:p w:rsidR="00547E7E" w:rsidRPr="00827C52" w:rsidRDefault="00827C52" w:rsidP="00827C52">
      <w:pPr>
        <w:pStyle w:val="Odsekzoznamu"/>
        <w:numPr>
          <w:ilvl w:val="0"/>
          <w:numId w:val="4"/>
        </w:numPr>
        <w:jc w:val="both"/>
        <w:rPr>
          <w:rFonts w:ascii="Times New Roman" w:eastAsia="Calibri" w:hAnsi="Times New Roman" w:cs="Times New Roman"/>
          <w:b/>
          <w:sz w:val="24"/>
        </w:rPr>
      </w:pPr>
      <w:r w:rsidRPr="00827C52">
        <w:rPr>
          <w:rFonts w:ascii="Times New Roman" w:eastAsia="Calibri" w:hAnsi="Times New Roman" w:cs="Times New Roman"/>
          <w:b/>
          <w:sz w:val="24"/>
        </w:rPr>
        <w:t xml:space="preserve">Povinnosť č. 2 a 4: </w:t>
      </w:r>
      <w:r w:rsidR="00547E7E" w:rsidRPr="00827C52">
        <w:rPr>
          <w:rFonts w:ascii="Times New Roman" w:eastAsia="Calibri" w:hAnsi="Times New Roman" w:cs="Times New Roman"/>
          <w:b/>
          <w:sz w:val="24"/>
        </w:rPr>
        <w:t xml:space="preserve">Povinnosť hospodárskeho subjektu poskytnúť informáciu </w:t>
      </w:r>
      <w:r w:rsidR="00A0110E">
        <w:rPr>
          <w:rFonts w:ascii="Times New Roman" w:eastAsia="Calibri" w:hAnsi="Times New Roman" w:cs="Times New Roman"/>
          <w:b/>
          <w:sz w:val="24"/>
        </w:rPr>
        <w:br/>
      </w:r>
      <w:r w:rsidR="00547E7E" w:rsidRPr="00827C52">
        <w:rPr>
          <w:rFonts w:ascii="Times New Roman" w:eastAsia="Calibri" w:hAnsi="Times New Roman" w:cs="Times New Roman"/>
          <w:b/>
          <w:sz w:val="24"/>
        </w:rPr>
        <w:t>o subjektoch, ktoré mu výrobky dodali</w:t>
      </w:r>
    </w:p>
    <w:p w:rsidR="00547E7E" w:rsidRPr="00547E7E" w:rsidRDefault="00547E7E" w:rsidP="00547E7E">
      <w:pPr>
        <w:jc w:val="both"/>
        <w:rPr>
          <w:rFonts w:eastAsia="Calibri"/>
        </w:rPr>
      </w:pPr>
      <w:r w:rsidRPr="00547E7E">
        <w:rPr>
          <w:rFonts w:eastAsia="Calibri"/>
        </w:rPr>
        <w:lastRenderedPageBreak/>
        <w:t xml:space="preserve">Podľa návrhu zákona </w:t>
      </w:r>
      <w:r w:rsidR="00827C52">
        <w:rPr>
          <w:rFonts w:eastAsia="Calibri"/>
        </w:rPr>
        <w:t>má mať hospodársky subjekt</w:t>
      </w:r>
      <w:r w:rsidRPr="00547E7E">
        <w:rPr>
          <w:rFonts w:eastAsia="Calibri"/>
        </w:rPr>
        <w:t xml:space="preserve"> povinnosť </w:t>
      </w:r>
      <w:r>
        <w:rPr>
          <w:rFonts w:eastAsia="Calibri"/>
        </w:rPr>
        <w:t xml:space="preserve">poskytovať </w:t>
      </w:r>
      <w:r w:rsidR="00A0110E">
        <w:rPr>
          <w:rFonts w:eastAsia="Calibri"/>
        </w:rPr>
        <w:t xml:space="preserve">orgánu dohľadu na jeho žiadosť </w:t>
      </w:r>
      <w:r>
        <w:rPr>
          <w:rFonts w:eastAsia="Calibri"/>
        </w:rPr>
        <w:t xml:space="preserve">informáciu o predchádzajúcom subjekte v dodávateľskom reťazci, ktorý </w:t>
      </w:r>
      <w:r w:rsidR="00827C52">
        <w:rPr>
          <w:rFonts w:eastAsia="Calibri"/>
        </w:rPr>
        <w:t>mu výrobok dodal</w:t>
      </w:r>
      <w:r w:rsidRPr="00547E7E">
        <w:rPr>
          <w:rFonts w:eastAsia="Calibri"/>
        </w:rPr>
        <w:t>.</w:t>
      </w:r>
      <w:r>
        <w:rPr>
          <w:rFonts w:eastAsia="Calibri"/>
        </w:rPr>
        <w:t xml:space="preserve"> Povinnosť smeruje k </w:t>
      </w:r>
      <w:proofErr w:type="spellStart"/>
      <w:r>
        <w:rPr>
          <w:rFonts w:eastAsia="Calibri"/>
        </w:rPr>
        <w:t>vysledovateľnosti</w:t>
      </w:r>
      <w:proofErr w:type="spellEnd"/>
      <w:r>
        <w:rPr>
          <w:rFonts w:eastAsia="Calibri"/>
        </w:rPr>
        <w:t xml:space="preserve"> výrobkov.</w:t>
      </w:r>
      <w:r w:rsidRPr="00547E7E">
        <w:rPr>
          <w:rFonts w:eastAsia="Calibri"/>
        </w:rPr>
        <w:t xml:space="preserve"> Zavedená regulácia predstavuje pre subjekty administratívne náklady spočívajúce v evidencii a</w:t>
      </w:r>
      <w:r w:rsidR="00827C52">
        <w:rPr>
          <w:rFonts w:eastAsia="Calibri"/>
        </w:rPr>
        <w:t> ohlasovaní informácií</w:t>
      </w:r>
      <w:r w:rsidRPr="00547E7E">
        <w:rPr>
          <w:rFonts w:eastAsia="Calibri"/>
        </w:rPr>
        <w:t xml:space="preserve">. Frekvencia plnenia tejto povinnosti bola expertným odhadom určená na úrovni zodpovedajúcej štvrťročnému plneniu týchto povinností. S použitím kalkulačky vplyvov na podnikateľské prostredie bol preto v tomto prípade vplyv na 1 podnikateľa kvantifikovaný na </w:t>
      </w:r>
      <w:r w:rsidR="00A0110E">
        <w:rPr>
          <w:rFonts w:eastAsia="Calibri"/>
        </w:rPr>
        <w:t xml:space="preserve">približne </w:t>
      </w:r>
      <w:r w:rsidRPr="00A0110E">
        <w:rPr>
          <w:rFonts w:eastAsia="Calibri"/>
          <w:i/>
        </w:rPr>
        <w:t>230 eur</w:t>
      </w:r>
      <w:r w:rsidRPr="00547E7E">
        <w:rPr>
          <w:rFonts w:eastAsia="Calibri"/>
        </w:rPr>
        <w:t xml:space="preserve">. </w:t>
      </w:r>
    </w:p>
    <w:p w:rsidR="00547E7E" w:rsidRPr="00547E7E" w:rsidRDefault="00547E7E" w:rsidP="00547E7E">
      <w:pPr>
        <w:jc w:val="both"/>
        <w:rPr>
          <w:rFonts w:eastAsia="Calibri"/>
        </w:rPr>
      </w:pPr>
    </w:p>
    <w:p w:rsidR="00505D54" w:rsidRPr="00505D54" w:rsidRDefault="00505D54" w:rsidP="00547E7E">
      <w:pPr>
        <w:jc w:val="both"/>
        <w:rPr>
          <w:rFonts w:eastAsia="Calibri"/>
          <w:i/>
        </w:rPr>
      </w:pPr>
      <w:r w:rsidRPr="00505D54">
        <w:rPr>
          <w:rFonts w:eastAsia="Calibri"/>
          <w:i/>
        </w:rPr>
        <w:t>Počet dotknutých subjektov – povinnosť č. 2:</w:t>
      </w:r>
    </w:p>
    <w:p w:rsidR="00547E7E" w:rsidRDefault="00547E7E" w:rsidP="00547E7E">
      <w:pPr>
        <w:jc w:val="both"/>
        <w:rPr>
          <w:rFonts w:eastAsia="Calibri"/>
        </w:rPr>
      </w:pPr>
      <w:r w:rsidRPr="00547E7E">
        <w:rPr>
          <w:rFonts w:eastAsia="Calibri"/>
        </w:rPr>
        <w:t xml:space="preserve">Vzhľadom na to, že regulácia sa týka všeobecnej bezpečnosti výrobkov, dotknutými výrobcami sú výrobcovia všetkých výrobkov okrem tých, ktoré upravujú osobitné predpisy. Rovnako to platí pre kategóriu ďalších dotknutých hospodárskych subjektov – splnomocnených zástupcov a dovozcov. Presný počet dotknutých subjektov nie je známy, nie je ho možné zistiť zo žiadnej databázy, pretože množina výrobkov, na ktoré sa vzťahuje všeobecná požiadavka na bezpečnosť, nie je uzavretá. Predkladateľ z tohto dôvodu prepočítal náklady na vybranú skupinu dotknutých subjektov v rámci modelového príkladu. Počet dotknutých subjektov, vrátane MSP, bol určený použitím údajov z Registra účtovných závierok za rok 2020 na základe kódov SK NACE pre tie činnosti, pre ktoré je možné určiť pôsobnosť návrhu zákona. Pre skupinu výrobcov, splnomocnených zástupcov a dovozcov ide o kódy SK NACE: 32910, 32300, 32200, 32130, 32120, 14110, 14120, 14130, 14140, 14190, 14200, 14310, 14390, 31010, 31020, 31030, 31090. Na základe uvedených kritérií bola pre modelový príklad určená množina </w:t>
      </w:r>
      <w:r w:rsidRPr="00A0110E">
        <w:rPr>
          <w:rFonts w:eastAsia="Calibri"/>
          <w:i/>
        </w:rPr>
        <w:t>3 512 dotknutých subjektov</w:t>
      </w:r>
      <w:r w:rsidRPr="00547E7E">
        <w:rPr>
          <w:rFonts w:eastAsia="Calibri"/>
        </w:rPr>
        <w:t xml:space="preserve">, z toho </w:t>
      </w:r>
      <w:r w:rsidRPr="00A0110E">
        <w:rPr>
          <w:rFonts w:eastAsia="Calibri"/>
          <w:i/>
        </w:rPr>
        <w:t>2 121 MSP</w:t>
      </w:r>
      <w:r w:rsidRPr="00547E7E">
        <w:rPr>
          <w:rFonts w:eastAsia="Calibri"/>
        </w:rPr>
        <w:t>.</w:t>
      </w:r>
    </w:p>
    <w:p w:rsidR="00827C52" w:rsidRDefault="00827C52" w:rsidP="00547E7E">
      <w:pPr>
        <w:jc w:val="both"/>
        <w:rPr>
          <w:rFonts w:eastAsia="Calibri"/>
        </w:rPr>
      </w:pPr>
    </w:p>
    <w:p w:rsidR="00505D54" w:rsidRDefault="00505D54" w:rsidP="00547E7E">
      <w:pPr>
        <w:jc w:val="both"/>
        <w:rPr>
          <w:rFonts w:eastAsia="Calibri"/>
        </w:rPr>
      </w:pPr>
      <w:r w:rsidRPr="00505D54">
        <w:rPr>
          <w:rFonts w:eastAsia="Calibri"/>
          <w:i/>
        </w:rPr>
        <w:t>Počet dotknutých subjektov – pov</w:t>
      </w:r>
      <w:r>
        <w:rPr>
          <w:rFonts w:eastAsia="Calibri"/>
          <w:i/>
        </w:rPr>
        <w:t>innosť č. 4</w:t>
      </w:r>
      <w:r w:rsidRPr="00505D54">
        <w:rPr>
          <w:rFonts w:eastAsia="Calibri"/>
          <w:i/>
        </w:rPr>
        <w:t>:</w:t>
      </w:r>
    </w:p>
    <w:p w:rsidR="00505D54" w:rsidRDefault="00827C52" w:rsidP="00547E7E">
      <w:pPr>
        <w:jc w:val="both"/>
        <w:rPr>
          <w:rFonts w:eastAsia="Calibri"/>
        </w:rPr>
      </w:pPr>
      <w:r>
        <w:rPr>
          <w:rFonts w:eastAsia="Calibri"/>
        </w:rPr>
        <w:t xml:space="preserve">Osobitne sa kvantifikujú vplyvy na samostatnú množinu hospodárskych subjektov – distribútorov. Distribútorom sa rozumie každý hospodársky subjekt zapojený do dodávateľského reťazca, ktorého činnosť nemá vplyv na bezpečnosť výrobku. Do tejto kategórie spadajú aj obchodníci, ktorí ponúkajú a predávajú výrobky spotrebiteľom. </w:t>
      </w:r>
    </w:p>
    <w:p w:rsidR="00505D54" w:rsidRDefault="00505D54" w:rsidP="00505D54">
      <w:pPr>
        <w:jc w:val="both"/>
        <w:rPr>
          <w:rFonts w:eastAsia="Calibri"/>
        </w:rPr>
      </w:pPr>
      <w:r>
        <w:rPr>
          <w:rFonts w:eastAsia="Calibri"/>
        </w:rPr>
        <w:t xml:space="preserve">Platí rovnaká premisa ako pri výrobcoch, splnomocnených zástupcoch a dovozcoch. </w:t>
      </w:r>
      <w:r w:rsidRPr="00547E7E">
        <w:rPr>
          <w:rFonts w:eastAsia="Calibri"/>
        </w:rPr>
        <w:t xml:space="preserve">Vzhľadom na to, že regulácia sa týka všeobecnej bezpečnosti výrobkov, dotknutými </w:t>
      </w:r>
      <w:r>
        <w:rPr>
          <w:rFonts w:eastAsia="Calibri"/>
        </w:rPr>
        <w:t>distribútormi</w:t>
      </w:r>
      <w:r w:rsidRPr="00547E7E">
        <w:rPr>
          <w:rFonts w:eastAsia="Calibri"/>
        </w:rPr>
        <w:t xml:space="preserve"> sú </w:t>
      </w:r>
      <w:r>
        <w:rPr>
          <w:rFonts w:eastAsia="Calibri"/>
        </w:rPr>
        <w:t>distribútori</w:t>
      </w:r>
      <w:r w:rsidRPr="00547E7E">
        <w:rPr>
          <w:rFonts w:eastAsia="Calibri"/>
        </w:rPr>
        <w:t xml:space="preserve"> všetkých výrobkov okrem tých, ktoré upravujú osobitné predpisy. Presný počet dotknutých subjektov nie je známy, nie je ho možné zistiť zo žiadnej databázy, pretože množina výrobkov, na ktoré sa vzťahuje všeobecná požiadavka na bezpečnosť, nie je uzavretá. Predkladateľ z tohto dôvodu prepočítal náklady na vybranú skupinu </w:t>
      </w:r>
      <w:r>
        <w:rPr>
          <w:rFonts w:eastAsia="Calibri"/>
        </w:rPr>
        <w:t>distribútorov</w:t>
      </w:r>
      <w:r w:rsidRPr="00547E7E">
        <w:rPr>
          <w:rFonts w:eastAsia="Calibri"/>
        </w:rPr>
        <w:t xml:space="preserve"> v rámci modelového príkladu. Počet dotknutých subjektov, vrátane MSP, bol určený použitím údajov z Registra účtovných závierok za rok 2020 na základe kódov SK NACE pre tie činnosti, pre ktoré je možné určiť pôsobnosť návrhu zákona.</w:t>
      </w:r>
      <w:r>
        <w:rPr>
          <w:rFonts w:eastAsia="Calibri"/>
        </w:rPr>
        <w:t xml:space="preserve"> Pre skupinu distribútorov (vrátane obchodníkov) ide o kódy SK NACE: 46410, 46420, 46470, 46480, 46490, 46650, 47530, 47590, 47640, 47710, 47720, 47770. Na základe uvedených kritérií bola pre modelový príklad určená množina </w:t>
      </w:r>
      <w:r w:rsidRPr="00A0110E">
        <w:rPr>
          <w:rFonts w:eastAsia="Calibri"/>
          <w:i/>
        </w:rPr>
        <w:t>2 422 dotknutých subjektov</w:t>
      </w:r>
      <w:r>
        <w:rPr>
          <w:rFonts w:eastAsia="Calibri"/>
        </w:rPr>
        <w:t xml:space="preserve">, z toho </w:t>
      </w:r>
      <w:r w:rsidRPr="00A0110E">
        <w:rPr>
          <w:rFonts w:eastAsia="Calibri"/>
          <w:i/>
        </w:rPr>
        <w:t>1 657 MSP</w:t>
      </w:r>
      <w:r>
        <w:rPr>
          <w:rFonts w:eastAsia="Calibri"/>
        </w:rPr>
        <w:t>.</w:t>
      </w:r>
    </w:p>
    <w:p w:rsidR="00827C52" w:rsidRPr="00505D54" w:rsidRDefault="00827C52" w:rsidP="00753007">
      <w:pPr>
        <w:jc w:val="both"/>
        <w:rPr>
          <w:rFonts w:eastAsia="Calibri"/>
          <w:sz w:val="28"/>
        </w:rPr>
      </w:pPr>
    </w:p>
    <w:p w:rsidR="00827C52" w:rsidRPr="00505D54" w:rsidRDefault="00505D54" w:rsidP="00505D54">
      <w:pPr>
        <w:pStyle w:val="Odsekzoznamu"/>
        <w:numPr>
          <w:ilvl w:val="0"/>
          <w:numId w:val="4"/>
        </w:numPr>
        <w:jc w:val="both"/>
        <w:rPr>
          <w:rFonts w:ascii="Times New Roman" w:eastAsia="Calibri" w:hAnsi="Times New Roman" w:cs="Times New Roman"/>
          <w:b/>
          <w:sz w:val="24"/>
        </w:rPr>
      </w:pPr>
      <w:r w:rsidRPr="00505D54">
        <w:rPr>
          <w:rFonts w:ascii="Times New Roman" w:eastAsia="Calibri" w:hAnsi="Times New Roman" w:cs="Times New Roman"/>
          <w:b/>
          <w:sz w:val="24"/>
        </w:rPr>
        <w:t xml:space="preserve">Povinnosť č. 3 a 5: </w:t>
      </w:r>
      <w:r w:rsidR="00827C52" w:rsidRPr="00505D54">
        <w:rPr>
          <w:rFonts w:ascii="Times New Roman" w:eastAsia="Calibri" w:hAnsi="Times New Roman" w:cs="Times New Roman"/>
          <w:b/>
          <w:sz w:val="24"/>
        </w:rPr>
        <w:t>Povinnosť hospodárskeho subjektu poskytnúť informáciu o subjektoch, ktorým výrobky dodal</w:t>
      </w:r>
    </w:p>
    <w:p w:rsidR="00827C52" w:rsidRDefault="00827C52" w:rsidP="00753007">
      <w:pPr>
        <w:jc w:val="both"/>
        <w:rPr>
          <w:rFonts w:eastAsia="Calibri"/>
        </w:rPr>
      </w:pPr>
    </w:p>
    <w:p w:rsidR="00827C52" w:rsidRPr="00547E7E" w:rsidRDefault="00827C52" w:rsidP="00827C52">
      <w:pPr>
        <w:jc w:val="both"/>
        <w:rPr>
          <w:rFonts w:eastAsia="Calibri"/>
        </w:rPr>
      </w:pPr>
      <w:r w:rsidRPr="00547E7E">
        <w:rPr>
          <w:rFonts w:eastAsia="Calibri"/>
        </w:rPr>
        <w:t xml:space="preserve">Podľa návrhu zákona </w:t>
      </w:r>
      <w:r w:rsidR="00505D54">
        <w:rPr>
          <w:rFonts w:eastAsia="Calibri"/>
        </w:rPr>
        <w:t>má mať hospodársky subjekt</w:t>
      </w:r>
      <w:r>
        <w:rPr>
          <w:rFonts w:eastAsia="Calibri"/>
        </w:rPr>
        <w:t xml:space="preserve"> </w:t>
      </w:r>
      <w:r w:rsidRPr="00547E7E">
        <w:rPr>
          <w:rFonts w:eastAsia="Calibri"/>
        </w:rPr>
        <w:t xml:space="preserve">povinnosť </w:t>
      </w:r>
      <w:r>
        <w:rPr>
          <w:rFonts w:eastAsia="Calibri"/>
        </w:rPr>
        <w:t>poskytovať</w:t>
      </w:r>
      <w:r w:rsidR="00A0110E">
        <w:rPr>
          <w:rFonts w:eastAsia="Calibri"/>
        </w:rPr>
        <w:t xml:space="preserve"> orgánu dohľadu na jeho žiadosť</w:t>
      </w:r>
      <w:r>
        <w:rPr>
          <w:rFonts w:eastAsia="Calibri"/>
        </w:rPr>
        <w:t xml:space="preserve"> informáciu o nasledujúcich subjektoch v dodávateľskom reťazci, ktorým výrobok dodal</w:t>
      </w:r>
      <w:r w:rsidRPr="00547E7E">
        <w:rPr>
          <w:rFonts w:eastAsia="Calibri"/>
        </w:rPr>
        <w:t>.</w:t>
      </w:r>
      <w:r>
        <w:rPr>
          <w:rFonts w:eastAsia="Calibri"/>
        </w:rPr>
        <w:t xml:space="preserve"> Povinnosť smeruje k </w:t>
      </w:r>
      <w:proofErr w:type="spellStart"/>
      <w:r>
        <w:rPr>
          <w:rFonts w:eastAsia="Calibri"/>
        </w:rPr>
        <w:t>vysledovateľnosti</w:t>
      </w:r>
      <w:proofErr w:type="spellEnd"/>
      <w:r>
        <w:rPr>
          <w:rFonts w:eastAsia="Calibri"/>
        </w:rPr>
        <w:t xml:space="preserve"> výrobkov.</w:t>
      </w:r>
      <w:r w:rsidRPr="00547E7E">
        <w:rPr>
          <w:rFonts w:eastAsia="Calibri"/>
        </w:rPr>
        <w:t xml:space="preserve"> Zavedená regulácia predstavuje pre subjekty administratívne náklady spočívajúce v evidencii a</w:t>
      </w:r>
      <w:r>
        <w:rPr>
          <w:rFonts w:eastAsia="Calibri"/>
        </w:rPr>
        <w:t> ohlasovaní informácií</w:t>
      </w:r>
      <w:r w:rsidRPr="00547E7E">
        <w:rPr>
          <w:rFonts w:eastAsia="Calibri"/>
        </w:rPr>
        <w:t xml:space="preserve">. Frekvencia </w:t>
      </w:r>
      <w:r w:rsidRPr="00547E7E">
        <w:rPr>
          <w:rFonts w:eastAsia="Calibri"/>
        </w:rPr>
        <w:lastRenderedPageBreak/>
        <w:t>plnenia tejto povinnosti bola expertným odhadom určená na úrovni zodpovedajúcej štvrťročnému plneniu týchto povinností. S použitím kalkulačky vplyvov na podnikateľské prostredie bol preto v tomto prípade vplyv na 1 podnikateľa kvantifikovaný na</w:t>
      </w:r>
      <w:r w:rsidR="00A0110E">
        <w:rPr>
          <w:rFonts w:eastAsia="Calibri"/>
        </w:rPr>
        <w:t xml:space="preserve"> približne</w:t>
      </w:r>
      <w:r w:rsidRPr="00547E7E">
        <w:rPr>
          <w:rFonts w:eastAsia="Calibri"/>
        </w:rPr>
        <w:t xml:space="preserve"> </w:t>
      </w:r>
      <w:r w:rsidR="00A0110E">
        <w:rPr>
          <w:rFonts w:eastAsia="Calibri"/>
        </w:rPr>
        <w:br/>
      </w:r>
      <w:r w:rsidRPr="00A0110E">
        <w:rPr>
          <w:rFonts w:eastAsia="Calibri"/>
          <w:i/>
        </w:rPr>
        <w:t>230 eur</w:t>
      </w:r>
      <w:r w:rsidRPr="00547E7E">
        <w:rPr>
          <w:rFonts w:eastAsia="Calibri"/>
        </w:rPr>
        <w:t xml:space="preserve">. </w:t>
      </w:r>
    </w:p>
    <w:p w:rsidR="00827C52" w:rsidRDefault="00827C52" w:rsidP="00753007">
      <w:pPr>
        <w:jc w:val="both"/>
        <w:rPr>
          <w:rFonts w:eastAsia="Calibri"/>
        </w:rPr>
      </w:pPr>
    </w:p>
    <w:p w:rsidR="00505D54" w:rsidRPr="00505D54" w:rsidRDefault="00505D54" w:rsidP="00505D54">
      <w:pPr>
        <w:jc w:val="both"/>
        <w:rPr>
          <w:rFonts w:eastAsia="Calibri"/>
          <w:i/>
        </w:rPr>
      </w:pPr>
      <w:r w:rsidRPr="00505D54">
        <w:rPr>
          <w:rFonts w:eastAsia="Calibri"/>
          <w:i/>
        </w:rPr>
        <w:t xml:space="preserve">Počet dotknutých subjektov – povinnosť č. </w:t>
      </w:r>
      <w:r>
        <w:rPr>
          <w:rFonts w:eastAsia="Calibri"/>
          <w:i/>
        </w:rPr>
        <w:t>3</w:t>
      </w:r>
      <w:r w:rsidRPr="00505D54">
        <w:rPr>
          <w:rFonts w:eastAsia="Calibri"/>
          <w:i/>
        </w:rPr>
        <w:t>:</w:t>
      </w:r>
    </w:p>
    <w:p w:rsidR="00505D54" w:rsidRDefault="00505D54" w:rsidP="00505D54">
      <w:pPr>
        <w:jc w:val="both"/>
        <w:rPr>
          <w:rFonts w:eastAsia="Calibri"/>
        </w:rPr>
      </w:pPr>
      <w:r w:rsidRPr="00547E7E">
        <w:rPr>
          <w:rFonts w:eastAsia="Calibri"/>
        </w:rPr>
        <w:t xml:space="preserve">Vzhľadom na to, že regulácia sa týka všeobecnej bezpečnosti výrobkov, dotknutými výrobcami sú výrobcovia všetkých výrobkov okrem tých, ktoré upravujú osobitné predpisy. Rovnako to platí pre kategóriu ďalších dotknutých hospodárskych subjektov – splnomocnených zástupcov a dovozcov. Presný počet dotknutých subjektov nie je známy, nie je ho možné zistiť zo žiadnej databázy, pretože množina výrobkov, na ktoré sa vzťahuje všeobecná požiadavka na bezpečnosť, nie je uzavretá. Predkladateľ z tohto dôvodu prepočítal náklady na vybranú skupinu dotknutých subjektov v rámci modelového príkladu. Počet dotknutých subjektov, vrátane MSP, bol určený použitím údajov z Registra účtovných závierok za rok 2020 na základe kódov SK NACE pre tie činnosti, pre ktoré je možné určiť pôsobnosť návrhu zákona. Pre skupinu výrobcov, splnomocnených zástupcov a dovozcov ide o kódy SK NACE: 32910, 32300, 32200, 32130, 32120, 14110, 14120, 14130, 14140, 14190, 14200, 14310, 14390, 31010, 31020, 31030, 31090. Na základe uvedených kritérií bola pre modelový príklad určená množina </w:t>
      </w:r>
      <w:r w:rsidRPr="00A0110E">
        <w:rPr>
          <w:rFonts w:eastAsia="Calibri"/>
          <w:i/>
        </w:rPr>
        <w:t>3 512 dotknutých subjektov</w:t>
      </w:r>
      <w:r w:rsidRPr="00547E7E">
        <w:rPr>
          <w:rFonts w:eastAsia="Calibri"/>
        </w:rPr>
        <w:t xml:space="preserve">, z toho </w:t>
      </w:r>
      <w:r w:rsidRPr="00A0110E">
        <w:rPr>
          <w:rFonts w:eastAsia="Calibri"/>
          <w:i/>
        </w:rPr>
        <w:t>2 121 MSP</w:t>
      </w:r>
      <w:r w:rsidRPr="00547E7E">
        <w:rPr>
          <w:rFonts w:eastAsia="Calibri"/>
        </w:rPr>
        <w:t>.</w:t>
      </w:r>
    </w:p>
    <w:p w:rsidR="00505D54" w:rsidRDefault="00505D54" w:rsidP="00753007">
      <w:pPr>
        <w:jc w:val="both"/>
        <w:rPr>
          <w:rFonts w:eastAsia="Calibri"/>
        </w:rPr>
      </w:pPr>
    </w:p>
    <w:p w:rsidR="00505D54" w:rsidRDefault="00505D54" w:rsidP="00505D54">
      <w:pPr>
        <w:jc w:val="both"/>
        <w:rPr>
          <w:rFonts w:eastAsia="Calibri"/>
        </w:rPr>
      </w:pPr>
      <w:r w:rsidRPr="00505D54">
        <w:rPr>
          <w:rFonts w:eastAsia="Calibri"/>
          <w:i/>
        </w:rPr>
        <w:t>Počet dotknutých subjektov – pov</w:t>
      </w:r>
      <w:r>
        <w:rPr>
          <w:rFonts w:eastAsia="Calibri"/>
          <w:i/>
        </w:rPr>
        <w:t xml:space="preserve">innosť č. </w:t>
      </w:r>
      <w:r w:rsidR="00A0110E">
        <w:rPr>
          <w:rFonts w:eastAsia="Calibri"/>
          <w:i/>
        </w:rPr>
        <w:t>5</w:t>
      </w:r>
      <w:r w:rsidRPr="00505D54">
        <w:rPr>
          <w:rFonts w:eastAsia="Calibri"/>
          <w:i/>
        </w:rPr>
        <w:t>:</w:t>
      </w:r>
    </w:p>
    <w:p w:rsidR="00505D54" w:rsidRDefault="00505D54" w:rsidP="00505D54">
      <w:pPr>
        <w:jc w:val="both"/>
        <w:rPr>
          <w:rFonts w:eastAsia="Calibri"/>
        </w:rPr>
      </w:pPr>
      <w:r>
        <w:rPr>
          <w:rFonts w:eastAsia="Calibri"/>
        </w:rPr>
        <w:t xml:space="preserve">Osobitne sa kvantifikujú vplyvy na samostatnú množinu hospodárskych subjektov – distribútorov. Distribútorom sa rozumie každý hospodársky subjekt zapojený do dodávateľského reťazca, ktorého činnosť nemá vplyv na bezpečnosť výrobku. Do tejto kategórie spadajú aj obchodníci, ktorí ponúkajú a predávajú výrobky spotrebiteľom. </w:t>
      </w:r>
    </w:p>
    <w:p w:rsidR="00505D54" w:rsidRDefault="00505D54" w:rsidP="00505D54">
      <w:pPr>
        <w:jc w:val="both"/>
        <w:rPr>
          <w:rFonts w:eastAsia="Calibri"/>
        </w:rPr>
      </w:pPr>
      <w:r>
        <w:rPr>
          <w:rFonts w:eastAsia="Calibri"/>
        </w:rPr>
        <w:t xml:space="preserve">Platí rovnaká premisa ako pri výrobcoch, splnomocnených zástupcoch a dovozcoch. </w:t>
      </w:r>
      <w:r w:rsidRPr="00547E7E">
        <w:rPr>
          <w:rFonts w:eastAsia="Calibri"/>
        </w:rPr>
        <w:t xml:space="preserve">Vzhľadom na to, že regulácia sa týka všeobecnej bezpečnosti výrobkov, dotknutými </w:t>
      </w:r>
      <w:r>
        <w:rPr>
          <w:rFonts w:eastAsia="Calibri"/>
        </w:rPr>
        <w:t>distribútormi</w:t>
      </w:r>
      <w:r w:rsidRPr="00547E7E">
        <w:rPr>
          <w:rFonts w:eastAsia="Calibri"/>
        </w:rPr>
        <w:t xml:space="preserve"> sú </w:t>
      </w:r>
      <w:r>
        <w:rPr>
          <w:rFonts w:eastAsia="Calibri"/>
        </w:rPr>
        <w:t>distribútori</w:t>
      </w:r>
      <w:r w:rsidRPr="00547E7E">
        <w:rPr>
          <w:rFonts w:eastAsia="Calibri"/>
        </w:rPr>
        <w:t xml:space="preserve"> všetkých výrobkov okrem tých, ktoré upravujú osobitné predpisy. Presný počet dotknutých subjektov nie je známy, nie je ho možné zistiť zo žiadnej databázy, pretože množina výrobkov, na ktoré sa vzťahuje všeobecná požiadavka na bezpečnosť, nie je uzavretá. Predkladateľ z tohto dôvodu prepočítal náklady na vybranú skupinu </w:t>
      </w:r>
      <w:r>
        <w:rPr>
          <w:rFonts w:eastAsia="Calibri"/>
        </w:rPr>
        <w:t>distribútorov</w:t>
      </w:r>
      <w:r w:rsidRPr="00547E7E">
        <w:rPr>
          <w:rFonts w:eastAsia="Calibri"/>
        </w:rPr>
        <w:t xml:space="preserve"> v rámci modelového príkladu. Počet dotknutých subjektov, vrátane MSP, bol určený použitím údajov z Registra účtovných závierok za rok 2020 na základe kódov SK NACE pre tie činnosti, pre ktoré je možné určiť pôsobnosť návrhu zákona.</w:t>
      </w:r>
      <w:r>
        <w:rPr>
          <w:rFonts w:eastAsia="Calibri"/>
        </w:rPr>
        <w:t xml:space="preserve"> Pre skupinu distribútorov (vrátane obchodníkov) ide o kódy SK NACE: 46410, 46420, 46470, 46480, 46490, 46650, 47530, 47590, 47640, 47710, 47720, 47770. Na základe uvedených kritérií bola pre modelový príklad určená množina </w:t>
      </w:r>
      <w:r w:rsidRPr="00A0110E">
        <w:rPr>
          <w:rFonts w:eastAsia="Calibri"/>
          <w:i/>
        </w:rPr>
        <w:t>2 422 dotknutých subjektov</w:t>
      </w:r>
      <w:r>
        <w:rPr>
          <w:rFonts w:eastAsia="Calibri"/>
        </w:rPr>
        <w:t xml:space="preserve">, z toho </w:t>
      </w:r>
      <w:r w:rsidRPr="00A0110E">
        <w:rPr>
          <w:rFonts w:eastAsia="Calibri"/>
          <w:i/>
        </w:rPr>
        <w:t>1 657 MSP</w:t>
      </w:r>
      <w:r>
        <w:rPr>
          <w:rFonts w:eastAsia="Calibri"/>
        </w:rPr>
        <w:t>.</w:t>
      </w:r>
    </w:p>
    <w:p w:rsidR="00505D54" w:rsidRDefault="00505D54" w:rsidP="00753007">
      <w:pPr>
        <w:jc w:val="both"/>
        <w:rPr>
          <w:rFonts w:eastAsia="Calibri"/>
        </w:rPr>
      </w:pPr>
    </w:p>
    <w:p w:rsidR="00753007" w:rsidRPr="00E50E13" w:rsidRDefault="00753007" w:rsidP="00753007">
      <w:pPr>
        <w:jc w:val="both"/>
        <w:rPr>
          <w:rFonts w:eastAsia="Calibri"/>
        </w:rPr>
      </w:pPr>
    </w:p>
    <w:p w:rsidR="00753007" w:rsidRPr="001F1B43" w:rsidRDefault="00753007" w:rsidP="00753007">
      <w:pPr>
        <w:jc w:val="both"/>
        <w:rPr>
          <w:rFonts w:eastAsia="Calibri"/>
          <w:b/>
        </w:rPr>
      </w:pPr>
      <w:r w:rsidRPr="001F1B43">
        <w:rPr>
          <w:rFonts w:eastAsia="Calibri"/>
          <w:b/>
        </w:rPr>
        <w:t>3.2 Vyhodnotenie konzultácií s podnikateľskými subjektmi pred predbežným pripomienkovým konaním</w:t>
      </w:r>
    </w:p>
    <w:p w:rsidR="00753007" w:rsidRPr="00D8247C" w:rsidRDefault="00753007" w:rsidP="00753007">
      <w:pPr>
        <w:jc w:val="both"/>
        <w:rPr>
          <w:rFonts w:eastAsia="Calibri"/>
          <w:i/>
        </w:rPr>
      </w:pPr>
      <w:r w:rsidRPr="00D8247C">
        <w:rPr>
          <w:rFonts w:eastAsia="Calibri"/>
          <w:i/>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eastAsia="Calibri"/>
          <w:i/>
        </w:rPr>
        <w:t>link</w:t>
      </w:r>
      <w:proofErr w:type="spellEnd"/>
      <w:r w:rsidRPr="00D8247C">
        <w:rPr>
          <w:rFonts w:eastAsia="Calibri"/>
          <w:i/>
        </w:rPr>
        <w:t xml:space="preserve"> na webovú stránku, na ktorej boli konzultácie zverejnené. </w:t>
      </w:r>
    </w:p>
    <w:p w:rsidR="00753007" w:rsidRPr="00D8247C" w:rsidRDefault="00753007" w:rsidP="00753007">
      <w:pPr>
        <w:jc w:val="both"/>
        <w:rPr>
          <w:rFonts w:eastAsia="Calibri"/>
          <w:i/>
        </w:rPr>
      </w:pPr>
      <w:r w:rsidRPr="00D8247C">
        <w:rPr>
          <w:rFonts w:eastAsia="Calibri"/>
          <w:i/>
        </w:rPr>
        <w:t xml:space="preserve">Uveďte hlavné body konzultácií a ich závery. </w:t>
      </w:r>
    </w:p>
    <w:p w:rsidR="00753007" w:rsidRPr="00D8247C" w:rsidRDefault="00753007" w:rsidP="00753007">
      <w:pPr>
        <w:jc w:val="both"/>
        <w:rPr>
          <w:rFonts w:eastAsia="Calibri"/>
          <w:i/>
        </w:rPr>
      </w:pPr>
      <w:r w:rsidRPr="00D8247C">
        <w:rPr>
          <w:rFonts w:eastAsia="Calibri"/>
          <w:i/>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753007" w:rsidRPr="00D8247C" w:rsidRDefault="00753007" w:rsidP="00753007">
      <w:pPr>
        <w:jc w:val="both"/>
        <w:rPr>
          <w:rFonts w:eastAsia="Calibri"/>
          <w:i/>
        </w:rPr>
      </w:pPr>
      <w:r w:rsidRPr="00D8247C">
        <w:rPr>
          <w:rFonts w:eastAsia="Calibri"/>
          <w:i/>
        </w:rPr>
        <w:t xml:space="preserve">Alternatívne namiesto vypĺňania bodu 3.2 môžete uviesť ako samostatnú prílohu tejto analýzy Záznam z konzultácií obsahujúci požadované informácie. </w:t>
      </w:r>
    </w:p>
    <w:p w:rsidR="00753007" w:rsidRDefault="00753007" w:rsidP="00753007">
      <w:pPr>
        <w:jc w:val="both"/>
        <w:rPr>
          <w:rFonts w:eastAsia="Calibri"/>
        </w:rPr>
      </w:pPr>
    </w:p>
    <w:p w:rsidR="00753007" w:rsidRPr="00B0103B" w:rsidRDefault="00753007" w:rsidP="00753007">
      <w:pPr>
        <w:jc w:val="both"/>
        <w:rPr>
          <w:rFonts w:eastAsia="Calibri"/>
        </w:rPr>
      </w:pPr>
      <w:r>
        <w:rPr>
          <w:rFonts w:eastAsia="Calibri"/>
        </w:rPr>
        <w:t>Vo februári 2020 bola podnikateľskému prostrediu zaslaná predbežná informácia o príprave zákona s požiadavkou o vyjadrenie záujmu participovať na verejných konzultáciách. Vzhľadom na záujem podnikateľského subjektu bola k prípravám zákona vytvorená pracovná skupina. Konkrétne požiadavky na sekundárnu transpozíciu dvoch smerníc EÚ, ktoré sú východiskom pre návrh zákona, neboli predkladateľovi doručené alebo inak prezentované. Cieľom predkladateľa je ponechať národnú úpravu na úrovni požiadaviek vyplývajúcich z EÚ regulácie. Akákoľvek ich zmena je nutná na úrovni EÚ. Konzultácie s podnikateľským prostredím sa vecne skôr sústreďujú na novú úpravu na EÚ úrovni, ktorá sa aktuálne pripravuje (</w:t>
      </w:r>
      <w:r w:rsidRPr="00345D05">
        <w:rPr>
          <w:rFonts w:eastAsia="Calibri"/>
        </w:rPr>
        <w:t>návrhu nariadenia Európskeho parlamentu a Rady o všeobecnej bezpečnosti výrobkov, ktorým sa mení nariadenie Európskeho parlamentu a Rady (EÚ) č. 1025/2012 a zrušuje smernica Rady 87/357/EHS a smernica Európskeh</w:t>
      </w:r>
      <w:r>
        <w:rPr>
          <w:rFonts w:eastAsia="Calibri"/>
        </w:rPr>
        <w:t>o parlamentu a Rady 2001/95/ES).</w:t>
      </w:r>
    </w:p>
    <w:p w:rsidR="00753007" w:rsidRPr="00D8247C" w:rsidRDefault="00753007" w:rsidP="00753007">
      <w:pPr>
        <w:jc w:val="both"/>
        <w:rPr>
          <w:rFonts w:eastAsia="Calibri"/>
          <w:i/>
        </w:rPr>
      </w:pPr>
    </w:p>
    <w:p w:rsidR="00753007" w:rsidRPr="001F1B43" w:rsidRDefault="00753007" w:rsidP="00753007">
      <w:pPr>
        <w:jc w:val="both"/>
        <w:rPr>
          <w:rFonts w:eastAsia="Calibri"/>
          <w:b/>
        </w:rPr>
      </w:pPr>
      <w:bookmarkStart w:id="1" w:name="_Hlk47698091"/>
      <w:r w:rsidRPr="001F1B43">
        <w:rPr>
          <w:rFonts w:eastAsia="Calibri"/>
          <w:b/>
        </w:rPr>
        <w:t>3.3 Vplyvy na konkurencieschopnosť a produktivitu</w:t>
      </w:r>
    </w:p>
    <w:bookmarkEnd w:id="1"/>
    <w:p w:rsidR="00753007" w:rsidRPr="00D8247C" w:rsidRDefault="00753007" w:rsidP="00753007">
      <w:pPr>
        <w:jc w:val="both"/>
        <w:rPr>
          <w:rFonts w:eastAsia="Calibri"/>
          <w:i/>
        </w:rPr>
      </w:pPr>
      <w:r w:rsidRPr="00D8247C">
        <w:rPr>
          <w:rFonts w:eastAsia="Calibri"/>
          <w:i/>
        </w:rPr>
        <w:t xml:space="preserve">Dochádza k vytvoreniu resp. k zmene bariér na trhu? </w:t>
      </w:r>
    </w:p>
    <w:p w:rsidR="00753007" w:rsidRPr="00D8247C" w:rsidRDefault="00753007" w:rsidP="00753007">
      <w:pPr>
        <w:jc w:val="both"/>
        <w:rPr>
          <w:rFonts w:eastAsia="Calibri"/>
          <w:i/>
        </w:rPr>
      </w:pPr>
      <w:r w:rsidRPr="00D8247C">
        <w:rPr>
          <w:rFonts w:eastAsia="Calibri"/>
          <w:i/>
        </w:rPr>
        <w:t xml:space="preserve">Bude sa s niektorými podnikmi alebo produktmi zaobchádzať v porovnateľnej situácii rôzne (napr. špeciálne režimy pre </w:t>
      </w:r>
      <w:proofErr w:type="spellStart"/>
      <w:r w:rsidRPr="00D8247C">
        <w:rPr>
          <w:rFonts w:eastAsia="Calibri"/>
          <w:i/>
        </w:rPr>
        <w:t>mikro</w:t>
      </w:r>
      <w:proofErr w:type="spellEnd"/>
      <w:r w:rsidRPr="00D8247C">
        <w:rPr>
          <w:rFonts w:eastAsia="Calibri"/>
          <w:i/>
        </w:rPr>
        <w:t xml:space="preserve">, malé a stredné podniky tzv. MSP)? </w:t>
      </w:r>
    </w:p>
    <w:p w:rsidR="00753007" w:rsidRPr="00D8247C" w:rsidRDefault="00753007" w:rsidP="00753007">
      <w:pPr>
        <w:jc w:val="both"/>
        <w:rPr>
          <w:rFonts w:eastAsia="Calibri"/>
          <w:i/>
        </w:rPr>
      </w:pPr>
      <w:r w:rsidRPr="00D8247C">
        <w:rPr>
          <w:rFonts w:eastAsia="Calibri"/>
          <w:i/>
        </w:rPr>
        <w:t xml:space="preserve">Ovplyvňuje zmena regulácie cezhraničné investície (príliv/odliv zahraničných investícií resp. uplatnenie slovenských podnikov na zahraničných trhoch)? </w:t>
      </w:r>
    </w:p>
    <w:p w:rsidR="00753007" w:rsidRDefault="00753007" w:rsidP="00753007">
      <w:pPr>
        <w:jc w:val="both"/>
        <w:rPr>
          <w:rFonts w:eastAsia="Calibri"/>
          <w:i/>
        </w:rPr>
      </w:pPr>
      <w:r w:rsidRPr="00D8247C">
        <w:rPr>
          <w:rFonts w:eastAsia="Calibri"/>
          <w:i/>
        </w:rPr>
        <w:t xml:space="preserve">Ovplyvní dostupnosť základných zdrojov (financie, pracovná sila, suroviny, mechanizmy, energie atď.)? </w:t>
      </w:r>
    </w:p>
    <w:p w:rsidR="00753007" w:rsidRPr="00D8247C" w:rsidRDefault="00753007" w:rsidP="00753007">
      <w:pPr>
        <w:jc w:val="both"/>
        <w:rPr>
          <w:rFonts w:eastAsia="Calibri"/>
          <w:i/>
        </w:rPr>
      </w:pPr>
      <w:r>
        <w:rPr>
          <w:rFonts w:eastAsia="Calibri"/>
          <w:i/>
        </w:rPr>
        <w:t>Ovplyvňuje zmena regulácie inovácie, vedu a výskum?</w:t>
      </w:r>
    </w:p>
    <w:p w:rsidR="00753007" w:rsidRPr="00D8247C" w:rsidRDefault="00753007" w:rsidP="00753007">
      <w:pPr>
        <w:jc w:val="both"/>
        <w:rPr>
          <w:rFonts w:eastAsia="Calibri"/>
          <w:i/>
        </w:rPr>
      </w:pPr>
      <w:r w:rsidRPr="00D8247C">
        <w:rPr>
          <w:rFonts w:eastAsia="Calibri"/>
          <w:i/>
          <w:iCs/>
        </w:rPr>
        <w:t>Ako prispieva zmena regulácie k cieľu Slovenska mať najlepšie podnikateľské prostredie spomedzi susediacich krajín EÚ?</w:t>
      </w:r>
    </w:p>
    <w:p w:rsidR="00753007" w:rsidRDefault="00753007" w:rsidP="00753007">
      <w:pPr>
        <w:jc w:val="both"/>
        <w:rPr>
          <w:rFonts w:eastAsia="Calibri"/>
          <w:i/>
        </w:rPr>
      </w:pPr>
    </w:p>
    <w:p w:rsidR="00753007" w:rsidRDefault="00753007" w:rsidP="00753007">
      <w:pPr>
        <w:jc w:val="both"/>
        <w:rPr>
          <w:rFonts w:eastAsia="Calibri"/>
        </w:rPr>
      </w:pPr>
      <w:r>
        <w:rPr>
          <w:rFonts w:eastAsia="Calibri"/>
        </w:rPr>
        <w:t>Návrh zákona predstavuje sprehľadnenie doterajšej právnej úpravy v oblasti bezpečnosti spotrebiteľských výrobkov a jej zjednotenie do jedného právneho predpisu. Väčšina regulácií uvedených v zákone bola v slovenskom právnom poriadku zavedená aj doteraz a návrh zákona sa snaží viac o odstraňovanie nadbytočných povinností hospodárskych subjektov než o ich zaťažovanie. Návrhom zákona nedochádza k vytvoreniu ani zmene bariér na trhu, nedochádza ním ani k rozličnému zaobchádzaniu s podnikmi v rovnakej situácii. Návrh zákona nemá vplyv na zahraničné investície, ani dostupnosť základných zdrojov.</w:t>
      </w:r>
    </w:p>
    <w:p w:rsidR="00753007" w:rsidRDefault="00753007" w:rsidP="00753007">
      <w:pPr>
        <w:jc w:val="both"/>
        <w:rPr>
          <w:rFonts w:eastAsia="Calibri"/>
        </w:rPr>
      </w:pPr>
    </w:p>
    <w:p w:rsidR="00753007" w:rsidRPr="00EB547C" w:rsidRDefault="00753007" w:rsidP="00753007">
      <w:pPr>
        <w:jc w:val="both"/>
        <w:rPr>
          <w:rFonts w:eastAsia="Calibri"/>
        </w:rPr>
      </w:pPr>
    </w:p>
    <w:p w:rsidR="00753007" w:rsidRPr="00D8247C" w:rsidRDefault="00753007" w:rsidP="00753007">
      <w:pPr>
        <w:jc w:val="both"/>
        <w:rPr>
          <w:rFonts w:eastAsia="Calibri"/>
          <w:b/>
          <w:i/>
        </w:rPr>
      </w:pPr>
      <w:r w:rsidRPr="00D8247C">
        <w:rPr>
          <w:rFonts w:eastAsia="Calibri"/>
          <w:b/>
          <w:i/>
        </w:rPr>
        <w:t>Konkurencieschopnosť:</w:t>
      </w:r>
    </w:p>
    <w:p w:rsidR="00753007" w:rsidRPr="00D8247C" w:rsidRDefault="00753007" w:rsidP="00753007">
      <w:pPr>
        <w:jc w:val="both"/>
        <w:rPr>
          <w:rFonts w:eastAsia="Calibri"/>
          <w:i/>
        </w:rPr>
      </w:pPr>
      <w:r w:rsidRPr="00D8247C">
        <w:rPr>
          <w:rFonts w:eastAsia="Calibri"/>
          <w:i/>
        </w:rPr>
        <w:t>Na základe uvedených odpovedí zaškrtnite a popíšte, či materiál konkurencieschopnosť:</w:t>
      </w:r>
    </w:p>
    <w:p w:rsidR="00753007" w:rsidRPr="00D8247C" w:rsidRDefault="00640135" w:rsidP="00753007">
      <w:pPr>
        <w:jc w:val="both"/>
        <w:rPr>
          <w:rFonts w:eastAsia="Calibri"/>
          <w:i/>
        </w:rPr>
      </w:pPr>
      <w:sdt>
        <w:sdtPr>
          <w:rPr>
            <w:rFonts w:eastAsia="Calibri"/>
            <w:i/>
          </w:rPr>
          <w:id w:val="798576880"/>
        </w:sdtPr>
        <w:sdtEndPr/>
        <w:sdtContent>
          <w:sdt>
            <w:sdtPr>
              <w:rPr>
                <w:rFonts w:eastAsia="Calibri"/>
                <w:i/>
              </w:rPr>
              <w:id w:val="1729873660"/>
            </w:sdtPr>
            <w:sdtEndPr/>
            <w:sdtContent>
              <w:r w:rsidR="00753007" w:rsidRPr="00D8247C">
                <w:rPr>
                  <w:rFonts w:ascii="Segoe UI Symbol" w:eastAsia="Calibri" w:hAnsi="Segoe UI Symbol" w:cs="Segoe UI Symbol"/>
                  <w:i/>
                </w:rPr>
                <w:t>☐</w:t>
              </w:r>
            </w:sdtContent>
          </w:sdt>
        </w:sdtContent>
      </w:sdt>
      <w:r w:rsidR="00753007" w:rsidRPr="00D8247C">
        <w:rPr>
          <w:rFonts w:eastAsia="Calibri"/>
          <w:i/>
        </w:rPr>
        <w:t xml:space="preserve"> zvyšuje  </w:t>
      </w:r>
      <w:r w:rsidR="00753007" w:rsidRPr="00D8247C">
        <w:rPr>
          <w:rFonts w:eastAsia="Calibri"/>
          <w:i/>
        </w:rPr>
        <w:tab/>
      </w:r>
      <w:sdt>
        <w:sdtPr>
          <w:rPr>
            <w:rFonts w:eastAsia="Calibri"/>
            <w:i/>
          </w:rPr>
          <w:id w:val="410579887"/>
        </w:sdtPr>
        <w:sdtEndPr/>
        <w:sdtContent>
          <w:sdt>
            <w:sdtPr>
              <w:rPr>
                <w:rFonts w:eastAsia="Calibri"/>
                <w:i/>
              </w:rPr>
              <w:id w:val="-80300261"/>
            </w:sdtPr>
            <w:sdtEndPr/>
            <w:sdtContent>
              <w:r w:rsidR="00753007">
                <w:rPr>
                  <w:rFonts w:ascii="Segoe UI Symbol" w:eastAsia="Calibri" w:hAnsi="Segoe UI Symbol" w:cs="Segoe UI Symbol"/>
                  <w:i/>
                </w:rPr>
                <w:t>X</w:t>
              </w:r>
            </w:sdtContent>
          </w:sdt>
        </w:sdtContent>
      </w:sdt>
      <w:r w:rsidR="00753007" w:rsidRPr="00D8247C">
        <w:rPr>
          <w:rFonts w:eastAsia="Calibri"/>
          <w:i/>
        </w:rPr>
        <w:t xml:space="preserve"> nemení</w:t>
      </w:r>
      <w:r w:rsidR="00753007" w:rsidRPr="00D8247C">
        <w:rPr>
          <w:rFonts w:eastAsia="Calibri"/>
          <w:i/>
        </w:rPr>
        <w:tab/>
      </w:r>
      <w:sdt>
        <w:sdtPr>
          <w:rPr>
            <w:rFonts w:eastAsia="Calibri"/>
            <w:i/>
          </w:rPr>
          <w:id w:val="-474604883"/>
        </w:sdtPr>
        <w:sdtEndPr/>
        <w:sdtContent>
          <w:sdt>
            <w:sdtPr>
              <w:rPr>
                <w:rFonts w:eastAsia="Calibri"/>
                <w:i/>
              </w:rPr>
              <w:id w:val="-1706551548"/>
            </w:sdtPr>
            <w:sdtEndPr/>
            <w:sdtContent>
              <w:r w:rsidR="00753007" w:rsidRPr="00D8247C">
                <w:rPr>
                  <w:rFonts w:ascii="Segoe UI Symbol" w:eastAsia="Calibri" w:hAnsi="Segoe UI Symbol" w:cs="Segoe UI Symbol"/>
                  <w:i/>
                </w:rPr>
                <w:t>☐</w:t>
              </w:r>
            </w:sdtContent>
          </w:sdt>
        </w:sdtContent>
      </w:sdt>
      <w:r w:rsidR="00753007" w:rsidRPr="00D8247C">
        <w:rPr>
          <w:rFonts w:eastAsia="Calibri"/>
          <w:i/>
        </w:rPr>
        <w:t xml:space="preserve"> znižuje</w:t>
      </w:r>
    </w:p>
    <w:p w:rsidR="00753007" w:rsidRPr="00D8247C" w:rsidRDefault="00753007" w:rsidP="00753007">
      <w:pPr>
        <w:jc w:val="both"/>
        <w:rPr>
          <w:rFonts w:eastAsia="Calibri"/>
          <w:i/>
        </w:rPr>
      </w:pPr>
    </w:p>
    <w:p w:rsidR="00753007" w:rsidRPr="00D8247C" w:rsidRDefault="00753007" w:rsidP="00753007">
      <w:pPr>
        <w:jc w:val="both"/>
        <w:rPr>
          <w:rFonts w:eastAsia="Calibri"/>
          <w:b/>
          <w:i/>
        </w:rPr>
      </w:pPr>
      <w:r w:rsidRPr="00D8247C">
        <w:rPr>
          <w:rFonts w:eastAsia="Calibri"/>
          <w:b/>
          <w:i/>
        </w:rPr>
        <w:t>Produktivita:</w:t>
      </w:r>
    </w:p>
    <w:p w:rsidR="00753007" w:rsidRPr="00D8247C" w:rsidRDefault="00753007" w:rsidP="00753007">
      <w:pPr>
        <w:jc w:val="both"/>
        <w:rPr>
          <w:rFonts w:eastAsia="Calibri"/>
          <w:i/>
        </w:rPr>
      </w:pPr>
      <w:r w:rsidRPr="00D8247C">
        <w:rPr>
          <w:rFonts w:eastAsia="Calibri"/>
          <w:i/>
        </w:rPr>
        <w:t xml:space="preserve">Aký má materiál vplyv na zmenu pomeru medzi produkciou podnikov a ich nákladmi? </w:t>
      </w:r>
    </w:p>
    <w:p w:rsidR="00753007" w:rsidRDefault="00753007" w:rsidP="00753007">
      <w:pPr>
        <w:jc w:val="both"/>
        <w:rPr>
          <w:rFonts w:eastAsia="Calibri"/>
          <w:i/>
        </w:rPr>
      </w:pPr>
      <w:r>
        <w:rPr>
          <w:rFonts w:eastAsia="Calibri"/>
          <w:i/>
        </w:rPr>
        <w:t xml:space="preserve"> </w:t>
      </w:r>
    </w:p>
    <w:p w:rsidR="00753007" w:rsidRDefault="00753007" w:rsidP="00753007">
      <w:pPr>
        <w:jc w:val="both"/>
        <w:rPr>
          <w:rFonts w:eastAsia="Calibri"/>
          <w:i/>
        </w:rPr>
      </w:pPr>
      <w:r w:rsidRPr="004076CF">
        <w:rPr>
          <w:rFonts w:eastAsia="Calibri"/>
        </w:rPr>
        <w:t>Materiál nemá vplyv na pomer medzi produkciou podnikov a ich nákladmi</w:t>
      </w:r>
      <w:r>
        <w:rPr>
          <w:rFonts w:eastAsia="Calibri"/>
          <w:i/>
        </w:rPr>
        <w:t>.</w:t>
      </w:r>
    </w:p>
    <w:p w:rsidR="00753007" w:rsidRPr="00D8247C" w:rsidRDefault="00753007" w:rsidP="00753007">
      <w:pPr>
        <w:jc w:val="both"/>
        <w:rPr>
          <w:rFonts w:eastAsia="Calibri"/>
          <w:i/>
        </w:rPr>
      </w:pPr>
    </w:p>
    <w:p w:rsidR="00753007" w:rsidRPr="00D8247C" w:rsidRDefault="00753007" w:rsidP="00753007">
      <w:pPr>
        <w:jc w:val="both"/>
        <w:rPr>
          <w:rFonts w:eastAsia="Calibri"/>
          <w:i/>
        </w:rPr>
      </w:pPr>
      <w:r w:rsidRPr="00D8247C">
        <w:rPr>
          <w:rFonts w:eastAsia="Calibri"/>
          <w:i/>
        </w:rPr>
        <w:t>Na základe uvedenej odpovede zaškrtnite a popíšte, či materiál produktivitu:</w:t>
      </w:r>
    </w:p>
    <w:p w:rsidR="00753007" w:rsidRPr="00D8247C" w:rsidRDefault="00640135" w:rsidP="00753007">
      <w:pPr>
        <w:jc w:val="both"/>
        <w:rPr>
          <w:rFonts w:eastAsia="Calibri"/>
          <w:i/>
        </w:rPr>
      </w:pPr>
      <w:sdt>
        <w:sdtPr>
          <w:rPr>
            <w:rFonts w:eastAsia="Calibri"/>
            <w:i/>
          </w:rPr>
          <w:id w:val="-1545903528"/>
        </w:sdtPr>
        <w:sdtEndPr/>
        <w:sdtContent>
          <w:sdt>
            <w:sdtPr>
              <w:rPr>
                <w:rFonts w:eastAsia="Calibri"/>
                <w:i/>
              </w:rPr>
              <w:id w:val="825715010"/>
            </w:sdtPr>
            <w:sdtEndPr/>
            <w:sdtContent>
              <w:r w:rsidR="00753007" w:rsidRPr="00D8247C">
                <w:rPr>
                  <w:rFonts w:ascii="Segoe UI Symbol" w:eastAsia="Calibri" w:hAnsi="Segoe UI Symbol" w:cs="Segoe UI Symbol"/>
                  <w:i/>
                </w:rPr>
                <w:t>☐</w:t>
              </w:r>
            </w:sdtContent>
          </w:sdt>
        </w:sdtContent>
      </w:sdt>
      <w:r w:rsidR="00753007" w:rsidRPr="00D8247C">
        <w:rPr>
          <w:rFonts w:eastAsia="Calibri"/>
          <w:i/>
        </w:rPr>
        <w:t xml:space="preserve"> zvyšuje  </w:t>
      </w:r>
      <w:r w:rsidR="00753007" w:rsidRPr="00D8247C">
        <w:rPr>
          <w:rFonts w:eastAsia="Calibri"/>
          <w:i/>
        </w:rPr>
        <w:tab/>
      </w:r>
      <w:sdt>
        <w:sdtPr>
          <w:rPr>
            <w:rFonts w:eastAsia="Calibri"/>
            <w:i/>
          </w:rPr>
          <w:id w:val="-353966921"/>
        </w:sdtPr>
        <w:sdtEndPr/>
        <w:sdtContent>
          <w:sdt>
            <w:sdtPr>
              <w:rPr>
                <w:rFonts w:eastAsia="Calibri"/>
                <w:i/>
              </w:rPr>
              <w:id w:val="-1222205104"/>
            </w:sdtPr>
            <w:sdtEndPr/>
            <w:sdtContent>
              <w:r w:rsidR="00753007">
                <w:rPr>
                  <w:rFonts w:ascii="Segoe UI Symbol" w:eastAsia="Calibri" w:hAnsi="Segoe UI Symbol" w:cs="Segoe UI Symbol"/>
                  <w:i/>
                </w:rPr>
                <w:t>X</w:t>
              </w:r>
            </w:sdtContent>
          </w:sdt>
        </w:sdtContent>
      </w:sdt>
      <w:r w:rsidR="00753007" w:rsidRPr="00D8247C">
        <w:rPr>
          <w:rFonts w:eastAsia="Calibri"/>
          <w:i/>
        </w:rPr>
        <w:t xml:space="preserve"> </w:t>
      </w:r>
      <w:r w:rsidR="00753007">
        <w:rPr>
          <w:rFonts w:eastAsia="Calibri"/>
          <w:i/>
        </w:rPr>
        <w:t xml:space="preserve"> </w:t>
      </w:r>
      <w:r w:rsidR="00753007" w:rsidRPr="00D8247C">
        <w:rPr>
          <w:rFonts w:eastAsia="Calibri"/>
          <w:i/>
        </w:rPr>
        <w:t>nemení</w:t>
      </w:r>
      <w:r w:rsidR="00753007" w:rsidRPr="00D8247C">
        <w:rPr>
          <w:rFonts w:eastAsia="Calibri"/>
          <w:i/>
        </w:rPr>
        <w:tab/>
      </w:r>
      <w:sdt>
        <w:sdtPr>
          <w:rPr>
            <w:rFonts w:eastAsia="Calibri"/>
            <w:i/>
          </w:rPr>
          <w:id w:val="-1457723544"/>
        </w:sdtPr>
        <w:sdtEndPr/>
        <w:sdtContent>
          <w:sdt>
            <w:sdtPr>
              <w:rPr>
                <w:rFonts w:eastAsia="Calibri"/>
                <w:i/>
              </w:rPr>
              <w:id w:val="-623767955"/>
            </w:sdtPr>
            <w:sdtEndPr/>
            <w:sdtContent>
              <w:r w:rsidR="00753007" w:rsidRPr="00D8247C">
                <w:rPr>
                  <w:rFonts w:ascii="Segoe UI Symbol" w:eastAsia="Calibri" w:hAnsi="Segoe UI Symbol" w:cs="Segoe UI Symbol"/>
                  <w:i/>
                </w:rPr>
                <w:t>☐</w:t>
              </w:r>
            </w:sdtContent>
          </w:sdt>
        </w:sdtContent>
      </w:sdt>
      <w:r w:rsidR="00753007" w:rsidRPr="00D8247C">
        <w:rPr>
          <w:rFonts w:eastAsia="Calibri"/>
          <w:i/>
        </w:rPr>
        <w:t xml:space="preserve"> znižuje</w:t>
      </w:r>
    </w:p>
    <w:p w:rsidR="00753007" w:rsidRPr="00D8247C" w:rsidRDefault="00753007" w:rsidP="00753007">
      <w:pPr>
        <w:jc w:val="both"/>
        <w:rPr>
          <w:rFonts w:eastAsia="Calibri"/>
          <w:i/>
        </w:rPr>
      </w:pPr>
    </w:p>
    <w:p w:rsidR="00753007" w:rsidRDefault="00753007" w:rsidP="00753007">
      <w:pPr>
        <w:jc w:val="both"/>
        <w:rPr>
          <w:rFonts w:eastAsia="Calibri"/>
          <w:i/>
        </w:rPr>
      </w:pPr>
    </w:p>
    <w:p w:rsidR="00753007" w:rsidRPr="001F1B43" w:rsidRDefault="00753007" w:rsidP="00753007">
      <w:pPr>
        <w:jc w:val="both"/>
        <w:rPr>
          <w:rFonts w:eastAsia="Calibri"/>
          <w:b/>
        </w:rPr>
      </w:pPr>
      <w:r w:rsidRPr="001F1B43">
        <w:rPr>
          <w:rFonts w:eastAsia="Calibri"/>
          <w:b/>
        </w:rPr>
        <w:t xml:space="preserve">3.4  Iné vplyvy na podnikateľské prostredie </w:t>
      </w:r>
    </w:p>
    <w:p w:rsidR="00753007" w:rsidRDefault="00753007" w:rsidP="00753007">
      <w:pPr>
        <w:jc w:val="both"/>
        <w:rPr>
          <w:rFonts w:eastAsia="Calibri"/>
          <w:i/>
        </w:rPr>
      </w:pPr>
      <w:r>
        <w:rPr>
          <w:rFonts w:eastAsia="Calibri"/>
          <w:i/>
        </w:rPr>
        <w:t xml:space="preserve">Ak má materiál vplyvy na PP, ktoré nemožno zaradiť do predchádzajúcich častí, či už pozitívne alebo negatívne, tu ich uveďte.  Patria sem: </w:t>
      </w:r>
    </w:p>
    <w:p w:rsidR="00753007" w:rsidRDefault="00753007" w:rsidP="00753007">
      <w:pPr>
        <w:pStyle w:val="Odsekzoznamu"/>
        <w:numPr>
          <w:ilvl w:val="0"/>
          <w:numId w:val="1"/>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sankcie alebo pokuty, ako dôsledok porušenia právne záväzných ustanovení;</w:t>
      </w:r>
    </w:p>
    <w:p w:rsidR="00753007" w:rsidRDefault="00753007" w:rsidP="00753007">
      <w:pPr>
        <w:pStyle w:val="Odsekzoznamu"/>
        <w:numPr>
          <w:ilvl w:val="0"/>
          <w:numId w:val="1"/>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753007" w:rsidRDefault="00753007" w:rsidP="00753007">
      <w:pPr>
        <w:pStyle w:val="Odsekzoznamu"/>
        <w:numPr>
          <w:ilvl w:val="0"/>
          <w:numId w:val="1"/>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rsidR="00753007" w:rsidRDefault="00753007" w:rsidP="00753007">
      <w:pPr>
        <w:pStyle w:val="Odsekzoznamu"/>
        <w:numPr>
          <w:ilvl w:val="0"/>
          <w:numId w:val="1"/>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rsidR="00753007" w:rsidRDefault="00753007" w:rsidP="00753007">
      <w:pPr>
        <w:jc w:val="both"/>
        <w:rPr>
          <w:rFonts w:eastAsia="Calibri"/>
          <w:i/>
          <w:color w:val="0070C0"/>
        </w:rPr>
      </w:pPr>
    </w:p>
    <w:p w:rsidR="00753007" w:rsidRPr="007E0655" w:rsidRDefault="00753007" w:rsidP="00753007">
      <w:pPr>
        <w:jc w:val="both"/>
        <w:rPr>
          <w:rFonts w:eastAsia="Calibri"/>
          <w:color w:val="0070C0"/>
        </w:rPr>
      </w:pPr>
      <w:r w:rsidRPr="007E0655">
        <w:rPr>
          <w:rFonts w:eastAsia="Calibri"/>
        </w:rPr>
        <w:t>Regulácie s pozitívnym vplyvom na podnikateľské prostredie, pri ktorých predkladateľ v súlade s Jednotnou metodikou na posudzovanie vybraných vplyvov nahrádza kvantifikáciu kvalitatívnym opisom:</w:t>
      </w:r>
    </w:p>
    <w:p w:rsidR="00753007" w:rsidRPr="000F7CA6" w:rsidRDefault="00753007" w:rsidP="00753007">
      <w:pPr>
        <w:jc w:val="both"/>
        <w:rPr>
          <w:rFonts w:eastAsia="Calibri"/>
          <w:color w:val="0070C0"/>
        </w:rPr>
      </w:pPr>
    </w:p>
    <w:p w:rsidR="00753007" w:rsidRDefault="00753007" w:rsidP="00753007">
      <w:pPr>
        <w:ind w:left="284" w:hanging="284"/>
        <w:jc w:val="both"/>
      </w:pPr>
      <w:r w:rsidRPr="000505D1">
        <w:rPr>
          <w:rFonts w:eastAsia="Calibri"/>
        </w:rPr>
        <w:t>1.</w:t>
      </w:r>
      <w:r>
        <w:rPr>
          <w:rFonts w:eastAsia="Calibri"/>
        </w:rPr>
        <w:t xml:space="preserve"> </w:t>
      </w:r>
      <w:r w:rsidRPr="000505D1">
        <w:rPr>
          <w:rFonts w:eastAsia="Calibri"/>
        </w:rPr>
        <w:t xml:space="preserve">Návrh zákona zavádza možnosť obchodníka ponúkať a sprístupňovať na trhu výrobky aj po uplynutí doby minimálnej trvanlivosti, ak spĺňajú požiadavky na bezpečnosť a spotrebitelia sú pred kúpou upozornení na uplynutie doby minimálnej trvanlivosti. Obchodník, ktorý predtým nemohol výrobky po uplynutí minimálnej doby trvanlivosti sprístupniť spotrebiteľovi ich v dôsledku tejto regulácie bude môcť za určitých podmienok ponechať na trhu. </w:t>
      </w:r>
      <w:r w:rsidRPr="00507FF7">
        <w:rPr>
          <w:rFonts w:eastAsia="Calibri"/>
        </w:rPr>
        <w:t>Rozhodnutie o kúpe ostane naďalej na spotrebiteľovi.</w:t>
      </w:r>
      <w:r>
        <w:rPr>
          <w:rFonts w:eastAsia="Calibri"/>
        </w:rPr>
        <w:t xml:space="preserve"> </w:t>
      </w:r>
      <w:r w:rsidRPr="000505D1">
        <w:rPr>
          <w:rFonts w:eastAsia="Calibri"/>
        </w:rPr>
        <w:t>Predmetná regulácia bola predkladateľom vyhodnotená ako regulácia znižujúca náklady podnikateľov, a teda regulácia s pozitívnym vplyvom na podnikateľské prostredie. Regulácia sa týka všetkých obchodníkov, ktorí ponúkajú výrobky iné ako tie, ktorých požiadavky upravujú osobitné predpisy. Okruh dotknutých subjektov s</w:t>
      </w:r>
      <w:r w:rsidR="006802EB">
        <w:rPr>
          <w:rFonts w:eastAsia="Calibri"/>
        </w:rPr>
        <w:t>a</w:t>
      </w:r>
      <w:r w:rsidRPr="000505D1">
        <w:rPr>
          <w:rFonts w:eastAsia="Calibri"/>
        </w:rPr>
        <w:t> preto nedá vyčísliť.</w:t>
      </w:r>
      <w:r>
        <w:rPr>
          <w:rFonts w:eastAsia="Calibri"/>
        </w:rPr>
        <w:t xml:space="preserve"> </w:t>
      </w:r>
      <w:r w:rsidRPr="00BE0848">
        <w:rPr>
          <w:rFonts w:eastAsia="Calibri"/>
        </w:rPr>
        <w:t xml:space="preserve">Existuje viacero tovarov, ktorých použitie je nezávadné </w:t>
      </w:r>
      <w:r>
        <w:rPr>
          <w:rFonts w:eastAsia="Calibri"/>
        </w:rPr>
        <w:t>aj po uplynutí exspirácie, napr.</w:t>
      </w:r>
      <w:r w:rsidRPr="00BE0848">
        <w:rPr>
          <w:rFonts w:eastAsia="Calibri"/>
        </w:rPr>
        <w:t xml:space="preserve"> chemikálie (čistiace prostriedky, farby, prípravky na likvidáciu hmyzu atď.). </w:t>
      </w:r>
      <w:r>
        <w:rPr>
          <w:rFonts w:eastAsia="Calibri"/>
        </w:rPr>
        <w:t xml:space="preserve">Dotknutými subjektmi sú pre túto kategóriu maloobchody so železiarskym tovarom, farbami a sklom v špecializovaných predajniach - 504 subjektov, veľkoobchody s porcelánom, sklom a čistiacimi prostriedkami - 83 subjektov, maloobchody s kozmetickými a toaletnými výrobkami v špecializovaných predajniach - 296 subjektov, ostatné maloobchody v nešpecializovaných predajniach (bežné obchody ako </w:t>
      </w:r>
      <w:r w:rsidRPr="0065615B">
        <w:rPr>
          <w:rFonts w:eastAsia="Calibri"/>
        </w:rPr>
        <w:t>Tesco</w:t>
      </w:r>
      <w:r>
        <w:rPr>
          <w:rFonts w:eastAsia="Calibri"/>
        </w:rPr>
        <w:t xml:space="preserve"> - 6276 subjektov a veľkoobchody s chemickými výrobkami - 371 subjektov. Ku kvantifikácií dopadu na podnikateľské prostredie však chýbajú dáta, aké percento predmetných produktov sa vyhodí po exspirácii </w:t>
      </w:r>
      <w:r w:rsidRPr="00BE0848">
        <w:t>a</w:t>
      </w:r>
      <w:r>
        <w:t xml:space="preserve"> zároveň </w:t>
      </w:r>
      <w:r w:rsidRPr="00BE0848">
        <w:t xml:space="preserve">skupina produktov nie je detailne vyšpecifikovaná. </w:t>
      </w:r>
    </w:p>
    <w:p w:rsidR="00753007" w:rsidRPr="00D34816" w:rsidRDefault="00753007" w:rsidP="00753007">
      <w:pPr>
        <w:ind w:left="284" w:hanging="284"/>
        <w:jc w:val="both"/>
        <w:rPr>
          <w:rFonts w:eastAsia="Calibri"/>
        </w:rPr>
      </w:pPr>
      <w:r>
        <w:tab/>
        <w:t xml:space="preserve">Ide o realizáciu opatrenia z druhého balíka na zlepšovanie podnikateľského prostredia. Údaje sú prevzaté z analýzy vplyvov na podnikateľské prostredie k procesu </w:t>
      </w:r>
      <w:hyperlink r:id="rId6" w:history="1">
        <w:r w:rsidRPr="00E34275">
          <w:rPr>
            <w:rStyle w:val="Hypertextovprepojenie"/>
          </w:rPr>
          <w:t>LP/2021/619 Zákon, ktorým sa menia a dopĺňajú niektoré zákony v súvislosti so zlepšovaním podnikateľského prostredia</w:t>
        </w:r>
      </w:hyperlink>
      <w:r>
        <w:t xml:space="preserve">. </w:t>
      </w:r>
    </w:p>
    <w:p w:rsidR="00753007" w:rsidRDefault="00753007" w:rsidP="00753007">
      <w:pPr>
        <w:jc w:val="both"/>
        <w:rPr>
          <w:rFonts w:eastAsia="Calibri"/>
        </w:rPr>
      </w:pPr>
    </w:p>
    <w:p w:rsidR="00753007" w:rsidRDefault="00753007" w:rsidP="00753007">
      <w:pPr>
        <w:ind w:left="284" w:hanging="284"/>
        <w:jc w:val="both"/>
        <w:rPr>
          <w:rFonts w:eastAsia="Calibri"/>
        </w:rPr>
      </w:pPr>
      <w:r>
        <w:rPr>
          <w:rFonts w:eastAsia="Calibri"/>
        </w:rPr>
        <w:t xml:space="preserve">2. </w:t>
      </w:r>
      <w:r>
        <w:rPr>
          <w:rFonts w:eastAsia="Calibri"/>
        </w:rPr>
        <w:tab/>
        <w:t>Návrh zákona odstraňuje z doterajšej právnej úpravy ustanovenia, ktoré upravujú, aké informácie o výrobku si medzi sebou musia vymieňať výrobca, dovozca, dodávateľ a obchodník. Materiál ponecháva rozhodnutie o výmene informácií (o rozsahu a predmete) na hospodárskych subjektoch, čím sa táto informačná povinnosť stáva flexibilnejšou pre rôzne druhy výrobkov, keďže okruh výrobkov spadajúcich pod návrh zákona nie je možné presne vymedziť. Vzhľadom na to, že ide o odľahčenie viacerých typov hospodárskych subjektov sprístupňujúcich na trh neurčitý okruh výrobkov sa počet dotknutých subjektov nedá vyčísliť. Predkladateľ túto reguláciu vyhodnotil ako reguláciu znižujúcu náklady podnikateľov, a teda reguláciu s pozitívnym vplyvom na podnikateľské prostredie.</w:t>
      </w:r>
    </w:p>
    <w:p w:rsidR="00753007" w:rsidRDefault="00753007" w:rsidP="00753007">
      <w:pPr>
        <w:jc w:val="both"/>
        <w:rPr>
          <w:rFonts w:eastAsia="Calibri"/>
        </w:rPr>
      </w:pPr>
    </w:p>
    <w:p w:rsidR="00753007" w:rsidRDefault="006E0EC0" w:rsidP="00753007">
      <w:pPr>
        <w:ind w:left="284" w:hanging="284"/>
        <w:jc w:val="both"/>
        <w:rPr>
          <w:rFonts w:eastAsia="Calibri"/>
        </w:rPr>
      </w:pPr>
      <w:r>
        <w:rPr>
          <w:rFonts w:eastAsia="Calibri"/>
        </w:rPr>
        <w:t>3</w:t>
      </w:r>
      <w:r w:rsidR="00753007">
        <w:rPr>
          <w:rFonts w:eastAsia="Calibri"/>
        </w:rPr>
        <w:t>. Návrh zákona odstraňuje povinnosť dodávateľa odoberať v prípade potreby vzorky výrobkov, vykonávať skúšky ich bezpečnosti, a o výsledkoch skúšok uchovávať evidenciu. Predmetnú povinnosť návrh zákona ponecháva už iba výrobcom</w:t>
      </w:r>
      <w:r w:rsidR="008C288E">
        <w:rPr>
          <w:rFonts w:eastAsia="Calibri"/>
        </w:rPr>
        <w:t xml:space="preserve">, </w:t>
      </w:r>
      <w:r w:rsidR="00CC1432">
        <w:rPr>
          <w:rFonts w:eastAsia="Calibri"/>
        </w:rPr>
        <w:t xml:space="preserve">splnomocneným </w:t>
      </w:r>
      <w:r w:rsidR="00CC1432">
        <w:rPr>
          <w:rFonts w:eastAsia="Calibri"/>
        </w:rPr>
        <w:lastRenderedPageBreak/>
        <w:t>zástupcom</w:t>
      </w:r>
      <w:r w:rsidR="008C288E">
        <w:rPr>
          <w:rFonts w:eastAsia="Calibri"/>
        </w:rPr>
        <w:t xml:space="preserve"> a dovozcom </w:t>
      </w:r>
      <w:r w:rsidR="00753007">
        <w:rPr>
          <w:rFonts w:eastAsia="Calibri"/>
        </w:rPr>
        <w:t>výrobkov. Predkladateľ vyhodnotil navrhovanú reguláciu ako reguláciu znižujúcu náklady  dodávateľov, a teda reguláciu s pozitívnym vplyvom na podnikateľské prostredie. Vzhľadom na to, že v prípade danej regulácie ide o dodávateľov neurčitého okruhu výrobkov, počet dotknutých subjektov nie je možné určiť.</w:t>
      </w:r>
    </w:p>
    <w:p w:rsidR="00753007" w:rsidRDefault="00753007" w:rsidP="00753007">
      <w:pPr>
        <w:jc w:val="both"/>
        <w:rPr>
          <w:rFonts w:eastAsia="Calibri"/>
        </w:rPr>
      </w:pPr>
    </w:p>
    <w:p w:rsidR="00753007" w:rsidRDefault="006E0EC0" w:rsidP="00753007">
      <w:pPr>
        <w:ind w:left="284" w:hanging="284"/>
        <w:jc w:val="both"/>
        <w:rPr>
          <w:rFonts w:eastAsia="Calibri"/>
        </w:rPr>
      </w:pPr>
      <w:r>
        <w:rPr>
          <w:rFonts w:eastAsia="Calibri"/>
        </w:rPr>
        <w:t>4</w:t>
      </w:r>
      <w:r w:rsidR="00753007">
        <w:rPr>
          <w:rFonts w:eastAsia="Calibri"/>
        </w:rPr>
        <w:t xml:space="preserve">. </w:t>
      </w:r>
      <w:r w:rsidR="00753007">
        <w:rPr>
          <w:rFonts w:eastAsia="Calibri"/>
        </w:rPr>
        <w:tab/>
        <w:t>Doterajšia právna úprava upravovala povinnosť výrobcov, dovozcov a dodávateľov, ktorí sa dozvedia, že výrobok, ktorý vyrobili, doviezli alebo dodali je nebezpečný, aby bezodkladne požiadali verejnoprávne elektronické médiá, aby na ich náklady okamžite uverejnili informáciu o tom, že výrobok je nebezpečný. Návrh zákona túto povinnosť odstraňuje a v tejto súvislosti ponecháva hospodárskym subjektom iba povinnosť v prípade zistenia nebezpečného výrobku informovať sa vzájomne, informovať príslušné orgány dohľadu a informovať spotrebiteľov</w:t>
      </w:r>
      <w:r w:rsidR="008C288E">
        <w:rPr>
          <w:rFonts w:eastAsia="Calibri"/>
        </w:rPr>
        <w:t>. Informačnú povinnosť vo vzťahu k spotrebiteľom si hospodárske subjekty splnia prostredníctvom uverejnenia upozornenia vo svojich prevádzkarňach, v ktorých sprístupnili výrobok</w:t>
      </w:r>
      <w:r w:rsidR="00CC1432">
        <w:rPr>
          <w:rFonts w:eastAsia="Calibri"/>
        </w:rPr>
        <w:t>,</w:t>
      </w:r>
      <w:r w:rsidR="008C288E">
        <w:rPr>
          <w:rFonts w:eastAsia="Calibri"/>
        </w:rPr>
        <w:t xml:space="preserve"> a na svojom online rozhraní, ak sprístupnili nebezpečný výrobok prostredníctvom tohto online rozhrania</w:t>
      </w:r>
      <w:r w:rsidR="00753007">
        <w:rPr>
          <w:rFonts w:eastAsia="Calibri"/>
        </w:rPr>
        <w:t>. Odstránenie povinnosti hospodárskych subjektov na vlastné náklady zverejňovať informácie o nebezpečných výrobkoch v médiách zhodnotil predkladateľ ako reguláciu znižujúcu náklady hospodárskych subjektov, a teda reguláciu s pozitívnym vplyvom na podnikateľské prostredie. Vzhľadom na to, že predmetná regulácia sa vzťahuje na všetky hospodárske subjekty podliehajúce návrhu zákona</w:t>
      </w:r>
      <w:r w:rsidR="00CC1432">
        <w:rPr>
          <w:rFonts w:eastAsia="Calibri"/>
        </w:rPr>
        <w:t>,</w:t>
      </w:r>
      <w:r w:rsidR="00753007">
        <w:rPr>
          <w:rFonts w:eastAsia="Calibri"/>
        </w:rPr>
        <w:t xml:space="preserve"> sa počet dotknutých subjektov nedá určiť.</w:t>
      </w:r>
    </w:p>
    <w:p w:rsidR="006E0EC0" w:rsidRDefault="006E0EC0" w:rsidP="00753007">
      <w:pPr>
        <w:ind w:left="284" w:hanging="284"/>
        <w:jc w:val="both"/>
        <w:rPr>
          <w:rFonts w:eastAsia="Calibri"/>
        </w:rPr>
      </w:pPr>
    </w:p>
    <w:p w:rsidR="006E0EC0" w:rsidRDefault="006E0EC0" w:rsidP="006E0EC0">
      <w:pPr>
        <w:ind w:left="284" w:hanging="284"/>
        <w:jc w:val="both"/>
        <w:rPr>
          <w:rFonts w:eastAsia="Calibri"/>
        </w:rPr>
      </w:pPr>
      <w:r>
        <w:rPr>
          <w:rFonts w:eastAsia="Calibri"/>
        </w:rPr>
        <w:t>5.</w:t>
      </w:r>
      <w:r>
        <w:rPr>
          <w:rFonts w:eastAsia="Calibri"/>
        </w:rPr>
        <w:tab/>
        <w:t>Doterajšia právna úprava upravovala povinnosť</w:t>
      </w:r>
      <w:r w:rsidRPr="006E0EC0">
        <w:t xml:space="preserve"> </w:t>
      </w:r>
      <w:r>
        <w:rPr>
          <w:rFonts w:eastAsia="Calibri"/>
        </w:rPr>
        <w:t>výrobcov, dovozcov a dodávateľov vziať nebezpečný výrobok späť od spotrebiteľa a vrátiť mu kúpnu cenu výrobku. Návrh zákona túto povinnosť rozširuje o výkon spätného prevzatia, okrem vrátenia kúpnej ceny výrobku, formou opravy výrobku alebo jeho výmeny za výrobok rovnaké typu a aspoň rovnakej hodnoty a kvality. Zavedenie vyššie uvedených možností pre hospodárske subjekty vyhodnotil predkladateľ ako reguláciu znižujúcu náklady hospodárskych subjektov, a teda reguláciu s pozitívnym vplyvom na podnikateľské prostredie. Vzhľadom na to, že uvedená regulácia sa vzťahuje na všetky hospodárske subjekty, ktoré sú povinné dodržiavať povinnosti ustanovené zákonom, počet dotknutých subjektov sa nedá určiť.</w:t>
      </w:r>
    </w:p>
    <w:p w:rsidR="00753007" w:rsidRDefault="00434DA8" w:rsidP="00753007">
      <w:pPr>
        <w:jc w:val="both"/>
        <w:rPr>
          <w:rFonts w:eastAsia="Calibri"/>
        </w:rPr>
      </w:pPr>
      <w:r>
        <w:rPr>
          <w:rFonts w:eastAsia="Calibri"/>
        </w:rPr>
        <w:t xml:space="preserve"> </w:t>
      </w:r>
    </w:p>
    <w:p w:rsidR="00753007" w:rsidRDefault="00753007" w:rsidP="00753007">
      <w:pPr>
        <w:ind w:left="284" w:hanging="284"/>
        <w:jc w:val="both"/>
        <w:rPr>
          <w:rFonts w:eastAsia="Calibri"/>
        </w:rPr>
      </w:pPr>
      <w:r>
        <w:rPr>
          <w:rFonts w:eastAsia="Calibri"/>
        </w:rPr>
        <w:t xml:space="preserve">6. </w:t>
      </w:r>
      <w:r>
        <w:rPr>
          <w:rFonts w:eastAsia="Calibri"/>
        </w:rPr>
        <w:tab/>
        <w:t>Návrh zákona obsahuje ustanovenia týkajúce sa ukladania sankcií hospodárskym subjektom za porušenie povinností ustanovených zákonom. Oproti doterajšej právnej úprave návrh zákona</w:t>
      </w:r>
      <w:r w:rsidR="009B02F7">
        <w:rPr>
          <w:rFonts w:eastAsia="Calibri"/>
        </w:rPr>
        <w:t xml:space="preserve"> </w:t>
      </w:r>
      <w:r>
        <w:rPr>
          <w:rFonts w:eastAsia="Calibri"/>
        </w:rPr>
        <w:t xml:space="preserve">zavádza </w:t>
      </w:r>
      <w:r w:rsidR="00434DA8">
        <w:rPr>
          <w:rFonts w:eastAsia="Calibri"/>
        </w:rPr>
        <w:t xml:space="preserve">povinnosť </w:t>
      </w:r>
      <w:r w:rsidR="009B02F7">
        <w:rPr>
          <w:rFonts w:eastAsia="Calibri"/>
        </w:rPr>
        <w:t>pre orgán</w:t>
      </w:r>
      <w:r w:rsidR="00434DA8">
        <w:rPr>
          <w:rFonts w:eastAsia="Calibri"/>
        </w:rPr>
        <w:t xml:space="preserve"> dohľadu uložiť pokutu za nebezpečný výrobok </w:t>
      </w:r>
      <w:r w:rsidR="00434DA8" w:rsidRPr="00434DA8">
        <w:rPr>
          <w:rFonts w:eastAsia="Calibri"/>
        </w:rPr>
        <w:t>hospodárskemu subjektu zodpovednému za prvú fázu distribúcie výrobku na trhu Slovenskej republiky, ktorý má adresu alebo sídlo podnikania na území Slovenskej republiky</w:t>
      </w:r>
      <w:r w:rsidR="000C6459">
        <w:rPr>
          <w:rFonts w:eastAsia="Calibri"/>
        </w:rPr>
        <w:t xml:space="preserve">. Oproti doterajšej právnej úprave návrh zákona zavádza aj povinnosť pre orgán dohľadu nezačať správne konanie, ak </w:t>
      </w:r>
      <w:r w:rsidR="000C6459" w:rsidRPr="007D5FE0">
        <w:rPr>
          <w:rFonts w:eastAsia="Calibri"/>
          <w:lang w:eastAsia="en-US"/>
        </w:rPr>
        <w:t xml:space="preserve">hospodársky subjekt prijme a splní </w:t>
      </w:r>
      <w:r w:rsidR="000C6459">
        <w:rPr>
          <w:rFonts w:eastAsia="Calibri"/>
          <w:lang w:eastAsia="en-US"/>
        </w:rPr>
        <w:t>dobrovoľné opatrenie, a orgán dohľadu s prihliadnutím na povahu nedostatku vyhodnotí toto opatrenie ako primerané a dostatočné; uvedené sa aplikuje aj vo vzťahu k menej závažným porušeniam zákona</w:t>
      </w:r>
      <w:r w:rsidR="00CC1432">
        <w:rPr>
          <w:rFonts w:eastAsia="Calibri"/>
          <w:lang w:eastAsia="en-US"/>
        </w:rPr>
        <w:t>,</w:t>
      </w:r>
      <w:r w:rsidR="000C6459">
        <w:rPr>
          <w:rFonts w:eastAsia="Calibri"/>
          <w:lang w:eastAsia="en-US"/>
        </w:rPr>
        <w:t xml:space="preserve"> ak hospodársky subjekt na základe výzvy prijme a splní nápravné opatrenie uložené orgánom dohľadu. </w:t>
      </w:r>
      <w:r>
        <w:rPr>
          <w:rFonts w:eastAsia="Calibri"/>
        </w:rPr>
        <w:t xml:space="preserve">Zavedenie vyššie uvedených inštitútov spolu so zavedením nižších sadzieb sankcií vyhodnotil predkladateľ ako reguláciu znižujúcu náklady </w:t>
      </w:r>
      <w:r w:rsidR="00CC1432">
        <w:rPr>
          <w:rFonts w:eastAsia="Calibri"/>
        </w:rPr>
        <w:t>pre niektoré hospodárske subjekty</w:t>
      </w:r>
      <w:r w:rsidR="00607229">
        <w:rPr>
          <w:rFonts w:eastAsia="Calibri"/>
        </w:rPr>
        <w:t xml:space="preserve">. </w:t>
      </w:r>
      <w:r w:rsidR="00CC1432">
        <w:rPr>
          <w:rFonts w:eastAsia="Calibri"/>
        </w:rPr>
        <w:t>P</w:t>
      </w:r>
      <w:r>
        <w:rPr>
          <w:rFonts w:eastAsia="Calibri"/>
        </w:rPr>
        <w:t>očet dotknutých subjektov sa nedá určiť.</w:t>
      </w:r>
    </w:p>
    <w:p w:rsidR="00753007" w:rsidRDefault="00753007" w:rsidP="00753007">
      <w:pPr>
        <w:ind w:left="284" w:hanging="284"/>
        <w:jc w:val="both"/>
        <w:rPr>
          <w:rFonts w:eastAsia="Calibri"/>
        </w:rPr>
      </w:pPr>
    </w:p>
    <w:p w:rsidR="00753007" w:rsidRDefault="00753007" w:rsidP="00753007">
      <w:pPr>
        <w:ind w:left="284" w:hanging="284"/>
        <w:jc w:val="both"/>
      </w:pPr>
      <w:r w:rsidRPr="00B3491D">
        <w:rPr>
          <w:rFonts w:eastAsia="Calibri"/>
        </w:rPr>
        <w:t>7.</w:t>
      </w:r>
      <w:r>
        <w:rPr>
          <w:rFonts w:eastAsia="Calibri"/>
        </w:rPr>
        <w:tab/>
      </w:r>
      <w:r w:rsidRPr="00B3491D">
        <w:rPr>
          <w:rFonts w:eastAsia="Calibri"/>
        </w:rPr>
        <w:t xml:space="preserve">Návrhom zákona sa rušia právne predpisy upravujúce požiadavky na bezpečnosť </w:t>
      </w:r>
      <w:r w:rsidRPr="00A509FF">
        <w:t>zapaľovačov</w:t>
      </w:r>
      <w:r>
        <w:t xml:space="preserve">, </w:t>
      </w:r>
      <w:r w:rsidRPr="00B3491D">
        <w:rPr>
          <w:rFonts w:eastAsia="Calibri"/>
        </w:rPr>
        <w:t xml:space="preserve">magnetických hračiek, </w:t>
      </w:r>
      <w:r w:rsidRPr="00A509FF">
        <w:t xml:space="preserve">výrobkov obsahujúcich biocídny </w:t>
      </w:r>
      <w:proofErr w:type="spellStart"/>
      <w:r w:rsidRPr="00A509FF">
        <w:t>dimetylfumarát</w:t>
      </w:r>
      <w:proofErr w:type="spellEnd"/>
      <w:r w:rsidRPr="00B3491D">
        <w:rPr>
          <w:rFonts w:eastAsia="Calibri"/>
        </w:rPr>
        <w:t>, ako aj</w:t>
      </w:r>
      <w:r>
        <w:t> požiadavky</w:t>
      </w:r>
      <w:r w:rsidRPr="00A509FF">
        <w:t xml:space="preserve"> na bezpečnosť textilných vlákien a priadzí, textilných </w:t>
      </w:r>
      <w:proofErr w:type="spellStart"/>
      <w:r w:rsidRPr="00A509FF">
        <w:t>usňových</w:t>
      </w:r>
      <w:proofErr w:type="spellEnd"/>
      <w:r w:rsidRPr="00A509FF">
        <w:t xml:space="preserve"> a odevných výrobkov z textilu a usne určených na priamy styk s</w:t>
      </w:r>
      <w:r>
        <w:t> </w:t>
      </w:r>
      <w:r w:rsidRPr="00A509FF">
        <w:t>pokožkou</w:t>
      </w:r>
      <w:r>
        <w:t xml:space="preserve">. Zrušením uvedených právnych predpisov sa rušia osobitné požiadavky na bezpečnosť určitého okruhu výrobkov, </w:t>
      </w:r>
      <w:r>
        <w:lastRenderedPageBreak/>
        <w:t xml:space="preserve">čo znamená nižšie zaťaženie hospodárskych subjektov sprístupňujúcich tieto výrobky na trhu. Ide o osobitné požiadavky, ku ktorým v Slovenskej republike doposiaľ existuje osobitná úprava, hoci právny akt EÚ, ktorý preberali, bol už medzičasom zrušený alebo stratil účinnosť. </w:t>
      </w:r>
      <w:proofErr w:type="spellStart"/>
      <w:r>
        <w:t>Obsolétne</w:t>
      </w:r>
      <w:proofErr w:type="spellEnd"/>
      <w:r>
        <w:t xml:space="preserve"> právne normy spôsobujú záťaž pre podnikateľov a znižujú právnu istotu. Predkladateľ vyhodnotil danú reguláciu ako reguláciu znižujúcu náklady hospodárskych subjektov, a teda reguláciu s pozitívnym vplyvom na podnikateľské prostredie. Napriek určeniu približného okruhu dotknutých výrobkov nevie predkladateľ určiť počet hospodárskych subjektov sprístupňujúcich dané výrobky na trh, a teda ani určiť  počet dotknutých subjektov. </w:t>
      </w:r>
    </w:p>
    <w:p w:rsidR="00753007" w:rsidRDefault="00753007" w:rsidP="00753007">
      <w:pPr>
        <w:ind w:left="284" w:hanging="284"/>
        <w:jc w:val="both"/>
      </w:pPr>
      <w:r>
        <w:tab/>
        <w:t xml:space="preserve">V prípade zrušenia </w:t>
      </w:r>
      <w:r w:rsidRPr="00B3491D">
        <w:t>vyhlášky Ministerstva hospodárstva SR č. 635/2005</w:t>
      </w:r>
      <w:r>
        <w:t xml:space="preserve"> Z. z.</w:t>
      </w:r>
      <w:r w:rsidRPr="00B3491D">
        <w:t xml:space="preserve">, ktorou sa ustanovujú podrobnosti o požiadavkách na bezpečnosť textilných vlákien a priadzí, textilných, </w:t>
      </w:r>
      <w:proofErr w:type="spellStart"/>
      <w:r w:rsidRPr="00B3491D">
        <w:t>usňových</w:t>
      </w:r>
      <w:proofErr w:type="spellEnd"/>
      <w:r w:rsidRPr="00B3491D">
        <w:t xml:space="preserve"> a odevných výrobkov z textilu a usne určených na priamy styk s</w:t>
      </w:r>
      <w:r>
        <w:t> </w:t>
      </w:r>
      <w:r w:rsidRPr="00B3491D">
        <w:t>pokožkou</w:t>
      </w:r>
      <w:r>
        <w:t>, ide o realizáciu opatrenia z druhého balíčka na zlepšovanie podnikateľského prostredia.</w:t>
      </w:r>
    </w:p>
    <w:p w:rsidR="006622FE" w:rsidRPr="00753007" w:rsidRDefault="006622FE" w:rsidP="00753007">
      <w:pPr>
        <w:spacing w:after="160" w:line="259" w:lineRule="auto"/>
        <w:rPr>
          <w:rFonts w:eastAsia="Calibri"/>
          <w:u w:val="single"/>
        </w:rPr>
      </w:pPr>
    </w:p>
    <w:sectPr w:rsidR="006622FE" w:rsidRPr="00753007" w:rsidSect="007530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B63E7"/>
    <w:multiLevelType w:val="hybridMultilevel"/>
    <w:tmpl w:val="666251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AD323B8"/>
    <w:multiLevelType w:val="hybridMultilevel"/>
    <w:tmpl w:val="31EA2F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007"/>
    <w:rsid w:val="0001102C"/>
    <w:rsid w:val="000A46D9"/>
    <w:rsid w:val="000C6459"/>
    <w:rsid w:val="000E4EFD"/>
    <w:rsid w:val="00131253"/>
    <w:rsid w:val="00166668"/>
    <w:rsid w:val="00306CF3"/>
    <w:rsid w:val="00364A61"/>
    <w:rsid w:val="00391CBC"/>
    <w:rsid w:val="003C08D4"/>
    <w:rsid w:val="00434DA8"/>
    <w:rsid w:val="00482FEF"/>
    <w:rsid w:val="00505D54"/>
    <w:rsid w:val="00547E7E"/>
    <w:rsid w:val="005931FA"/>
    <w:rsid w:val="00607229"/>
    <w:rsid w:val="00640135"/>
    <w:rsid w:val="006622FE"/>
    <w:rsid w:val="006778D8"/>
    <w:rsid w:val="006802EB"/>
    <w:rsid w:val="006E0EC0"/>
    <w:rsid w:val="00734F61"/>
    <w:rsid w:val="007363CE"/>
    <w:rsid w:val="00753007"/>
    <w:rsid w:val="00827C52"/>
    <w:rsid w:val="0083330D"/>
    <w:rsid w:val="008C288E"/>
    <w:rsid w:val="009B02F7"/>
    <w:rsid w:val="009B340A"/>
    <w:rsid w:val="00A0110E"/>
    <w:rsid w:val="00C032F7"/>
    <w:rsid w:val="00CC1432"/>
    <w:rsid w:val="00E8301D"/>
    <w:rsid w:val="00ED5F63"/>
    <w:rsid w:val="00F27F34"/>
    <w:rsid w:val="00F33C91"/>
    <w:rsid w:val="00F83AF8"/>
    <w:rsid w:val="00F841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C16F2-3E63-4BD7-8A73-5E384800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53007"/>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53007"/>
    <w:rPr>
      <w:color w:val="0000FF"/>
      <w:u w:val="single"/>
    </w:rPr>
  </w:style>
  <w:style w:type="paragraph" w:styleId="Odsekzoznamu">
    <w:name w:val="List Paragraph"/>
    <w:aliases w:val="body,Odsek zoznamu2"/>
    <w:basedOn w:val="Normlny"/>
    <w:link w:val="OdsekzoznamuChar"/>
    <w:uiPriority w:val="34"/>
    <w:qFormat/>
    <w:rsid w:val="0075300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
    <w:basedOn w:val="Predvolenpsmoodseku"/>
    <w:link w:val="Odsekzoznamu"/>
    <w:uiPriority w:val="34"/>
    <w:locked/>
    <w:rsid w:val="00753007"/>
  </w:style>
  <w:style w:type="paragraph" w:styleId="Textbubliny">
    <w:name w:val="Balloon Text"/>
    <w:basedOn w:val="Normlny"/>
    <w:link w:val="TextbublinyChar"/>
    <w:uiPriority w:val="99"/>
    <w:semiHidden/>
    <w:unhideWhenUsed/>
    <w:rsid w:val="00734F61"/>
    <w:rPr>
      <w:rFonts w:ascii="Segoe UI" w:hAnsi="Segoe UI" w:cs="Segoe UI"/>
      <w:sz w:val="18"/>
      <w:szCs w:val="18"/>
    </w:rPr>
  </w:style>
  <w:style w:type="character" w:customStyle="1" w:styleId="TextbublinyChar">
    <w:name w:val="Text bubliny Char"/>
    <w:basedOn w:val="Predvolenpsmoodseku"/>
    <w:link w:val="Textbubliny"/>
    <w:uiPriority w:val="99"/>
    <w:semiHidden/>
    <w:rsid w:val="00734F61"/>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3376">
      <w:bodyDiv w:val="1"/>
      <w:marLeft w:val="0"/>
      <w:marRight w:val="0"/>
      <w:marTop w:val="0"/>
      <w:marBottom w:val="0"/>
      <w:divBdr>
        <w:top w:val="none" w:sz="0" w:space="0" w:color="auto"/>
        <w:left w:val="none" w:sz="0" w:space="0" w:color="auto"/>
        <w:bottom w:val="none" w:sz="0" w:space="0" w:color="auto"/>
        <w:right w:val="none" w:sz="0" w:space="0" w:color="auto"/>
      </w:divBdr>
    </w:div>
    <w:div w:id="175268392">
      <w:bodyDiv w:val="1"/>
      <w:marLeft w:val="0"/>
      <w:marRight w:val="0"/>
      <w:marTop w:val="0"/>
      <w:marBottom w:val="0"/>
      <w:divBdr>
        <w:top w:val="none" w:sz="0" w:space="0" w:color="auto"/>
        <w:left w:val="none" w:sz="0" w:space="0" w:color="auto"/>
        <w:bottom w:val="none" w:sz="0" w:space="0" w:color="auto"/>
        <w:right w:val="none" w:sz="0" w:space="0" w:color="auto"/>
      </w:divBdr>
    </w:div>
    <w:div w:id="209465934">
      <w:bodyDiv w:val="1"/>
      <w:marLeft w:val="0"/>
      <w:marRight w:val="0"/>
      <w:marTop w:val="0"/>
      <w:marBottom w:val="0"/>
      <w:divBdr>
        <w:top w:val="none" w:sz="0" w:space="0" w:color="auto"/>
        <w:left w:val="none" w:sz="0" w:space="0" w:color="auto"/>
        <w:bottom w:val="none" w:sz="0" w:space="0" w:color="auto"/>
        <w:right w:val="none" w:sz="0" w:space="0" w:color="auto"/>
      </w:divBdr>
    </w:div>
    <w:div w:id="516892187">
      <w:bodyDiv w:val="1"/>
      <w:marLeft w:val="0"/>
      <w:marRight w:val="0"/>
      <w:marTop w:val="0"/>
      <w:marBottom w:val="0"/>
      <w:divBdr>
        <w:top w:val="none" w:sz="0" w:space="0" w:color="auto"/>
        <w:left w:val="none" w:sz="0" w:space="0" w:color="auto"/>
        <w:bottom w:val="none" w:sz="0" w:space="0" w:color="auto"/>
        <w:right w:val="none" w:sz="0" w:space="0" w:color="auto"/>
      </w:divBdr>
    </w:div>
    <w:div w:id="651830892">
      <w:bodyDiv w:val="1"/>
      <w:marLeft w:val="0"/>
      <w:marRight w:val="0"/>
      <w:marTop w:val="0"/>
      <w:marBottom w:val="0"/>
      <w:divBdr>
        <w:top w:val="none" w:sz="0" w:space="0" w:color="auto"/>
        <w:left w:val="none" w:sz="0" w:space="0" w:color="auto"/>
        <w:bottom w:val="none" w:sz="0" w:space="0" w:color="auto"/>
        <w:right w:val="none" w:sz="0" w:space="0" w:color="auto"/>
      </w:divBdr>
    </w:div>
    <w:div w:id="955252870">
      <w:bodyDiv w:val="1"/>
      <w:marLeft w:val="0"/>
      <w:marRight w:val="0"/>
      <w:marTop w:val="0"/>
      <w:marBottom w:val="0"/>
      <w:divBdr>
        <w:top w:val="none" w:sz="0" w:space="0" w:color="auto"/>
        <w:left w:val="none" w:sz="0" w:space="0" w:color="auto"/>
        <w:bottom w:val="none" w:sz="0" w:space="0" w:color="auto"/>
        <w:right w:val="none" w:sz="0" w:space="0" w:color="auto"/>
      </w:divBdr>
    </w:div>
    <w:div w:id="1809277272">
      <w:bodyDiv w:val="1"/>
      <w:marLeft w:val="0"/>
      <w:marRight w:val="0"/>
      <w:marTop w:val="0"/>
      <w:marBottom w:val="0"/>
      <w:divBdr>
        <w:top w:val="none" w:sz="0" w:space="0" w:color="auto"/>
        <w:left w:val="none" w:sz="0" w:space="0" w:color="auto"/>
        <w:bottom w:val="none" w:sz="0" w:space="0" w:color="auto"/>
        <w:right w:val="none" w:sz="0" w:space="0" w:color="auto"/>
      </w:divBdr>
    </w:div>
    <w:div w:id="2047637454">
      <w:bodyDiv w:val="1"/>
      <w:marLeft w:val="0"/>
      <w:marRight w:val="0"/>
      <w:marTop w:val="0"/>
      <w:marBottom w:val="0"/>
      <w:divBdr>
        <w:top w:val="none" w:sz="0" w:space="0" w:color="auto"/>
        <w:left w:val="none" w:sz="0" w:space="0" w:color="auto"/>
        <w:bottom w:val="none" w:sz="0" w:space="0" w:color="auto"/>
        <w:right w:val="none" w:sz="0" w:space="0" w:color="auto"/>
      </w:divBdr>
    </w:div>
    <w:div w:id="208791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v-lex.sk/legislativne-procesy/-/SK/dokumenty/LP-2021-619" TargetMode="External"/><Relationship Id="rId5" Type="http://schemas.openxmlformats.org/officeDocument/2006/relationships/hyperlink" Target="https://www.mhsr.sk/podnikatelske-prostredie/lepsia-regulacia/regulacne-zatazenie/kalkulacka-nakladov-regulacie"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3843</Words>
  <Characters>21908</Characters>
  <Application>Microsoft Office Word</Application>
  <DocSecurity>0</DocSecurity>
  <Lines>182</Lines>
  <Paragraphs>51</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Hajdu Ladislav</dc:creator>
  <cp:keywords/>
  <dc:description/>
  <cp:lastModifiedBy>Hajdu Ladislav</cp:lastModifiedBy>
  <cp:revision>2</cp:revision>
  <cp:lastPrinted>2023-04-04T07:57:00Z</cp:lastPrinted>
  <dcterms:created xsi:type="dcterms:W3CDTF">2023-02-07T11:02:00Z</dcterms:created>
  <dcterms:modified xsi:type="dcterms:W3CDTF">2023-04-04T08:00:00Z</dcterms:modified>
</cp:coreProperties>
</file>