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207" w:rsidRPr="00606CD3" w:rsidRDefault="009C0207" w:rsidP="00A44847">
      <w:pPr>
        <w:jc w:val="center"/>
        <w:rPr>
          <w:b/>
          <w:caps/>
          <w:spacing w:val="30"/>
        </w:rPr>
      </w:pPr>
      <w:bookmarkStart w:id="0" w:name="_GoBack"/>
      <w:bookmarkEnd w:id="0"/>
      <w:r w:rsidRPr="00606CD3">
        <w:rPr>
          <w:b/>
          <w:caps/>
          <w:spacing w:val="30"/>
        </w:rPr>
        <w:t>Doložka zlučiteľnosti</w:t>
      </w:r>
    </w:p>
    <w:p w:rsidR="009C0207" w:rsidRPr="00606CD3" w:rsidRDefault="009C0207" w:rsidP="009C0207">
      <w:pPr>
        <w:contextualSpacing/>
        <w:jc w:val="center"/>
        <w:rPr>
          <w:b/>
        </w:rPr>
      </w:pPr>
      <w:r w:rsidRPr="00606CD3">
        <w:rPr>
          <w:b/>
        </w:rPr>
        <w:t>návrhu zákona s právom Európskej únie </w:t>
      </w:r>
    </w:p>
    <w:p w:rsidR="009C0207" w:rsidRPr="00606CD3" w:rsidRDefault="009C0207" w:rsidP="009C0207">
      <w:pPr>
        <w:contextualSpacing/>
        <w:jc w:val="both"/>
        <w:rPr>
          <w:b/>
        </w:rPr>
      </w:pPr>
    </w:p>
    <w:p w:rsidR="009C0207" w:rsidRPr="00606CD3" w:rsidRDefault="009C0207" w:rsidP="009C0207">
      <w:pPr>
        <w:ind w:left="360" w:hanging="360"/>
        <w:contextualSpacing/>
        <w:jc w:val="both"/>
      </w:pPr>
      <w:r w:rsidRPr="00606CD3">
        <w:rPr>
          <w:b/>
        </w:rPr>
        <w:t>1.</w:t>
      </w:r>
      <w:r w:rsidRPr="00606CD3">
        <w:rPr>
          <w:b/>
        </w:rPr>
        <w:tab/>
        <w:t>Navrhovateľ zákona:</w:t>
      </w:r>
      <w:r w:rsidRPr="00606CD3">
        <w:t xml:space="preserve"> Ministerstvo </w:t>
      </w:r>
      <w:r>
        <w:t>hospodárstva Slovenskej republiky</w:t>
      </w:r>
    </w:p>
    <w:p w:rsidR="009C0207" w:rsidRPr="00606CD3" w:rsidRDefault="009C0207" w:rsidP="009C0207">
      <w:pPr>
        <w:ind w:left="360" w:hanging="360"/>
        <w:contextualSpacing/>
        <w:jc w:val="both"/>
        <w:rPr>
          <w:b/>
        </w:rPr>
      </w:pPr>
    </w:p>
    <w:p w:rsidR="009C0207" w:rsidRPr="003145D0" w:rsidRDefault="009C0207" w:rsidP="009C0207">
      <w:pPr>
        <w:ind w:left="360" w:hanging="360"/>
        <w:contextualSpacing/>
        <w:jc w:val="both"/>
      </w:pPr>
      <w:r w:rsidRPr="00606CD3">
        <w:rPr>
          <w:b/>
        </w:rPr>
        <w:t>2.</w:t>
      </w:r>
      <w:r w:rsidRPr="00606CD3">
        <w:rPr>
          <w:b/>
        </w:rPr>
        <w:tab/>
        <w:t>Názov návrhu zákona:</w:t>
      </w:r>
      <w:r w:rsidRPr="00606CD3">
        <w:t xml:space="preserve"> </w:t>
      </w:r>
      <w:r>
        <w:t xml:space="preserve">Návrh zákona </w:t>
      </w:r>
      <w:r w:rsidRPr="003145D0">
        <w:t>o všeobecnej bezpečnosti výrobkov a o zmene a doplnení niektorých zákonov</w:t>
      </w:r>
    </w:p>
    <w:p w:rsidR="009C0207" w:rsidRPr="00606CD3" w:rsidRDefault="009C0207" w:rsidP="00A44847">
      <w:pPr>
        <w:contextualSpacing/>
        <w:jc w:val="both"/>
        <w:rPr>
          <w:b/>
        </w:rPr>
      </w:pPr>
    </w:p>
    <w:p w:rsidR="009C0207" w:rsidRPr="00606CD3" w:rsidRDefault="009C0207" w:rsidP="009C0207">
      <w:pPr>
        <w:ind w:left="360" w:hanging="360"/>
        <w:contextualSpacing/>
        <w:jc w:val="both"/>
        <w:rPr>
          <w:b/>
        </w:rPr>
      </w:pPr>
      <w:r w:rsidRPr="00606CD3">
        <w:rPr>
          <w:b/>
        </w:rPr>
        <w:t>3.</w:t>
      </w:r>
      <w:r w:rsidRPr="00606CD3">
        <w:rPr>
          <w:b/>
        </w:rPr>
        <w:tab/>
        <w:t>Predmet návrhu zákona je upravený v práve Európskej únie:</w:t>
      </w:r>
    </w:p>
    <w:p w:rsidR="009C0207" w:rsidRPr="00606CD3" w:rsidRDefault="009C0207" w:rsidP="009C0207">
      <w:pPr>
        <w:ind w:left="709" w:hanging="349"/>
        <w:contextualSpacing/>
        <w:jc w:val="both"/>
      </w:pPr>
      <w:r w:rsidRPr="00606CD3">
        <w:t>a)</w:t>
      </w:r>
      <w:r w:rsidRPr="00606CD3">
        <w:tab/>
        <w:t>v primárnom práve</w:t>
      </w:r>
    </w:p>
    <w:p w:rsidR="009C0207" w:rsidRPr="007802FA" w:rsidRDefault="009C0207" w:rsidP="009C0207">
      <w:pPr>
        <w:pStyle w:val="Odsekzoznamu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3A09">
        <w:rPr>
          <w:rFonts w:ascii="Times New Roman" w:eastAsia="Times New Roman" w:hAnsi="Times New Roman" w:cs="Times New Roman"/>
          <w:sz w:val="24"/>
          <w:szCs w:val="24"/>
        </w:rPr>
        <w:t xml:space="preserve">čl.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26, </w:t>
      </w:r>
      <w:r w:rsidRPr="004D3A09">
        <w:rPr>
          <w:rFonts w:ascii="Times New Roman" w:eastAsia="Times New Roman" w:hAnsi="Times New Roman" w:cs="Times New Roman"/>
          <w:sz w:val="24"/>
          <w:szCs w:val="24"/>
        </w:rPr>
        <w:t>114 a 169 Zmluvy o fungovaní Európskej únie</w:t>
      </w:r>
    </w:p>
    <w:p w:rsidR="009C0207" w:rsidRPr="00606CD3" w:rsidRDefault="009C0207" w:rsidP="009C0207">
      <w:pPr>
        <w:widowControl w:val="0"/>
        <w:adjustRightInd w:val="0"/>
        <w:ind w:left="360"/>
        <w:contextualSpacing/>
        <w:jc w:val="both"/>
      </w:pPr>
      <w:r w:rsidRPr="00606CD3">
        <w:t>b) v sekundárnom práve</w:t>
      </w:r>
    </w:p>
    <w:p w:rsidR="009C0207" w:rsidRDefault="005C2DA5" w:rsidP="009C0207">
      <w:pPr>
        <w:numPr>
          <w:ilvl w:val="0"/>
          <w:numId w:val="2"/>
        </w:numPr>
        <w:contextualSpacing/>
        <w:jc w:val="both"/>
      </w:pPr>
      <w:r w:rsidRPr="001D4377">
        <w:t>Smernica Európskeho parlamentu a Rady 2001/95/ES z 3. decembra 2001 o všeobecnej bezpečnosti výrobkov (Ú. v. ES L 11, 15.1.2002; Mimoriadne vydanie Ú</w:t>
      </w:r>
      <w:r w:rsidR="00E119E6">
        <w:t>.</w:t>
      </w:r>
      <w:r w:rsidRPr="001D4377">
        <w:t xml:space="preserve"> v</w:t>
      </w:r>
      <w:r w:rsidR="00E119E6">
        <w:t>.</w:t>
      </w:r>
      <w:r w:rsidRPr="001D4377">
        <w:t xml:space="preserve"> EÚ, kap. 15/ zv. 6)</w:t>
      </w:r>
      <w:r w:rsidR="006B1FA8">
        <w:t xml:space="preserve"> v platnom znení</w:t>
      </w:r>
      <w:r w:rsidR="00DD08C6">
        <w:t>.</w:t>
      </w:r>
    </w:p>
    <w:p w:rsidR="009C0207" w:rsidRDefault="009C0207" w:rsidP="009C0207">
      <w:pPr>
        <w:ind w:left="720"/>
        <w:contextualSpacing/>
        <w:jc w:val="both"/>
      </w:pPr>
      <w:r>
        <w:t>gestor: Ministerstvo hospodárstva SR</w:t>
      </w:r>
    </w:p>
    <w:p w:rsidR="009C0207" w:rsidRPr="00BF5969" w:rsidRDefault="009C0207" w:rsidP="009C0207">
      <w:pPr>
        <w:pStyle w:val="Odsekzoznamu"/>
        <w:numPr>
          <w:ilvl w:val="0"/>
          <w:numId w:val="2"/>
        </w:numPr>
        <w:spacing w:after="0"/>
        <w:ind w:left="714" w:hanging="357"/>
        <w:jc w:val="both"/>
        <w:rPr>
          <w:rFonts w:eastAsia="Calibri"/>
        </w:rPr>
      </w:pPr>
      <w:r w:rsidRPr="00D91FF5">
        <w:rPr>
          <w:rFonts w:ascii="Times New Roman" w:eastAsia="Calibri" w:hAnsi="Times New Roman" w:cs="Times New Roman"/>
          <w:sz w:val="24"/>
          <w:szCs w:val="24"/>
        </w:rPr>
        <w:t xml:space="preserve">Smernica Rady </w:t>
      </w:r>
      <w:r w:rsidRPr="005A328D">
        <w:rPr>
          <w:rFonts w:ascii="Times New Roman" w:eastAsia="Calibri" w:hAnsi="Times New Roman" w:cs="Times New Roman"/>
          <w:sz w:val="24"/>
          <w:szCs w:val="24"/>
        </w:rPr>
        <w:t>87/357/EHS</w:t>
      </w:r>
      <w:r w:rsidRPr="003923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91FF5">
        <w:rPr>
          <w:rFonts w:ascii="Times New Roman" w:eastAsia="Calibri" w:hAnsi="Times New Roman" w:cs="Times New Roman"/>
          <w:sz w:val="24"/>
          <w:szCs w:val="24"/>
        </w:rPr>
        <w:t>z 25. júna 1987 o harmonizácii právnych predpisov členských štátov týkajúcich sa výrobkov, ktorých vlastnosti sa javia ako iné, než v skutočnosti sú, a ktoré preto ohrozujú zdravie alebo bezpečnosť spotrebiteľov</w:t>
      </w:r>
      <w:r w:rsidRPr="005A328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030A4" w:rsidRPr="001D4377">
        <w:rPr>
          <w:rFonts w:ascii="Times New Roman" w:eastAsia="Times New Roman" w:hAnsi="Times New Roman" w:cs="Times New Roman"/>
          <w:sz w:val="24"/>
          <w:szCs w:val="24"/>
          <w:lang w:eastAsia="sk-SK"/>
        </w:rPr>
        <w:t>(Ú. v. ES L 192, 11.7.1987; Mimoriadne vydanie Ú</w:t>
      </w:r>
      <w:r w:rsidR="00E119E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C030A4" w:rsidRPr="001D43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</w:t>
      </w:r>
      <w:r w:rsidR="00E119E6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C030A4" w:rsidRPr="001D4377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EÚ, kap. 13/ zv. 8)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9C0207" w:rsidRPr="00BF5969" w:rsidRDefault="009C0207" w:rsidP="009C0207">
      <w:pPr>
        <w:pStyle w:val="Odsekzoznamu"/>
        <w:spacing w:after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F5969">
        <w:rPr>
          <w:rFonts w:ascii="Times New Roman" w:hAnsi="Times New Roman" w:cs="Times New Roman"/>
          <w:sz w:val="24"/>
          <w:szCs w:val="24"/>
        </w:rPr>
        <w:t>gestor: Ministerstvo hospodárstva SR</w:t>
      </w:r>
    </w:p>
    <w:p w:rsidR="009C0207" w:rsidRDefault="009C0207" w:rsidP="009C0207">
      <w:pPr>
        <w:numPr>
          <w:ilvl w:val="0"/>
          <w:numId w:val="2"/>
        </w:numPr>
        <w:contextualSpacing/>
        <w:jc w:val="both"/>
      </w:pPr>
      <w:r w:rsidRPr="00206769">
        <w:t>Vykonávacie rozhodnutie Komisie (EÚ) 2019/417 z 8. novembra 2018, ktorým sa stanovujú usmernenia pre riadenie systému Európskej únie na rýchlu výmenu informácií (RAPEX) vytvoreného podľa článku 12 smernice 2001/95/ES o všeobecnej bezpečnosti výrobkov a jeho systému oznamovania</w:t>
      </w:r>
      <w:r w:rsidR="00A42482">
        <w:t xml:space="preserve"> (Ú. v. EÚ L 73, 15.3.2019)</w:t>
      </w:r>
      <w:r w:rsidR="00DD08C6">
        <w:t>.</w:t>
      </w:r>
    </w:p>
    <w:p w:rsidR="009C0207" w:rsidRPr="00E32EC9" w:rsidRDefault="009C0207" w:rsidP="009C0207">
      <w:pPr>
        <w:ind w:left="720"/>
        <w:contextualSpacing/>
        <w:jc w:val="both"/>
      </w:pPr>
    </w:p>
    <w:p w:rsidR="009C0207" w:rsidRDefault="009C0207" w:rsidP="009C0207">
      <w:pPr>
        <w:ind w:left="709" w:hanging="349"/>
        <w:contextualSpacing/>
        <w:jc w:val="both"/>
      </w:pPr>
      <w:r w:rsidRPr="00606CD3">
        <w:t>c)</w:t>
      </w:r>
      <w:r w:rsidRPr="00606CD3">
        <w:tab/>
        <w:t>v judikatúre Súdneho dvora Európskej únie</w:t>
      </w:r>
    </w:p>
    <w:p w:rsidR="009C0207" w:rsidRDefault="009C0207" w:rsidP="009C0207">
      <w:pPr>
        <w:numPr>
          <w:ilvl w:val="0"/>
          <w:numId w:val="2"/>
        </w:numPr>
        <w:contextualSpacing/>
        <w:jc w:val="both"/>
      </w:pPr>
      <w:r w:rsidRPr="00ED5056">
        <w:t>Vec C-132/08.</w:t>
      </w:r>
      <w:r>
        <w:t xml:space="preserve"> </w:t>
      </w:r>
      <w:r w:rsidRPr="00ED5056">
        <w:t>Rozsudok Súdneho dvora z 30. apríla 2009.</w:t>
      </w:r>
      <w:r>
        <w:t xml:space="preserve"> </w:t>
      </w:r>
      <w:r w:rsidRPr="00ED5056">
        <w:t xml:space="preserve">Lidl </w:t>
      </w:r>
      <w:proofErr w:type="spellStart"/>
      <w:r w:rsidRPr="00ED5056">
        <w:t>Magyarország</w:t>
      </w:r>
      <w:proofErr w:type="spellEnd"/>
      <w:r w:rsidRPr="00ED5056">
        <w:t xml:space="preserve"> </w:t>
      </w:r>
      <w:proofErr w:type="spellStart"/>
      <w:r w:rsidRPr="00ED5056">
        <w:t>Kereskedelmi</w:t>
      </w:r>
      <w:proofErr w:type="spellEnd"/>
      <w:r w:rsidRPr="00ED5056">
        <w:t xml:space="preserve"> </w:t>
      </w:r>
      <w:proofErr w:type="spellStart"/>
      <w:r w:rsidRPr="00ED5056">
        <w:t>bt</w:t>
      </w:r>
      <w:proofErr w:type="spellEnd"/>
      <w:r w:rsidRPr="00ED5056">
        <w:t xml:space="preserve"> proti </w:t>
      </w:r>
      <w:proofErr w:type="spellStart"/>
      <w:r w:rsidRPr="00ED5056">
        <w:t>Nemzeti</w:t>
      </w:r>
      <w:proofErr w:type="spellEnd"/>
      <w:r w:rsidRPr="00ED5056">
        <w:t xml:space="preserve"> </w:t>
      </w:r>
      <w:proofErr w:type="spellStart"/>
      <w:r w:rsidRPr="00ED5056">
        <w:t>Hírközlési</w:t>
      </w:r>
      <w:proofErr w:type="spellEnd"/>
      <w:r w:rsidRPr="00ED5056">
        <w:t xml:space="preserve"> </w:t>
      </w:r>
      <w:proofErr w:type="spellStart"/>
      <w:r w:rsidRPr="00ED5056">
        <w:t>Hatóság</w:t>
      </w:r>
      <w:proofErr w:type="spellEnd"/>
      <w:r w:rsidRPr="00ED5056">
        <w:t xml:space="preserve"> </w:t>
      </w:r>
      <w:proofErr w:type="spellStart"/>
      <w:r w:rsidRPr="00ED5056">
        <w:t>Tanácsa</w:t>
      </w:r>
      <w:proofErr w:type="spellEnd"/>
      <w:r w:rsidRPr="00ED5056">
        <w:t xml:space="preserve">. Návrh na začatie prejudiciálneho konania: </w:t>
      </w:r>
      <w:proofErr w:type="spellStart"/>
      <w:r w:rsidRPr="00ED5056">
        <w:t>Fővárosi</w:t>
      </w:r>
      <w:proofErr w:type="spellEnd"/>
      <w:r w:rsidRPr="00ED5056">
        <w:t xml:space="preserve"> </w:t>
      </w:r>
      <w:proofErr w:type="spellStart"/>
      <w:r w:rsidRPr="00ED5056">
        <w:t>Bíróság</w:t>
      </w:r>
      <w:proofErr w:type="spellEnd"/>
      <w:r w:rsidRPr="00ED5056">
        <w:t xml:space="preserve"> - Maďarsko.</w:t>
      </w:r>
    </w:p>
    <w:p w:rsidR="009C0207" w:rsidRPr="00ED5056" w:rsidRDefault="009C0207" w:rsidP="009C0207">
      <w:pPr>
        <w:ind w:left="720"/>
        <w:contextualSpacing/>
        <w:jc w:val="both"/>
        <w:rPr>
          <w:i/>
        </w:rPr>
      </w:pPr>
      <w:r w:rsidRPr="00ED5056">
        <w:rPr>
          <w:i/>
        </w:rPr>
        <w:t xml:space="preserve">„Smernica 2001/95/ES Európskeho parlamentu a Rady z 3. decembra 2001 </w:t>
      </w:r>
      <w:r w:rsidR="00A44847">
        <w:rPr>
          <w:i/>
        </w:rPr>
        <w:t xml:space="preserve">                                    </w:t>
      </w:r>
      <w:r w:rsidRPr="00ED5056">
        <w:rPr>
          <w:i/>
        </w:rPr>
        <w:t>o všeobecnej bezpečnosti výrobkov sa neuplatňuje na posúdenie otázok, ktoré sa vzťahujú na povinnosť osoby predložiť vyhlásenie o zhode rádiového zariadenia. Pokiaľ ide o právomoc členských štátov ukladať podľa smernice 2001/95 v</w:t>
      </w:r>
      <w:r w:rsidR="00A44847">
        <w:rPr>
          <w:i/>
        </w:rPr>
        <w:t> </w:t>
      </w:r>
      <w:r w:rsidRPr="00ED5056">
        <w:rPr>
          <w:i/>
        </w:rPr>
        <w:t>súvislosti</w:t>
      </w:r>
      <w:r w:rsidR="00A44847">
        <w:rPr>
          <w:i/>
        </w:rPr>
        <w:t xml:space="preserve">                                  </w:t>
      </w:r>
      <w:r w:rsidRPr="00ED5056">
        <w:rPr>
          <w:i/>
        </w:rPr>
        <w:t xml:space="preserve"> s uvádzaním rádiových zariadení na trh iné povinnosti, ako je povinnosť predložiť vyhlásenie o zhode, možno osobu uvádzajúcu výrobok na trh považovať jednak za výrobcu iba v rámci podmienok uvedených v článku 2 písm. e) tejto smernice a jednak za distributéra iba v rámci podmienok uvedených v článku 2 písm. f) uvedenej smernice. Výrobcovi a distributérovi možno uložiť iba povinnosti, ktoré každému z nich stanovuje smernica 2001/95.“</w:t>
      </w:r>
    </w:p>
    <w:p w:rsidR="009C0207" w:rsidRDefault="009C0207" w:rsidP="009C0207">
      <w:pPr>
        <w:numPr>
          <w:ilvl w:val="0"/>
          <w:numId w:val="2"/>
        </w:numPr>
        <w:contextualSpacing/>
        <w:jc w:val="both"/>
      </w:pPr>
      <w:r w:rsidRPr="00AC2184">
        <w:t>Vec C-132/08: Rozsudok Súdneho dvora z  30. apríla 2009 (návrh n</w:t>
      </w:r>
      <w:r>
        <w:t xml:space="preserve">a začatie </w:t>
      </w:r>
      <w:r w:rsidRPr="00AC2184">
        <w:t xml:space="preserve">prejudiciálneho konania, ktorý podal </w:t>
      </w:r>
      <w:proofErr w:type="spellStart"/>
      <w:r w:rsidRPr="00AC2184">
        <w:t>Fővá</w:t>
      </w:r>
      <w:r>
        <w:t>rosi</w:t>
      </w:r>
      <w:proofErr w:type="spellEnd"/>
      <w:r>
        <w:t xml:space="preserve"> </w:t>
      </w:r>
      <w:proofErr w:type="spellStart"/>
      <w:r>
        <w:t>Bíróság</w:t>
      </w:r>
      <w:proofErr w:type="spellEnd"/>
      <w:r>
        <w:t xml:space="preserve"> — Maďarsko) — Lidl </w:t>
      </w:r>
      <w:proofErr w:type="spellStart"/>
      <w:r w:rsidRPr="00AC2184">
        <w:t>Magyarország</w:t>
      </w:r>
      <w:proofErr w:type="spellEnd"/>
      <w:r w:rsidRPr="00AC2184">
        <w:t xml:space="preserve"> </w:t>
      </w:r>
      <w:proofErr w:type="spellStart"/>
      <w:r w:rsidRPr="00AC2184">
        <w:t>Kereskedelmi</w:t>
      </w:r>
      <w:proofErr w:type="spellEnd"/>
      <w:r w:rsidRPr="00AC2184">
        <w:t xml:space="preserve"> </w:t>
      </w:r>
      <w:proofErr w:type="spellStart"/>
      <w:r w:rsidRPr="00AC2184">
        <w:t>Bt</w:t>
      </w:r>
      <w:proofErr w:type="spellEnd"/>
      <w:r w:rsidRPr="00AC2184">
        <w:t>/</w:t>
      </w:r>
      <w:proofErr w:type="spellStart"/>
      <w:r w:rsidRPr="00AC2184">
        <w:t>Nemzeti</w:t>
      </w:r>
      <w:proofErr w:type="spellEnd"/>
      <w:r w:rsidRPr="00AC2184">
        <w:t xml:space="preserve"> </w:t>
      </w:r>
      <w:proofErr w:type="spellStart"/>
      <w:r w:rsidRPr="00AC2184">
        <w:t>Hírközlési</w:t>
      </w:r>
      <w:proofErr w:type="spellEnd"/>
      <w:r w:rsidRPr="00AC2184">
        <w:t xml:space="preserve"> </w:t>
      </w:r>
      <w:proofErr w:type="spellStart"/>
      <w:r w:rsidRPr="00AC2184">
        <w:t>Hatóság</w:t>
      </w:r>
      <w:proofErr w:type="spellEnd"/>
      <w:r w:rsidRPr="00AC2184">
        <w:t xml:space="preserve"> </w:t>
      </w:r>
      <w:proofErr w:type="spellStart"/>
      <w:r w:rsidRPr="00AC2184">
        <w:t>Tanácsa</w:t>
      </w:r>
      <w:proofErr w:type="spellEnd"/>
      <w:r>
        <w:t xml:space="preserve">. </w:t>
      </w:r>
    </w:p>
    <w:p w:rsidR="009C0207" w:rsidRPr="00ED5056" w:rsidRDefault="009C0207" w:rsidP="009C0207">
      <w:pPr>
        <w:ind w:left="720"/>
        <w:contextualSpacing/>
        <w:jc w:val="both"/>
        <w:rPr>
          <w:i/>
        </w:rPr>
      </w:pPr>
      <w:r w:rsidRPr="00ED5056">
        <w:rPr>
          <w:i/>
        </w:rPr>
        <w:t xml:space="preserve">„Smernica 2001/95/ES Európskeho parlamentu a Rady z 3. decembra 2001 </w:t>
      </w:r>
      <w:r w:rsidR="00A44847">
        <w:rPr>
          <w:i/>
        </w:rPr>
        <w:t xml:space="preserve">                                      </w:t>
      </w:r>
      <w:r w:rsidRPr="00ED5056">
        <w:rPr>
          <w:i/>
        </w:rPr>
        <w:t xml:space="preserve">o všeobecnej bezpečnosti výrobkov sa neuplatňuje na posúdenie otázok, ktoré sa vzťahujú na povinnosť osoby predložiť vyhlásenie o zhode rádiového zariadenia. Pokiaľ ide o právomoc členských štátov ukladať podľa smernice 2001/95 v súvislosti </w:t>
      </w:r>
      <w:r w:rsidR="00A44847">
        <w:rPr>
          <w:i/>
        </w:rPr>
        <w:t xml:space="preserve">                                    </w:t>
      </w:r>
      <w:r w:rsidRPr="00ED5056">
        <w:rPr>
          <w:i/>
        </w:rPr>
        <w:t xml:space="preserve">s uvádzaním rádiových zariadení na trh iné povinnosti, ako je povinnosť predložiť vyhlásenie o zhode, možno osobu uvádzajúcu výrobok na trh považovať jednak za </w:t>
      </w:r>
      <w:r w:rsidRPr="00ED5056">
        <w:rPr>
          <w:i/>
        </w:rPr>
        <w:lastRenderedPageBreak/>
        <w:t>výrobcu iba za podmienok uvedených v článku 2 písm. e) tejto smernice a jednak za distributéra iba za podmienok uvedených v článku 2 písm. f) uvedenej smernice. Výrobcovi a distributérovi možno uložiť iba povinnosti, ktoré každému z nich stanovuje smernica 2001/95.“</w:t>
      </w:r>
    </w:p>
    <w:p w:rsidR="009C0207" w:rsidRPr="00AC2184" w:rsidRDefault="009C0207" w:rsidP="009C0207">
      <w:pPr>
        <w:numPr>
          <w:ilvl w:val="0"/>
          <w:numId w:val="2"/>
        </w:numPr>
        <w:contextualSpacing/>
        <w:jc w:val="both"/>
        <w:rPr>
          <w:i/>
        </w:rPr>
      </w:pPr>
      <w:r>
        <w:t>V</w:t>
      </w:r>
      <w:r w:rsidRPr="00AC2184">
        <w:t>ec C-310/05</w:t>
      </w:r>
      <w:r>
        <w:t>. R</w:t>
      </w:r>
      <w:r w:rsidRPr="00AC2184">
        <w:t>ozsudok Súdneho dvora Európskej únie z 9. marca 2006, Komisia Európskych spoločenstiev proti Luxemburskému veľkovojvodstvu.</w:t>
      </w:r>
      <w:r>
        <w:t xml:space="preserve"> </w:t>
      </w:r>
    </w:p>
    <w:p w:rsidR="009C0207" w:rsidRDefault="009C0207" w:rsidP="009C0207">
      <w:pPr>
        <w:ind w:left="720"/>
        <w:contextualSpacing/>
        <w:jc w:val="both"/>
        <w:rPr>
          <w:i/>
        </w:rPr>
      </w:pPr>
      <w:r w:rsidRPr="00AC2184">
        <w:rPr>
          <w:i/>
        </w:rPr>
        <w:t xml:space="preserve">„Neprijatím zákonov, iných právnych predpisov a správnych opatrení potrebných </w:t>
      </w:r>
      <w:r>
        <w:rPr>
          <w:i/>
        </w:rPr>
        <w:br/>
      </w:r>
      <w:r w:rsidRPr="00AC2184">
        <w:rPr>
          <w:i/>
        </w:rPr>
        <w:t xml:space="preserve">na dosiahnutie súladu so smernicou Európskeho parlamentu a Rady 2001/95/ES </w:t>
      </w:r>
      <w:r>
        <w:rPr>
          <w:i/>
        </w:rPr>
        <w:br/>
      </w:r>
      <w:r w:rsidRPr="00AC2184">
        <w:rPr>
          <w:i/>
        </w:rPr>
        <w:t>z 3. decembra 2001 o všeobecnej bezpečnosti výrobkov si Luxemburské veľkovojvodstvo nesplnilo povinnosti, ktoré mu vyplývajú z článku 21 ods. 1 tejto smernice.“</w:t>
      </w:r>
    </w:p>
    <w:p w:rsidR="009C0207" w:rsidRPr="00606CD3" w:rsidRDefault="009C0207" w:rsidP="009C0207">
      <w:pPr>
        <w:widowControl w:val="0"/>
        <w:adjustRightInd w:val="0"/>
        <w:contextualSpacing/>
        <w:rPr>
          <w:b/>
        </w:rPr>
      </w:pPr>
    </w:p>
    <w:p w:rsidR="009C0207" w:rsidRPr="00606CD3" w:rsidRDefault="009C0207" w:rsidP="009C0207">
      <w:pPr>
        <w:widowControl w:val="0"/>
        <w:numPr>
          <w:ilvl w:val="0"/>
          <w:numId w:val="3"/>
        </w:numPr>
        <w:adjustRightInd w:val="0"/>
        <w:ind w:left="284" w:hanging="284"/>
        <w:contextualSpacing/>
        <w:jc w:val="both"/>
        <w:rPr>
          <w:b/>
        </w:rPr>
      </w:pPr>
      <w:r w:rsidRPr="00606CD3">
        <w:rPr>
          <w:b/>
        </w:rPr>
        <w:t xml:space="preserve">Záväzky Slovenskej republiky vo vzťahu k Európskej únii: </w:t>
      </w:r>
    </w:p>
    <w:p w:rsidR="009C0207" w:rsidRPr="00606CD3" w:rsidRDefault="009C0207" w:rsidP="009C0207">
      <w:pPr>
        <w:ind w:left="709" w:hanging="349"/>
        <w:contextualSpacing/>
        <w:jc w:val="both"/>
      </w:pPr>
      <w:r w:rsidRPr="00606CD3">
        <w:t>a)</w:t>
      </w:r>
      <w:r w:rsidRPr="00606CD3">
        <w:tab/>
      </w:r>
      <w:r w:rsidRPr="003F1FCA">
        <w:t>uviesť lehotu na prebranie príslušného právneho aktu Európskej únie, príp. aj osobitnú lehotu účinnosti jeho ustanovení</w:t>
      </w:r>
    </w:p>
    <w:p w:rsidR="009C0207" w:rsidRPr="003F1FCA" w:rsidRDefault="009C0207" w:rsidP="009C0207">
      <w:pPr>
        <w:pStyle w:val="Odsekzoznamu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Smernica</w:t>
      </w:r>
      <w:r w:rsidRPr="001E48E1">
        <w:rPr>
          <w:rFonts w:ascii="Times New Roman" w:eastAsia="Times New Roman" w:hAnsi="Times New Roman" w:cs="Times New Roman"/>
          <w:sz w:val="24"/>
          <w:szCs w:val="24"/>
        </w:rPr>
        <w:t xml:space="preserve"> 2001/95/ES Európskeho parlamentu a Rady 2001/95/ES z 3. decembra 2001 o všeobecnej bezpečnosti výrobkov </w:t>
      </w:r>
      <w:r>
        <w:rPr>
          <w:rFonts w:ascii="Times New Roman" w:eastAsia="Times New Roman" w:hAnsi="Times New Roman" w:cs="Times New Roman"/>
          <w:sz w:val="24"/>
          <w:szCs w:val="24"/>
        </w:rPr>
        <w:t>už bola</w:t>
      </w:r>
      <w:r w:rsidRPr="001E48E1">
        <w:rPr>
          <w:rFonts w:ascii="Times New Roman" w:eastAsia="Times New Roman" w:hAnsi="Times New Roman" w:cs="Times New Roman"/>
          <w:sz w:val="24"/>
          <w:szCs w:val="24"/>
        </w:rPr>
        <w:t xml:space="preserve"> transponovan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 w:rsidRPr="001E48E1">
        <w:rPr>
          <w:rFonts w:ascii="Times New Roman" w:eastAsia="Times New Roman" w:hAnsi="Times New Roman" w:cs="Times New Roman"/>
          <w:sz w:val="24"/>
          <w:szCs w:val="24"/>
        </w:rPr>
        <w:t>do právneho poriadku Slovenskej republiky, ide o novelizác</w:t>
      </w:r>
      <w:r>
        <w:rPr>
          <w:rFonts w:ascii="Times New Roman" w:eastAsia="Times New Roman" w:hAnsi="Times New Roman" w:cs="Times New Roman"/>
          <w:sz w:val="24"/>
          <w:szCs w:val="24"/>
        </w:rPr>
        <w:t>iu už transponovaných ustanovení.</w:t>
      </w:r>
    </w:p>
    <w:p w:rsidR="009C0207" w:rsidRDefault="009C0207" w:rsidP="009C0207">
      <w:pPr>
        <w:ind w:left="709" w:hanging="349"/>
        <w:contextualSpacing/>
        <w:jc w:val="both"/>
      </w:pPr>
      <w:r w:rsidRPr="00606CD3">
        <w:t>b)</w:t>
      </w:r>
      <w:r w:rsidRPr="00606CD3">
        <w:tab/>
      </w:r>
      <w:r w:rsidRPr="003F1FCA">
        <w:t>uviesť informáciu o začatí konania v rámci „EÚ Pilot“ alebo o začatí postupu Európskej komisie, alebo o konaní Súdneho dvora Európskej únie proti Slovenskej republike podľa čl. 258 a 260 Zmluvy o fungovaní Európskej únie v jej platnom znení, spolu s uvedením konkrétnych vytýkaných nedostatkov</w:t>
      </w:r>
      <w:r>
        <w:t xml:space="preserve"> </w:t>
      </w:r>
      <w:r w:rsidRPr="003F1FCA">
        <w:t xml:space="preserve">a požiadaviek na zabezpečenie nápravy </w:t>
      </w:r>
      <w:r>
        <w:br/>
      </w:r>
      <w:r w:rsidRPr="003F1FCA">
        <w:t xml:space="preserve">so zreteľom na nariadenie Európskeho parlamentu a Rady (ES) č. 1049/2001 z 30. mája 2001 o prístupe verejnosti k dokumentom Európskeho parlamentu, Rady a Komisie </w:t>
      </w:r>
    </w:p>
    <w:p w:rsidR="009C0207" w:rsidRPr="00206769" w:rsidRDefault="009C0207" w:rsidP="009C0207">
      <w:pPr>
        <w:pStyle w:val="Odsekzoznamu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BCE">
        <w:rPr>
          <w:rFonts w:ascii="Times New Roman" w:eastAsia="Times New Roman" w:hAnsi="Times New Roman" w:cs="Times New Roman"/>
          <w:sz w:val="24"/>
          <w:szCs w:val="24"/>
        </w:rPr>
        <w:t>nebolo začaté konanie voči SR.</w:t>
      </w:r>
    </w:p>
    <w:p w:rsidR="009C0207" w:rsidRDefault="009C0207" w:rsidP="009C0207">
      <w:pPr>
        <w:ind w:left="709" w:hanging="349"/>
        <w:contextualSpacing/>
        <w:jc w:val="both"/>
      </w:pPr>
      <w:r w:rsidRPr="00606CD3">
        <w:t>c)</w:t>
      </w:r>
      <w:r w:rsidRPr="00606CD3">
        <w:tab/>
      </w:r>
      <w:r w:rsidRPr="007D717F">
        <w:t>uviesť informáciu o právnych predpisoch, v ktorých sú uvádzané právne akty Európskej únie už prebrané, spolu s uvedením rozsahu ich prebrania, príp. potreby prijatia ďalších úprav</w:t>
      </w:r>
    </w:p>
    <w:p w:rsidR="009C0207" w:rsidRPr="006A6BCE" w:rsidRDefault="009C0207" w:rsidP="009C0207">
      <w:pPr>
        <w:pStyle w:val="Odsekzoznamu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6BCE">
        <w:rPr>
          <w:rFonts w:ascii="Times New Roman" w:eastAsia="Times New Roman" w:hAnsi="Times New Roman" w:cs="Times New Roman"/>
          <w:sz w:val="24"/>
          <w:szCs w:val="24"/>
        </w:rPr>
        <w:t>zákon č. 250/2007 Z. z. o ochrane spotrebiteľa a o zmene zákona Slovenskej národnej rady č. 372/1990 Zb. o priestupkoch v znení neskorších predpisov v znení neskorších predpisov</w:t>
      </w:r>
    </w:p>
    <w:p w:rsidR="009C0207" w:rsidRDefault="009C0207" w:rsidP="009C0207">
      <w:pPr>
        <w:pStyle w:val="Odsekzoznamu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nariadenie vlády Slovenskej republiky č. 404/2007 Z. z. </w:t>
      </w:r>
      <w:r w:rsidRPr="006A6BCE">
        <w:rPr>
          <w:rFonts w:ascii="Times New Roman" w:eastAsia="Times New Roman" w:hAnsi="Times New Roman" w:cs="Times New Roman"/>
          <w:sz w:val="24"/>
          <w:szCs w:val="24"/>
        </w:rPr>
        <w:t>o všeobecnej bezpečnosti výrobkov</w:t>
      </w:r>
    </w:p>
    <w:p w:rsidR="009C0207" w:rsidRPr="00606CD3" w:rsidRDefault="009C0207" w:rsidP="009C0207">
      <w:pPr>
        <w:contextualSpacing/>
        <w:jc w:val="both"/>
      </w:pPr>
    </w:p>
    <w:p w:rsidR="009C0207" w:rsidRPr="00606CD3" w:rsidRDefault="009C0207" w:rsidP="009C0207">
      <w:pPr>
        <w:ind w:left="360" w:hanging="360"/>
        <w:contextualSpacing/>
        <w:rPr>
          <w:b/>
        </w:rPr>
      </w:pPr>
      <w:r w:rsidRPr="00606CD3">
        <w:rPr>
          <w:b/>
        </w:rPr>
        <w:t>5.</w:t>
      </w:r>
      <w:r w:rsidRPr="00606CD3">
        <w:rPr>
          <w:b/>
        </w:rPr>
        <w:tab/>
        <w:t>Návrh zákona je zlučiteľný s právom Európskej únie:</w:t>
      </w:r>
    </w:p>
    <w:p w:rsidR="009C0207" w:rsidRPr="00606CD3" w:rsidRDefault="009C0207" w:rsidP="009C02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contextualSpacing/>
        <w:jc w:val="both"/>
      </w:pPr>
      <w:r>
        <w:t>úplne</w:t>
      </w:r>
    </w:p>
    <w:p w:rsidR="009C0207" w:rsidRDefault="009C0207" w:rsidP="009C0207">
      <w:pPr>
        <w:pStyle w:val="Bezriadkovania"/>
        <w:jc w:val="center"/>
        <w:rPr>
          <w:rFonts w:ascii="Times New Roman" w:hAnsi="Times New Roman" w:cs="Times New Roman"/>
          <w:b/>
          <w:sz w:val="24"/>
        </w:rPr>
      </w:pPr>
    </w:p>
    <w:p w:rsidR="002A6597" w:rsidRDefault="002A6597"/>
    <w:sectPr w:rsidR="002A659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9DD" w:rsidRDefault="00B259DD">
      <w:r>
        <w:separator/>
      </w:r>
    </w:p>
  </w:endnote>
  <w:endnote w:type="continuationSeparator" w:id="0">
    <w:p w:rsidR="00B259DD" w:rsidRDefault="00B25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5F50" w:rsidRDefault="00CD2A95" w:rsidP="00D87306">
    <w:pPr>
      <w:pStyle w:val="Pta"/>
    </w:pPr>
  </w:p>
  <w:p w:rsidR="002B5F50" w:rsidRDefault="00CD2A9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9DD" w:rsidRDefault="00B259DD">
      <w:r>
        <w:separator/>
      </w:r>
    </w:p>
  </w:footnote>
  <w:footnote w:type="continuationSeparator" w:id="0">
    <w:p w:rsidR="00B259DD" w:rsidRDefault="00B259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F31EC"/>
    <w:multiLevelType w:val="hybridMultilevel"/>
    <w:tmpl w:val="C4F68352"/>
    <w:lvl w:ilvl="0" w:tplc="83142C3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BD5BEB"/>
    <w:multiLevelType w:val="hybridMultilevel"/>
    <w:tmpl w:val="F5B01A4E"/>
    <w:lvl w:ilvl="0" w:tplc="21D06C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76C01"/>
    <w:multiLevelType w:val="hybridMultilevel"/>
    <w:tmpl w:val="0BF40A12"/>
    <w:lvl w:ilvl="0" w:tplc="8B7EC1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207"/>
    <w:rsid w:val="002A6597"/>
    <w:rsid w:val="0037020C"/>
    <w:rsid w:val="004A03B3"/>
    <w:rsid w:val="004F0A56"/>
    <w:rsid w:val="005C2DA5"/>
    <w:rsid w:val="00662DD0"/>
    <w:rsid w:val="006B1FA8"/>
    <w:rsid w:val="009C0207"/>
    <w:rsid w:val="00A42482"/>
    <w:rsid w:val="00A44847"/>
    <w:rsid w:val="00B259DD"/>
    <w:rsid w:val="00C030A4"/>
    <w:rsid w:val="00CD2A95"/>
    <w:rsid w:val="00DD08C6"/>
    <w:rsid w:val="00E11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80218-9826-4181-8C18-359D87551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0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C0207"/>
    <w:pPr>
      <w:spacing w:after="0" w:line="240" w:lineRule="auto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C020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9C020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C020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9C02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788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 Ladislav</dc:creator>
  <cp:keywords/>
  <dc:description/>
  <cp:lastModifiedBy>Hajdu Ladislav</cp:lastModifiedBy>
  <cp:revision>2</cp:revision>
  <cp:lastPrinted>2023-04-04T07:58:00Z</cp:lastPrinted>
  <dcterms:created xsi:type="dcterms:W3CDTF">2022-08-24T12:27:00Z</dcterms:created>
  <dcterms:modified xsi:type="dcterms:W3CDTF">2023-04-04T08:00:00Z</dcterms:modified>
</cp:coreProperties>
</file>