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3" w:tblpY="1"/>
        <w:tblOverlap w:val="never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52"/>
        <w:gridCol w:w="4111"/>
        <w:gridCol w:w="709"/>
        <w:gridCol w:w="850"/>
        <w:gridCol w:w="709"/>
        <w:gridCol w:w="6520"/>
        <w:gridCol w:w="567"/>
        <w:gridCol w:w="1271"/>
      </w:tblGrid>
      <w:tr w:rsidR="001B7551" w:rsidRPr="00343B04" w14:paraId="503B9B4F" w14:textId="77777777" w:rsidTr="001C4159">
        <w:trPr>
          <w:trHeight w:val="538"/>
        </w:trPr>
        <w:tc>
          <w:tcPr>
            <w:tcW w:w="15489" w:type="dxa"/>
            <w:gridSpan w:val="8"/>
          </w:tcPr>
          <w:p w14:paraId="1C4A2677" w14:textId="77777777" w:rsidR="001B7551" w:rsidRPr="00343B04" w:rsidRDefault="001B7551" w:rsidP="00343B04">
            <w:pPr>
              <w:pStyle w:val="Nadpis1"/>
              <w:widowControl/>
              <w:shd w:val="clear" w:color="auto" w:fill="FFFFFF" w:themeFill="background1"/>
              <w:contextualSpacing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TABUĽKA  ZHODY</w:t>
            </w:r>
          </w:p>
          <w:p w14:paraId="63B274E7" w14:textId="6D30A6E0" w:rsidR="001B7551" w:rsidRPr="00343B04" w:rsidRDefault="006854E2" w:rsidP="001C4159">
            <w:pPr>
              <w:shd w:val="clear" w:color="auto" w:fill="FFFFFF" w:themeFill="background1"/>
              <w:contextualSpacing/>
              <w:jc w:val="center"/>
              <w:rPr>
                <w:b/>
                <w:sz w:val="20"/>
                <w:szCs w:val="20"/>
              </w:rPr>
            </w:pPr>
            <w:r w:rsidRPr="006854E2">
              <w:rPr>
                <w:b/>
                <w:sz w:val="20"/>
                <w:szCs w:val="20"/>
              </w:rPr>
              <w:t>návrhu právneho predpisu s právom Európskej únie</w:t>
            </w:r>
          </w:p>
        </w:tc>
      </w:tr>
      <w:tr w:rsidR="001B7551" w:rsidRPr="00343B04" w14:paraId="58640E2B" w14:textId="77777777" w:rsidTr="001C4159">
        <w:trPr>
          <w:trHeight w:val="567"/>
        </w:trPr>
        <w:tc>
          <w:tcPr>
            <w:tcW w:w="5572" w:type="dxa"/>
            <w:gridSpan w:val="3"/>
          </w:tcPr>
          <w:p w14:paraId="19C1F3ED" w14:textId="6378B2B0" w:rsidR="001B7551" w:rsidRPr="00343B04" w:rsidRDefault="00333042" w:rsidP="00343B04">
            <w:pPr>
              <w:pStyle w:val="Zkladntext3"/>
              <w:widowControl/>
              <w:shd w:val="clear" w:color="auto" w:fill="FFFFFF" w:themeFill="background1"/>
              <w:spacing w:line="240" w:lineRule="auto"/>
              <w:contextualSpacing/>
              <w:rPr>
                <w:sz w:val="20"/>
                <w:szCs w:val="20"/>
              </w:rPr>
            </w:pPr>
            <w:r w:rsidRPr="00343B04">
              <w:rPr>
                <w:b/>
                <w:bCs/>
                <w:sz w:val="20"/>
                <w:szCs w:val="20"/>
              </w:rPr>
              <w:t xml:space="preserve">Smernica Európskeho parlamentu a </w:t>
            </w:r>
            <w:r w:rsidR="00605703" w:rsidRPr="00343B04">
              <w:rPr>
                <w:b/>
                <w:bCs/>
                <w:sz w:val="20"/>
                <w:szCs w:val="20"/>
              </w:rPr>
              <w:t>R</w:t>
            </w:r>
            <w:r w:rsidRPr="00343B04">
              <w:rPr>
                <w:b/>
                <w:bCs/>
                <w:sz w:val="20"/>
                <w:szCs w:val="20"/>
              </w:rPr>
              <w:t xml:space="preserve">ady (EÚ) </w:t>
            </w:r>
            <w:r w:rsidR="00F22059" w:rsidRPr="00343B04">
              <w:rPr>
                <w:b/>
                <w:bCs/>
                <w:sz w:val="20"/>
                <w:szCs w:val="20"/>
              </w:rPr>
              <w:t>2015/849</w:t>
            </w:r>
            <w:r w:rsidRPr="00343B04">
              <w:rPr>
                <w:b/>
                <w:bCs/>
                <w:sz w:val="20"/>
                <w:szCs w:val="20"/>
              </w:rPr>
              <w:t xml:space="preserve"> z</w:t>
            </w:r>
            <w:r w:rsidR="00F22059" w:rsidRPr="00343B04">
              <w:rPr>
                <w:b/>
                <w:bCs/>
                <w:sz w:val="20"/>
                <w:szCs w:val="20"/>
              </w:rPr>
              <w:t> 20. mája 2015</w:t>
            </w:r>
            <w:r w:rsidRPr="00343B04">
              <w:rPr>
                <w:b/>
                <w:bCs/>
                <w:sz w:val="20"/>
                <w:szCs w:val="20"/>
              </w:rPr>
              <w:t xml:space="preserve"> </w:t>
            </w:r>
            <w:r w:rsidR="00F22059" w:rsidRPr="00343B04">
              <w:rPr>
                <w:b/>
                <w:bCs/>
                <w:sz w:val="20"/>
                <w:szCs w:val="20"/>
              </w:rPr>
              <w:t>o predchádzaní využívaniu finančného systému na účely prania špinavých peňazí alebo financovania terorizmu, ktorou sa mení nariadenie Európskeho parlamentu a Rady (EÚ) č. 648/2012 a zrušuje smernica  Európskeho parlamentu a Rady 2005/60/ES a smernica  Komisie 2006/70/ES</w:t>
            </w:r>
            <w:r w:rsidR="00013E54" w:rsidRPr="00343B04">
              <w:rPr>
                <w:b/>
                <w:bCs/>
                <w:sz w:val="20"/>
                <w:szCs w:val="20"/>
              </w:rPr>
              <w:t xml:space="preserve"> (Ú. v. EÚ L 141, 5. 6. 2015)</w:t>
            </w:r>
            <w:r w:rsidR="006854E2">
              <w:rPr>
                <w:b/>
                <w:bCs/>
                <w:sz w:val="20"/>
                <w:szCs w:val="20"/>
              </w:rPr>
              <w:t xml:space="preserve"> </w:t>
            </w:r>
            <w:r w:rsidR="00F101B1">
              <w:t xml:space="preserve"> </w:t>
            </w:r>
            <w:r w:rsidR="00F101B1" w:rsidRPr="00F101B1">
              <w:rPr>
                <w:b/>
                <w:bCs/>
                <w:sz w:val="20"/>
                <w:szCs w:val="20"/>
              </w:rPr>
              <w:t>v platnom znení</w:t>
            </w:r>
          </w:p>
        </w:tc>
        <w:tc>
          <w:tcPr>
            <w:tcW w:w="9917" w:type="dxa"/>
            <w:gridSpan w:val="5"/>
          </w:tcPr>
          <w:p w14:paraId="40B796DA" w14:textId="77777777" w:rsidR="001B7551" w:rsidRPr="00343B04" w:rsidRDefault="001B7551" w:rsidP="00343B04">
            <w:pPr>
              <w:pStyle w:val="Nadpis4"/>
              <w:widowControl/>
              <w:shd w:val="clear" w:color="auto" w:fill="FFFFFF" w:themeFill="background1"/>
              <w:contextualSpacing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Právne predpisy Slovenskej republiky</w:t>
            </w:r>
          </w:p>
          <w:p w14:paraId="5E22F52C" w14:textId="77777777" w:rsidR="0013370F" w:rsidRPr="00343B04" w:rsidRDefault="0013370F" w:rsidP="00343B04">
            <w:pPr>
              <w:shd w:val="clear" w:color="auto" w:fill="FFFFFF" w:themeFill="background1"/>
              <w:contextualSpacing/>
              <w:rPr>
                <w:sz w:val="20"/>
                <w:szCs w:val="20"/>
              </w:rPr>
            </w:pPr>
          </w:p>
          <w:p w14:paraId="14981462" w14:textId="77777777" w:rsidR="001476EE" w:rsidRDefault="006A136D" w:rsidP="001476EE">
            <w:pPr>
              <w:pStyle w:val="Hlavika"/>
              <w:widowControl/>
              <w:numPr>
                <w:ilvl w:val="0"/>
                <w:numId w:val="1"/>
              </w:numPr>
              <w:tabs>
                <w:tab w:val="clear" w:pos="360"/>
                <w:tab w:val="left" w:pos="709"/>
              </w:tabs>
              <w:ind w:left="245" w:hanging="245"/>
              <w:contextualSpacing/>
              <w:jc w:val="both"/>
              <w:rPr>
                <w:sz w:val="20"/>
                <w:szCs w:val="20"/>
              </w:rPr>
            </w:pPr>
            <w:r w:rsidRPr="00204C1F">
              <w:rPr>
                <w:sz w:val="20"/>
                <w:szCs w:val="20"/>
              </w:rPr>
              <w:t>zákon č. 272/2015 Z. z. o registri právnických osôb, podnikateľov a orgánov verejnej moci a o zmene a doplnení niektorých zákonov v znení neskorších predpisov</w:t>
            </w:r>
            <w:r>
              <w:rPr>
                <w:sz w:val="20"/>
                <w:szCs w:val="20"/>
              </w:rPr>
              <w:t xml:space="preserve"> (ďalej len „zákon č. 272/2015 Z. z.“),</w:t>
            </w:r>
          </w:p>
          <w:p w14:paraId="7E2479DD" w14:textId="45E245AF" w:rsidR="00DE3193" w:rsidRPr="001476EE" w:rsidRDefault="00BD6012" w:rsidP="001476EE">
            <w:pPr>
              <w:pStyle w:val="Hlavika"/>
              <w:widowControl/>
              <w:numPr>
                <w:ilvl w:val="0"/>
                <w:numId w:val="1"/>
              </w:numPr>
              <w:tabs>
                <w:tab w:val="clear" w:pos="360"/>
                <w:tab w:val="left" w:pos="709"/>
              </w:tabs>
              <w:ind w:left="245" w:hanging="245"/>
              <w:contextualSpacing/>
              <w:jc w:val="both"/>
              <w:rPr>
                <w:sz w:val="20"/>
                <w:szCs w:val="20"/>
              </w:rPr>
            </w:pPr>
            <w:r w:rsidRPr="001476EE">
              <w:rPr>
                <w:sz w:val="20"/>
                <w:szCs w:val="20"/>
              </w:rPr>
              <w:t xml:space="preserve">návrh zákona, ktorým sa mení a dopĺňa zákon č. 272/2015 Z. z. o registri právnických osôb, podnikateľov a orgánov verejnej moci a o zmene a doplnení niektorých zákonov v znení neskorších predpisov </w:t>
            </w:r>
            <w:r w:rsidR="00DE3193" w:rsidRPr="001476EE">
              <w:rPr>
                <w:sz w:val="20"/>
                <w:szCs w:val="20"/>
              </w:rPr>
              <w:t>(ďalej len „návrh zákona“)</w:t>
            </w:r>
            <w:r w:rsidR="006A136D" w:rsidRPr="001476EE">
              <w:rPr>
                <w:sz w:val="20"/>
                <w:szCs w:val="20"/>
              </w:rPr>
              <w:t>.</w:t>
            </w:r>
          </w:p>
        </w:tc>
      </w:tr>
      <w:tr w:rsidR="001B7551" w:rsidRPr="00343B04" w14:paraId="19B75AF6" w14:textId="77777777" w:rsidTr="001C4159">
        <w:tc>
          <w:tcPr>
            <w:tcW w:w="752" w:type="dxa"/>
          </w:tcPr>
          <w:p w14:paraId="11805D44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486C4C9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13806A5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D63C78D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7EB3D5F" w14:textId="77777777" w:rsidR="001B7551" w:rsidRPr="00343B04" w:rsidRDefault="001B7551" w:rsidP="00343B04">
            <w:pPr>
              <w:pStyle w:val="Zarkazkladnhotextu"/>
              <w:widowControl/>
              <w:shd w:val="clear" w:color="auto" w:fill="FFFFFF" w:themeFill="background1"/>
              <w:spacing w:after="0"/>
              <w:ind w:left="0"/>
              <w:contextualSpacing/>
              <w:jc w:val="center"/>
            </w:pPr>
            <w:r w:rsidRPr="00343B04">
              <w:t>5</w:t>
            </w:r>
          </w:p>
        </w:tc>
        <w:tc>
          <w:tcPr>
            <w:tcW w:w="6520" w:type="dxa"/>
          </w:tcPr>
          <w:p w14:paraId="369E347D" w14:textId="77777777" w:rsidR="001B7551" w:rsidRPr="00343B04" w:rsidRDefault="001B7551" w:rsidP="00343B04">
            <w:pPr>
              <w:pStyle w:val="Zarkazkladnhotextu"/>
              <w:widowControl/>
              <w:shd w:val="clear" w:color="auto" w:fill="FFFFFF" w:themeFill="background1"/>
              <w:spacing w:after="0"/>
              <w:ind w:left="0"/>
              <w:contextualSpacing/>
              <w:jc w:val="center"/>
            </w:pPr>
            <w:r w:rsidRPr="00343B04">
              <w:t>6</w:t>
            </w:r>
          </w:p>
        </w:tc>
        <w:tc>
          <w:tcPr>
            <w:tcW w:w="567" w:type="dxa"/>
          </w:tcPr>
          <w:p w14:paraId="6E50641E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</w:tcPr>
          <w:p w14:paraId="1D1DC265" w14:textId="77777777" w:rsidR="001B7551" w:rsidRPr="00343B04" w:rsidRDefault="001B7551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8</w:t>
            </w:r>
          </w:p>
        </w:tc>
      </w:tr>
      <w:tr w:rsidR="001B7551" w:rsidRPr="00343B04" w14:paraId="742CC11A" w14:textId="77777777" w:rsidTr="001C4159">
        <w:tc>
          <w:tcPr>
            <w:tcW w:w="752" w:type="dxa"/>
          </w:tcPr>
          <w:p w14:paraId="2A2940AC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</w:pPr>
            <w:r w:rsidRPr="00343B04">
              <w:t>Článok</w:t>
            </w:r>
          </w:p>
          <w:p w14:paraId="0BA2CDE5" w14:textId="77777777" w:rsidR="001B7551" w:rsidRPr="00343B04" w:rsidRDefault="00333042" w:rsidP="00343B04">
            <w:pPr>
              <w:pStyle w:val="Normlny0"/>
              <w:widowControl/>
              <w:shd w:val="clear" w:color="auto" w:fill="FFFFFF" w:themeFill="background1"/>
              <w:contextualSpacing/>
            </w:pPr>
            <w:r w:rsidRPr="00343B04">
              <w:t>(Č, O, B, V, P)</w:t>
            </w:r>
          </w:p>
        </w:tc>
        <w:tc>
          <w:tcPr>
            <w:tcW w:w="4111" w:type="dxa"/>
          </w:tcPr>
          <w:p w14:paraId="7FC181A3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Text</w:t>
            </w:r>
          </w:p>
        </w:tc>
        <w:tc>
          <w:tcPr>
            <w:tcW w:w="709" w:type="dxa"/>
          </w:tcPr>
          <w:p w14:paraId="3D9733F0" w14:textId="7E7ED0F6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Spôsob transp</w:t>
            </w:r>
            <w:r w:rsidR="005704B7">
              <w:t>ozície</w:t>
            </w:r>
          </w:p>
          <w:p w14:paraId="6CB0636A" w14:textId="62237BA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</w:p>
        </w:tc>
        <w:tc>
          <w:tcPr>
            <w:tcW w:w="850" w:type="dxa"/>
          </w:tcPr>
          <w:p w14:paraId="45E2C28F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Číslo</w:t>
            </w:r>
          </w:p>
        </w:tc>
        <w:tc>
          <w:tcPr>
            <w:tcW w:w="709" w:type="dxa"/>
          </w:tcPr>
          <w:p w14:paraId="274EB4E7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Článok (Č, §, O, V, P)</w:t>
            </w:r>
          </w:p>
        </w:tc>
        <w:tc>
          <w:tcPr>
            <w:tcW w:w="6520" w:type="dxa"/>
          </w:tcPr>
          <w:p w14:paraId="117ECA4D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Text</w:t>
            </w:r>
          </w:p>
        </w:tc>
        <w:tc>
          <w:tcPr>
            <w:tcW w:w="567" w:type="dxa"/>
          </w:tcPr>
          <w:p w14:paraId="4823B148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ind w:left="-41" w:right="-38"/>
              <w:contextualSpacing/>
              <w:jc w:val="center"/>
            </w:pPr>
            <w:r w:rsidRPr="00343B04">
              <w:t>Zhoda</w:t>
            </w:r>
          </w:p>
        </w:tc>
        <w:tc>
          <w:tcPr>
            <w:tcW w:w="1271" w:type="dxa"/>
          </w:tcPr>
          <w:p w14:paraId="1C54F1AC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  <w:jc w:val="center"/>
            </w:pPr>
            <w:r w:rsidRPr="00343B04">
              <w:t>Poznámky</w:t>
            </w:r>
          </w:p>
          <w:p w14:paraId="01C81726" w14:textId="77777777" w:rsidR="001B7551" w:rsidRPr="00343B04" w:rsidRDefault="001B7551" w:rsidP="00343B04">
            <w:pPr>
              <w:pStyle w:val="Normlny0"/>
              <w:widowControl/>
              <w:shd w:val="clear" w:color="auto" w:fill="FFFFFF" w:themeFill="background1"/>
              <w:contextualSpacing/>
            </w:pPr>
          </w:p>
        </w:tc>
      </w:tr>
      <w:tr w:rsidR="00333042" w:rsidRPr="00343B04" w14:paraId="6F1A4FD0" w14:textId="77777777" w:rsidTr="001C4159">
        <w:tc>
          <w:tcPr>
            <w:tcW w:w="752" w:type="dxa"/>
          </w:tcPr>
          <w:p w14:paraId="73F8FA68" w14:textId="77777777" w:rsidR="00333042" w:rsidRPr="00343B04" w:rsidRDefault="00BD6012" w:rsidP="00343B0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Č: 30</w:t>
            </w:r>
          </w:p>
          <w:p w14:paraId="31AB5135" w14:textId="77777777" w:rsidR="00BD6012" w:rsidRPr="00343B04" w:rsidRDefault="00BD6012" w:rsidP="00343B0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O: 2</w:t>
            </w:r>
          </w:p>
        </w:tc>
        <w:tc>
          <w:tcPr>
            <w:tcW w:w="4111" w:type="dxa"/>
          </w:tcPr>
          <w:p w14:paraId="1457279D" w14:textId="77777777" w:rsidR="00333042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both"/>
            </w:pPr>
            <w:r w:rsidRPr="00343B04">
              <w:t>2. Členské štáty vyžadujú, aby sa príslušné orgány a FIU mohli oboznamovať s informáciami uvedenými v odseku 1 v dostatočnom časovom predstihu.</w:t>
            </w:r>
          </w:p>
        </w:tc>
        <w:tc>
          <w:tcPr>
            <w:tcW w:w="709" w:type="dxa"/>
          </w:tcPr>
          <w:p w14:paraId="6E975ED7" w14:textId="77777777" w:rsidR="00333042" w:rsidRPr="00343B04" w:rsidRDefault="00F22059" w:rsidP="00343B04">
            <w:pPr>
              <w:widowControl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401E4FC6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>
              <w:t>zákon č. 272/2015 Z. z.</w:t>
            </w:r>
          </w:p>
          <w:p w14:paraId="65E72789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>
              <w:t xml:space="preserve">+ </w:t>
            </w:r>
          </w:p>
          <w:p w14:paraId="6FE48CFB" w14:textId="77777777" w:rsidR="00333042" w:rsidRPr="00343B04" w:rsidRDefault="00F8230C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návrh zákona</w:t>
            </w:r>
          </w:p>
        </w:tc>
        <w:tc>
          <w:tcPr>
            <w:tcW w:w="709" w:type="dxa"/>
          </w:tcPr>
          <w:p w14:paraId="2E016DB3" w14:textId="77777777" w:rsidR="00AF7DD5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§ 7a</w:t>
            </w:r>
          </w:p>
          <w:p w14:paraId="07DA30E4" w14:textId="77777777" w:rsidR="00F22059" w:rsidRPr="00343B04" w:rsidRDefault="00AF7DD5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 xml:space="preserve">O: </w:t>
            </w:r>
            <w:r w:rsidR="00021E9F" w:rsidRPr="00343B04">
              <w:t>2</w:t>
            </w:r>
          </w:p>
        </w:tc>
        <w:tc>
          <w:tcPr>
            <w:tcW w:w="6520" w:type="dxa"/>
          </w:tcPr>
          <w:p w14:paraId="18C87DBA" w14:textId="77777777" w:rsidR="00343B04" w:rsidRPr="00343B04" w:rsidRDefault="00343B04" w:rsidP="007C384A">
            <w:pPr>
              <w:shd w:val="clear" w:color="auto" w:fill="FFFFFF" w:themeFill="background1"/>
              <w:tabs>
                <w:tab w:val="left" w:pos="693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43B04">
              <w:rPr>
                <w:w w:val="110"/>
                <w:sz w:val="20"/>
                <w:szCs w:val="20"/>
              </w:rPr>
              <w:t>2) Štatistický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úrad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poskytuje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údaje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b/>
                <w:spacing w:val="1"/>
                <w:w w:val="105"/>
                <w:sz w:val="20"/>
                <w:szCs w:val="20"/>
              </w:rPr>
              <w:t xml:space="preserve">zo záznamu </w:t>
            </w:r>
            <w:r w:rsidRPr="00343B04">
              <w:rPr>
                <w:b/>
                <w:w w:val="105"/>
                <w:sz w:val="20"/>
                <w:szCs w:val="20"/>
              </w:rPr>
              <w:t>o konečnom</w:t>
            </w:r>
            <w:r w:rsidRPr="00343B0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b/>
                <w:w w:val="105"/>
                <w:sz w:val="20"/>
                <w:szCs w:val="20"/>
              </w:rPr>
              <w:t>užívateľovi</w:t>
            </w:r>
            <w:r w:rsidRPr="00343B04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b/>
                <w:w w:val="105"/>
                <w:sz w:val="20"/>
                <w:szCs w:val="20"/>
              </w:rPr>
              <w:t>výhod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v elektronickej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podobe</w:t>
            </w:r>
            <w:r w:rsidRPr="00343B0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b/>
                <w:w w:val="105"/>
                <w:sz w:val="20"/>
                <w:szCs w:val="20"/>
              </w:rPr>
              <w:t>vzdialeným</w:t>
            </w:r>
            <w:r w:rsidRPr="00343B04">
              <w:rPr>
                <w:w w:val="105"/>
                <w:sz w:val="20"/>
                <w:szCs w:val="20"/>
              </w:rPr>
              <w:t>,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nepretržitým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a</w:t>
            </w:r>
            <w:r w:rsidRPr="00343B04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priamym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prístupom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na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účely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plnenia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úloh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podľa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osobitných</w:t>
            </w:r>
            <w:r w:rsidRPr="00343B04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w w:val="105"/>
                <w:sz w:val="20"/>
                <w:szCs w:val="20"/>
              </w:rPr>
              <w:t>predpisov</w:t>
            </w:r>
            <w:r w:rsidRPr="00343B04">
              <w:rPr>
                <w:w w:val="105"/>
                <w:position w:val="5"/>
                <w:sz w:val="20"/>
                <w:szCs w:val="20"/>
              </w:rPr>
              <w:t>9a</w:t>
            </w:r>
            <w:r w:rsidRPr="00343B04">
              <w:rPr>
                <w:w w:val="105"/>
                <w:sz w:val="20"/>
                <w:szCs w:val="20"/>
              </w:rPr>
              <w:t>)</w:t>
            </w:r>
          </w:p>
          <w:p w14:paraId="5E8C0FAD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službe</w:t>
            </w:r>
            <w:r w:rsidRPr="00343B04">
              <w:rPr>
                <w:rFonts w:ascii="Times New Roman" w:hAnsi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finančnej</w:t>
            </w:r>
            <w:r w:rsidRPr="00343B04">
              <w:rPr>
                <w:rFonts w:ascii="Times New Roman" w:hAnsi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polície</w:t>
            </w:r>
            <w:r w:rsidRPr="00343B04">
              <w:rPr>
                <w:rFonts w:ascii="Times New Roman" w:hAnsi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Policajného</w:t>
            </w:r>
            <w:r w:rsidRPr="00343B04">
              <w:rPr>
                <w:rFonts w:ascii="Times New Roman" w:hAnsi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zboru</w:t>
            </w:r>
            <w:r w:rsidR="00D03B95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="00D03B95" w:rsidRPr="00D03B95">
              <w:rPr>
                <w:rFonts w:ascii="Times New Roman" w:hAnsi="Times New Roman"/>
                <w:b/>
                <w:w w:val="110"/>
                <w:sz w:val="20"/>
                <w:szCs w:val="20"/>
              </w:rPr>
              <w:t>a službe kriminálnej polície Policajného zboru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,</w:t>
            </w:r>
          </w:p>
          <w:p w14:paraId="3E424826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Ministerstvu</w:t>
            </w:r>
            <w:r w:rsidRPr="00343B04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financií</w:t>
            </w:r>
            <w:r w:rsidRPr="00343B04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Slovenskej</w:t>
            </w:r>
            <w:r w:rsidRPr="00343B04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republiky,</w:t>
            </w:r>
          </w:p>
          <w:p w14:paraId="0FD6ADA7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Národnej</w:t>
            </w:r>
            <w:r w:rsidRPr="00343B04">
              <w:rPr>
                <w:rFonts w:ascii="Times New Roman" w:hAnsi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banke</w:t>
            </w:r>
            <w:r w:rsidRPr="00343B04">
              <w:rPr>
                <w:rFonts w:ascii="Times New Roman" w:hAnsi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Slovenska,</w:t>
            </w:r>
          </w:p>
          <w:p w14:paraId="39D09CF6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Národnému</w:t>
            </w:r>
            <w:r w:rsidRPr="00343B04"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bezpečnostnému</w:t>
            </w:r>
            <w:r w:rsidRPr="00343B04">
              <w:rPr>
                <w:rFonts w:ascii="Times New Roman" w:hAnsi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úradu,</w:t>
            </w:r>
          </w:p>
          <w:p w14:paraId="1322532D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Protimonopolnému</w:t>
            </w:r>
            <w:r w:rsidRPr="00343B04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úradu</w:t>
            </w:r>
            <w:r w:rsidRPr="00343B04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Slovenskej</w:t>
            </w:r>
            <w:r w:rsidRPr="00343B04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republiky,</w:t>
            </w:r>
          </w:p>
          <w:p w14:paraId="26DD959A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5"/>
                <w:sz w:val="20"/>
                <w:szCs w:val="20"/>
              </w:rPr>
              <w:t>súdu,</w:t>
            </w:r>
          </w:p>
          <w:p w14:paraId="1DC10DE3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správcovi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dane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a</w:t>
            </w:r>
            <w:r w:rsidRPr="00343B04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orgánom</w:t>
            </w:r>
            <w:r w:rsidRPr="00343B04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štátnej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správy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v</w:t>
            </w:r>
            <w:r w:rsidRPr="00343B04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oblasti</w:t>
            </w:r>
            <w:r w:rsidRPr="00343B04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daní,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poplatkov</w:t>
            </w:r>
            <w:r w:rsidRPr="00343B04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a</w:t>
            </w:r>
            <w:r w:rsidRPr="00343B04">
              <w:rPr>
                <w:rFonts w:ascii="Times New Roman" w:hAnsi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colníctva,</w:t>
            </w:r>
          </w:p>
          <w:p w14:paraId="123E883F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orgánom</w:t>
            </w:r>
            <w:r w:rsidRPr="00343B04">
              <w:rPr>
                <w:rFonts w:ascii="Times New Roman" w:hAnsi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činným</w:t>
            </w:r>
            <w:r w:rsidRPr="00343B04">
              <w:rPr>
                <w:rFonts w:ascii="Times New Roman" w:hAnsi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v</w:t>
            </w:r>
            <w:r w:rsidRPr="00343B04">
              <w:rPr>
                <w:rFonts w:ascii="Times New Roman" w:hAnsi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trestnom</w:t>
            </w:r>
            <w:r w:rsidRPr="00343B04">
              <w:rPr>
                <w:rFonts w:ascii="Times New Roman" w:hAnsi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konaní,</w:t>
            </w:r>
          </w:p>
          <w:p w14:paraId="03FD9702" w14:textId="77777777" w:rsidR="00343B04" w:rsidRPr="00343B04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orgánu</w:t>
            </w:r>
            <w:r w:rsidRPr="00343B04">
              <w:rPr>
                <w:rFonts w:ascii="Times New Roman" w:hAnsi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dozoru</w:t>
            </w:r>
            <w:r w:rsidRPr="00343B04">
              <w:rPr>
                <w:rFonts w:ascii="Times New Roman" w:hAnsi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podľa</w:t>
            </w:r>
            <w:r w:rsidRPr="00343B04">
              <w:rPr>
                <w:rFonts w:ascii="Times New Roman" w:hAnsi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osobitného</w:t>
            </w:r>
            <w:r w:rsidRPr="00343B04">
              <w:rPr>
                <w:rFonts w:ascii="Times New Roman" w:hAnsi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predpisu,</w:t>
            </w:r>
            <w:r w:rsidRPr="00343B04">
              <w:rPr>
                <w:rFonts w:ascii="Times New Roman" w:hAnsi="Times New Roman"/>
                <w:w w:val="105"/>
                <w:position w:val="5"/>
                <w:sz w:val="20"/>
                <w:szCs w:val="20"/>
              </w:rPr>
              <w:t>9b</w:t>
            </w:r>
            <w:r w:rsidRPr="00343B04">
              <w:rPr>
                <w:rFonts w:ascii="Times New Roman" w:hAnsi="Times New Roman"/>
                <w:w w:val="105"/>
                <w:sz w:val="20"/>
                <w:szCs w:val="20"/>
              </w:rPr>
              <w:t>)</w:t>
            </w:r>
          </w:p>
          <w:p w14:paraId="3296CB18" w14:textId="1F14154B" w:rsidR="00343B04" w:rsidRPr="007C384A" w:rsidRDefault="00343B04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poskytovateľovi</w:t>
            </w:r>
            <w:r w:rsidRPr="00343B04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nenávratného</w:t>
            </w:r>
            <w:r w:rsidRPr="00343B04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finančného</w:t>
            </w:r>
            <w:r w:rsidRPr="00343B04">
              <w:rPr>
                <w:rFonts w:ascii="Times New Roman" w:hAnsi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príspevku</w:t>
            </w:r>
            <w:r w:rsidRPr="00343B04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podľa</w:t>
            </w:r>
            <w:r w:rsidRPr="00343B04">
              <w:rPr>
                <w:rFonts w:ascii="Times New Roman" w:hAnsi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osobitného</w:t>
            </w:r>
            <w:r w:rsidRPr="00343B04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predpisu,</w:t>
            </w:r>
            <w:r w:rsidRPr="007C384A">
              <w:rPr>
                <w:rFonts w:ascii="Times New Roman" w:hAnsi="Times New Roman"/>
                <w:w w:val="110"/>
                <w:position w:val="5"/>
                <w:sz w:val="24"/>
                <w:szCs w:val="20"/>
                <w:vertAlign w:val="superscript"/>
              </w:rPr>
              <w:t>9c</w:t>
            </w:r>
            <w:r w:rsidRPr="00343B04"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60819B9C" w14:textId="2AD18E30" w:rsidR="007C384A" w:rsidRPr="007C384A" w:rsidRDefault="007C384A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384A">
              <w:rPr>
                <w:rFonts w:ascii="Times New Roman" w:hAnsi="Times New Roman"/>
                <w:b/>
                <w:sz w:val="20"/>
                <w:szCs w:val="20"/>
              </w:rPr>
              <w:t>národnej implementačnej a koordinačnej autorite, vykonávateľovi alebo sprostredkovateľovi pri vykonávaní mechanizmu na podporu obnovy a odolnosti podľa osobitného predpisu.</w:t>
            </w:r>
            <w:r w:rsidRPr="007C384A">
              <w:rPr>
                <w:rFonts w:ascii="Times New Roman" w:hAnsi="Times New Roman"/>
                <w:b/>
                <w:sz w:val="24"/>
                <w:szCs w:val="20"/>
                <w:vertAlign w:val="superscript"/>
              </w:rPr>
              <w:t>9ca</w:t>
            </w:r>
            <w:r w:rsidRPr="007C384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1436ADB9" w14:textId="0AE68707" w:rsidR="00333042" w:rsidRPr="007C384A" w:rsidRDefault="007C384A" w:rsidP="007C384A">
            <w:pPr>
              <w:pStyle w:val="Odsekzoznamu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3E73">
              <w:rPr>
                <w:rFonts w:ascii="Times New Roman" w:hAnsi="Times New Roman"/>
                <w:b/>
                <w:sz w:val="20"/>
                <w:szCs w:val="20"/>
              </w:rPr>
              <w:t>spravodajskej službe podľa osobitného predpisu</w:t>
            </w:r>
            <w:r w:rsidR="00343B04" w:rsidRPr="00633E73">
              <w:rPr>
                <w:rFonts w:ascii="Times New Roman" w:hAnsi="Times New Roman"/>
                <w:b/>
                <w:sz w:val="20"/>
                <w:szCs w:val="20"/>
              </w:rPr>
              <w:t>.9d)</w:t>
            </w:r>
          </w:p>
          <w:p w14:paraId="10B442D9" w14:textId="77777777" w:rsidR="00491BFD" w:rsidRPr="00491BFD" w:rsidRDefault="00491BFD" w:rsidP="00491BFD">
            <w:pPr>
              <w:pStyle w:val="Odsekzoznamu"/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1F7C42B4" w14:textId="314783DB" w:rsidR="00491BFD" w:rsidRPr="00491BFD" w:rsidRDefault="00491BFD" w:rsidP="00491BFD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</w:rPr>
              <w:t>Poznámky pod čiarou k odkazom 9a</w:t>
            </w:r>
            <w:r w:rsidR="007C384A">
              <w:rPr>
                <w:sz w:val="20"/>
                <w:szCs w:val="20"/>
              </w:rPr>
              <w:t xml:space="preserve"> až 9d</w:t>
            </w:r>
            <w:r w:rsidRPr="00491BFD">
              <w:rPr>
                <w:sz w:val="20"/>
                <w:szCs w:val="20"/>
              </w:rPr>
              <w:t xml:space="preserve"> znejú:</w:t>
            </w:r>
          </w:p>
          <w:p w14:paraId="7D17B45A" w14:textId="77777777" w:rsidR="00491BFD" w:rsidRPr="00491BFD" w:rsidRDefault="00491BFD" w:rsidP="00491BFD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  <w:vertAlign w:val="superscript"/>
              </w:rPr>
              <w:t>9a</w:t>
            </w:r>
            <w:r w:rsidRPr="00491BFD">
              <w:rPr>
                <w:sz w:val="20"/>
                <w:szCs w:val="20"/>
              </w:rPr>
              <w:t>) Napríklad  zákon č. 297/2008  Z. z. o ochrane pred legalizáciou príjmov z trestnej činnosti a o ochrane pred financovaním terorizmu a o zmene a doplnení niektorých zákonov v znení neskorších predpisov,   zákon č. 563/2009 Z. z. o správe daní (daňový poriadok) a o zmene a doplnení niektorých zákonov v znení neskorších predpisov, zákon č. 442/2012</w:t>
            </w:r>
          </w:p>
          <w:p w14:paraId="116ECD0B" w14:textId="77777777" w:rsidR="00491BFD" w:rsidRPr="00491BFD" w:rsidRDefault="00491BFD" w:rsidP="00491BFD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</w:rPr>
              <w:t xml:space="preserve">Z. z. o medzinárodnej pomoci a spolupráci pri správe daní v znení neskorších predpisov, zákon č. 357/2015 Z. z. o finančnej kontrole a audite a o zmene a </w:t>
            </w:r>
            <w:r w:rsidRPr="00491BFD">
              <w:rPr>
                <w:sz w:val="20"/>
                <w:szCs w:val="20"/>
              </w:rPr>
              <w:lastRenderedPageBreak/>
              <w:t>doplnení niektorých zákonov.</w:t>
            </w:r>
          </w:p>
          <w:p w14:paraId="62BCEBA5" w14:textId="77777777" w:rsidR="00491BFD" w:rsidRPr="00491BFD" w:rsidRDefault="00491BFD" w:rsidP="00491BFD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  <w:vertAlign w:val="superscript"/>
              </w:rPr>
              <w:t>9b</w:t>
            </w:r>
            <w:r w:rsidRPr="00491BFD">
              <w:rPr>
                <w:sz w:val="20"/>
                <w:szCs w:val="20"/>
              </w:rPr>
              <w:t>) § 11 ods. 1 zákona č. 171/2005 Z. z. o hazardných hrách a o zmene a doplnení niektorých zákonov.</w:t>
            </w:r>
          </w:p>
          <w:p w14:paraId="04A9122E" w14:textId="1C8E7326" w:rsidR="00491BFD" w:rsidRDefault="00491BFD" w:rsidP="00491BFD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  <w:vertAlign w:val="superscript"/>
              </w:rPr>
              <w:t>9c</w:t>
            </w:r>
            <w:r w:rsidRPr="00491BFD">
              <w:rPr>
                <w:sz w:val="20"/>
                <w:szCs w:val="20"/>
              </w:rPr>
              <w:t>) Zákon č. 292/2014 Z. z. o príspevku poskytovanom z európskych štrukturálnych a investičných fondov a o zmene a doplnení niektorých zákonov v znení neskorších predpisov.</w:t>
            </w:r>
          </w:p>
          <w:p w14:paraId="002D1045" w14:textId="77777777" w:rsidR="007C384A" w:rsidRPr="007C384A" w:rsidRDefault="007C384A" w:rsidP="007C384A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7C384A">
              <w:rPr>
                <w:sz w:val="20"/>
                <w:szCs w:val="20"/>
                <w:vertAlign w:val="superscript"/>
              </w:rPr>
              <w:t>9ca</w:t>
            </w:r>
            <w:r w:rsidRPr="007C384A">
              <w:rPr>
                <w:sz w:val="20"/>
                <w:szCs w:val="20"/>
              </w:rPr>
              <w:t xml:space="preserve">) Čl. 22 ods. 2 písm. d) bod i) a iii) nariadenia Európskeho parlamentu a Rady (EÚ) 2021/241 z 12. februára 2021, ktorým sa zriaďuje Mechanizmus na podporu obnovy a odolnosti (Ú. v. EÚ L 57, 18.2.2021). </w:t>
            </w:r>
          </w:p>
          <w:p w14:paraId="1FE426F6" w14:textId="5BD5C722" w:rsidR="007C384A" w:rsidRPr="00491BFD" w:rsidRDefault="007C384A" w:rsidP="007C384A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7C384A">
              <w:rPr>
                <w:sz w:val="20"/>
                <w:szCs w:val="20"/>
              </w:rPr>
              <w:t>§ 11 ods. 3 zákona č. 368/2021 Z. z. o mechanizme na podporu obnovy a odolnosti a o zmene a doplnení niektorých zákonov v znení neskorších predpisov.</w:t>
            </w:r>
          </w:p>
          <w:p w14:paraId="19677A4A" w14:textId="572E710D" w:rsidR="007C384A" w:rsidRPr="007C384A" w:rsidRDefault="00491BFD" w:rsidP="007C384A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491BFD">
              <w:rPr>
                <w:sz w:val="20"/>
                <w:szCs w:val="20"/>
                <w:vertAlign w:val="superscript"/>
              </w:rPr>
              <w:t>9d</w:t>
            </w:r>
            <w:r w:rsidRPr="00491BFD">
              <w:rPr>
                <w:sz w:val="20"/>
                <w:szCs w:val="20"/>
              </w:rPr>
              <w:t xml:space="preserve">) </w:t>
            </w:r>
            <w:r w:rsidR="007C384A">
              <w:t xml:space="preserve"> </w:t>
            </w:r>
            <w:r w:rsidR="007C384A" w:rsidRPr="007C384A">
              <w:rPr>
                <w:sz w:val="20"/>
                <w:szCs w:val="20"/>
              </w:rPr>
              <w:t>Zákon Národnej rady Slovenskej republiky č. 46/1993 Z. z. o Slovenskej informačnej službe v znení neskorších predpisov.</w:t>
            </w:r>
          </w:p>
          <w:p w14:paraId="5DFA275E" w14:textId="31CB1697" w:rsidR="00491BFD" w:rsidRPr="00491BFD" w:rsidRDefault="007C384A" w:rsidP="007C384A">
            <w:pPr>
              <w:shd w:val="clear" w:color="auto" w:fill="FFFFFF" w:themeFill="background1"/>
              <w:tabs>
                <w:tab w:val="left" w:pos="389"/>
              </w:tabs>
              <w:autoSpaceDE w:val="0"/>
              <w:autoSpaceDN w:val="0"/>
              <w:rPr>
                <w:sz w:val="20"/>
                <w:szCs w:val="20"/>
              </w:rPr>
            </w:pPr>
            <w:r w:rsidRPr="007C384A">
              <w:rPr>
                <w:sz w:val="20"/>
                <w:szCs w:val="20"/>
              </w:rPr>
              <w:t>Zákon č. 500/2022 Z. z. o Vojenskom spravodajstve.“.</w:t>
            </w:r>
          </w:p>
        </w:tc>
        <w:tc>
          <w:tcPr>
            <w:tcW w:w="567" w:type="dxa"/>
          </w:tcPr>
          <w:p w14:paraId="60C51E35" w14:textId="77777777" w:rsidR="00333042" w:rsidRPr="00343B04" w:rsidRDefault="00501857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271" w:type="dxa"/>
          </w:tcPr>
          <w:p w14:paraId="0524C806" w14:textId="77777777" w:rsidR="00333042" w:rsidRPr="00343B04" w:rsidRDefault="00333042" w:rsidP="00343B04">
            <w:pPr>
              <w:pStyle w:val="Nadpis1"/>
              <w:widowControl/>
              <w:shd w:val="clear" w:color="auto" w:fill="FFFFFF" w:themeFill="background1"/>
              <w:contextualSpacing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9288ACD" w14:textId="77777777" w:rsidR="00453C58" w:rsidRPr="00DF0C34" w:rsidRDefault="00453C58">
      <w:pPr>
        <w:rPr>
          <w:sz w:val="2"/>
          <w:szCs w:val="2"/>
        </w:rPr>
      </w:pPr>
      <w:bookmarkStart w:id="0" w:name="_GoBack"/>
      <w:bookmarkEnd w:id="0"/>
    </w:p>
    <w:tbl>
      <w:tblPr>
        <w:tblpPr w:leftFromText="141" w:rightFromText="141" w:vertAnchor="text" w:tblpX="43" w:tblpY="1"/>
        <w:tblOverlap w:val="never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52"/>
        <w:gridCol w:w="4111"/>
        <w:gridCol w:w="709"/>
        <w:gridCol w:w="850"/>
        <w:gridCol w:w="709"/>
        <w:gridCol w:w="6520"/>
        <w:gridCol w:w="567"/>
        <w:gridCol w:w="1271"/>
      </w:tblGrid>
      <w:tr w:rsidR="00BD6012" w:rsidRPr="00343B04" w14:paraId="3AB46C44" w14:textId="77777777" w:rsidTr="001C4159">
        <w:tc>
          <w:tcPr>
            <w:tcW w:w="752" w:type="dxa"/>
          </w:tcPr>
          <w:p w14:paraId="5F74E342" w14:textId="77777777" w:rsidR="00BD6012" w:rsidRPr="00343B04" w:rsidRDefault="00BD6012" w:rsidP="00343B0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Č: 30</w:t>
            </w:r>
          </w:p>
          <w:p w14:paraId="223F4F31" w14:textId="77777777" w:rsidR="00BD6012" w:rsidRPr="00343B04" w:rsidRDefault="00BD6012" w:rsidP="00343B0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O:3</w:t>
            </w:r>
          </w:p>
          <w:p w14:paraId="71CDDA12" w14:textId="77777777" w:rsidR="00021E9F" w:rsidRPr="00343B04" w:rsidRDefault="00021E9F" w:rsidP="00343B0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V: 1</w:t>
            </w:r>
          </w:p>
        </w:tc>
        <w:tc>
          <w:tcPr>
            <w:tcW w:w="4111" w:type="dxa"/>
          </w:tcPr>
          <w:p w14:paraId="0133EB7D" w14:textId="77777777" w:rsidR="00BD6012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both"/>
            </w:pPr>
            <w:r w:rsidRPr="00343B04">
              <w:t>3. Členské štáty zabezpečia, aby sa informácie uvedené v odseku 1 uchovávali v niektorom z centrálnych registrov každého členského štátu, napríklad v obchodnom registri, registri spoločností podľa článku 3 smernice Európskeho parlamentu a Rady 2009/101/ES ( 17 ) alebo vo verejnom registri. Členské štáty oznámia Komisii charakteristické znaky uvedených vnútroštátnych mechanizmov. Informácie o vlastníckych právach, ktoré sa nachádzajú v uvedenej databáze, možno zhromažďovať v súlade s vnútroštátnymi systémami.</w:t>
            </w:r>
          </w:p>
        </w:tc>
        <w:tc>
          <w:tcPr>
            <w:tcW w:w="709" w:type="dxa"/>
          </w:tcPr>
          <w:p w14:paraId="3FDDD322" w14:textId="77777777" w:rsidR="00BD6012" w:rsidRPr="00343B04" w:rsidRDefault="00BD6012" w:rsidP="00343B04">
            <w:pPr>
              <w:widowControl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BF98616" w14:textId="77777777" w:rsidR="00BD6012" w:rsidRPr="00343B04" w:rsidRDefault="00BD6012" w:rsidP="00343B04">
            <w:pPr>
              <w:widowControl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t>návrh zákona</w:t>
            </w:r>
          </w:p>
        </w:tc>
        <w:tc>
          <w:tcPr>
            <w:tcW w:w="709" w:type="dxa"/>
          </w:tcPr>
          <w:p w14:paraId="6E99CAEA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§ 3</w:t>
            </w:r>
          </w:p>
          <w:p w14:paraId="1D0A5371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O: 1</w:t>
            </w:r>
          </w:p>
          <w:p w14:paraId="302FE733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P: d)</w:t>
            </w:r>
          </w:p>
          <w:p w14:paraId="38C55E81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06C73F94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24DEB389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0E9A4D0A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508A29EF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0BCBDC08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26C4E245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6A292FDB" w14:textId="5C15777F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491DC6A4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§ 3</w:t>
            </w:r>
          </w:p>
          <w:p w14:paraId="165A5281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O: 1</w:t>
            </w:r>
          </w:p>
          <w:p w14:paraId="221BD8EF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P: e)</w:t>
            </w:r>
          </w:p>
          <w:p w14:paraId="215E19E6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32145490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50FCE124" w14:textId="77777777" w:rsidR="00343B04" w:rsidRPr="00343B04" w:rsidRDefault="00343B04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10561133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§ 3</w:t>
            </w:r>
          </w:p>
          <w:p w14:paraId="50DE9350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O: 1</w:t>
            </w:r>
          </w:p>
          <w:p w14:paraId="05C65056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P: f)</w:t>
            </w:r>
          </w:p>
          <w:p w14:paraId="2404B8C7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64317359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5822FAFE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5103BE0F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§ 3</w:t>
            </w:r>
          </w:p>
          <w:p w14:paraId="179F32D9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>O: 1</w:t>
            </w:r>
          </w:p>
          <w:p w14:paraId="516E69CD" w14:textId="0E6BAB96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 w:rsidRPr="00343B04">
              <w:t xml:space="preserve">P: </w:t>
            </w:r>
            <w:r w:rsidR="001C4159">
              <w:t>t</w:t>
            </w:r>
            <w:r w:rsidRPr="00343B04">
              <w:t>)</w:t>
            </w:r>
          </w:p>
          <w:p w14:paraId="13DDB571" w14:textId="77777777" w:rsidR="00021E9F" w:rsidRPr="00343B04" w:rsidRDefault="00021E9F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3B866CF8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26C0F9BF" w14:textId="77777777" w:rsidR="001C4159" w:rsidRDefault="001C4159" w:rsidP="007A0F62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0DB55C41" w14:textId="77777777" w:rsidR="001C4159" w:rsidRDefault="001C4159" w:rsidP="007A0F62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6AA0E18E" w14:textId="77777777" w:rsidR="007A0F62" w:rsidRDefault="007A0F62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38F9EB03" w14:textId="77777777" w:rsidR="005A02C1" w:rsidRDefault="005A02C1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66B9B78A" w14:textId="77777777" w:rsidR="005A02C1" w:rsidRDefault="005A02C1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7DC32715" w14:textId="77777777" w:rsidR="005A02C1" w:rsidRDefault="005A02C1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42BF5DCB" w14:textId="77777777" w:rsidR="005A02C1" w:rsidRDefault="005A02C1" w:rsidP="00343B04">
            <w:pPr>
              <w:pStyle w:val="Normlny0"/>
              <w:widowControl/>
              <w:shd w:val="clear" w:color="auto" w:fill="FFFFFF" w:themeFill="background1"/>
              <w:jc w:val="center"/>
            </w:pPr>
          </w:p>
          <w:p w14:paraId="71316AD6" w14:textId="42FBD488" w:rsidR="00BD6012" w:rsidRPr="00343B04" w:rsidRDefault="00BD6012" w:rsidP="00D03B95">
            <w:pPr>
              <w:pStyle w:val="Normlny0"/>
              <w:widowControl/>
              <w:shd w:val="clear" w:color="auto" w:fill="FFFFFF" w:themeFill="background1"/>
              <w:jc w:val="center"/>
            </w:pPr>
          </w:p>
        </w:tc>
        <w:tc>
          <w:tcPr>
            <w:tcW w:w="6520" w:type="dxa"/>
          </w:tcPr>
          <w:p w14:paraId="7BBE16A8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center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lastRenderedPageBreak/>
              <w:t>„§ 3</w:t>
            </w:r>
          </w:p>
          <w:p w14:paraId="4678381F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center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Zapisované údaje</w:t>
            </w:r>
          </w:p>
          <w:p w14:paraId="0D0DD84E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(1) Do registra právnických osôb sa o slovenskej právnickej osobe zapisujú </w:t>
            </w:r>
          </w:p>
          <w:p w14:paraId="672FD00C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názov,</w:t>
            </w:r>
          </w:p>
          <w:p w14:paraId="304D408A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sídlo, </w:t>
            </w:r>
          </w:p>
          <w:p w14:paraId="1EB1C25B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číslo organizácie,</w:t>
            </w:r>
          </w:p>
          <w:p w14:paraId="2479D6D5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údaje o  spoločníkovi, členovi, akcionárovi, zakladateľovi, zriaďovateľovi alebo o inej osobe s obdobným postavením v rozsahu</w:t>
            </w:r>
          </w:p>
          <w:p w14:paraId="71335E93" w14:textId="77777777" w:rsidR="00C77867" w:rsidRPr="00C77867" w:rsidRDefault="00C77867" w:rsidP="00C7786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spacing w:before="100"/>
              <w:ind w:left="397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 xml:space="preserve">identifikačné údaje fyzickej osoby, alebo </w:t>
            </w:r>
          </w:p>
          <w:p w14:paraId="5AC02C41" w14:textId="77777777" w:rsidR="00C77867" w:rsidRPr="00C77867" w:rsidRDefault="00C77867" w:rsidP="00C77867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spacing w:before="100"/>
              <w:ind w:left="397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názov a sídlo, ak ide o právnickú osobu; ak ide o slovenskú právnickú osobu aj identifikačné číslo organizácie,</w:t>
            </w:r>
          </w:p>
          <w:p w14:paraId="196EA763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výška základného imania alebo iného obdobného majetku, ak ho právnická osoba vytvára, a rozsah jeho splatenia,</w:t>
            </w:r>
          </w:p>
          <w:p w14:paraId="45183869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hodnota podielu alebo vkladu osôb podľa písmena d) do základného imania alebo hodnota iného obdobného majetku právnickej osoby,</w:t>
            </w:r>
          </w:p>
          <w:p w14:paraId="4D38FDDE" w14:textId="1F386696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identifikačné údaje fyzickej osoby, ktorá je štatutárnym orgánom alebo členom štatutárneho orgánu, označenie funkcie, spôsob, akým koná v mene právnickej osoby, a deň vzniku 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funkcie a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deň skončenia funkcie,</w:t>
            </w:r>
          </w:p>
          <w:p w14:paraId="1E7012CE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názov, sídlo a identifikačné číslo organizácie právnickej osoby, ktorá je štatutárnym orgánom alebo členom štatutárneho orgánu, a spôsob, akým koná v mene právnickej osoby,</w:t>
            </w:r>
          </w:p>
          <w:p w14:paraId="4C8E248E" w14:textId="427DC6B4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zapísaná v obchodnom registri ako prokurista, spôsob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, akým koná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za právnickú osobu, d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eň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vzniku funkcie a  d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eň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skončenia funkcie,</w:t>
            </w:r>
          </w:p>
          <w:p w14:paraId="041D2C83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právna forma podľa základného číselníka,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1k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</w:t>
            </w:r>
          </w:p>
          <w:p w14:paraId="6E4157A8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predmet činnosti, predmet podnikania, účel zriadenia, alebo obdobné vymedzenie činnosti na základe osobitného predpisu,</w:t>
            </w:r>
          </w:p>
          <w:p w14:paraId="5BCCBF77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názov alebo iné rozlišujúce označenie prevádzkarne, ak je zriadená, a jej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lastRenderedPageBreak/>
              <w:t>adresa,</w:t>
            </w:r>
          </w:p>
          <w:p w14:paraId="58DA26C0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vzniku,</w:t>
            </w:r>
          </w:p>
          <w:p w14:paraId="440D6A84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zániku,</w:t>
            </w:r>
          </w:p>
          <w:p w14:paraId="51BC30D4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právny stav,</w:t>
            </w:r>
          </w:p>
          <w:p w14:paraId="3BAA1DEA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iné právne skutočnosti,</w:t>
            </w:r>
          </w:p>
          <w:p w14:paraId="084A7F3D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hlavnej ekonomickej činnosti pridelený podľa spoločnej štatistickej klasifikácie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ekonomických činností v Európskej únii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vertAlign w:val="superscript"/>
                <w:lang w:eastAsia="en-US"/>
              </w:rPr>
              <w:t>1l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) (ďalej len „štatistický kód hlavnej ekonomickej činnosti“)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,</w:t>
            </w:r>
          </w:p>
          <w:p w14:paraId="2D0009D9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inštitucionálneho sektora pridelený podľa Európskeho systému národných a regionálnych účtov,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1m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(ďalej len „štatistický kód inštitucionálneho sektora“),</w:t>
            </w:r>
          </w:p>
          <w:p w14:paraId="758696A1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označenie zdrojového registra, z ktorého boli údaje do registra právnických osôb poskytnuté, a označenie povinnej osoby, ktorá údaje poskytla,</w:t>
            </w:r>
          </w:p>
          <w:p w14:paraId="474DA5A9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>záznam o konečnom užívateľovi výhod právnickej osoby, ak je podmienkou vzniku právnickej osoby podľa osobitného predpisu</w:t>
            </w:r>
            <w:r w:rsidRPr="00C77867">
              <w:rPr>
                <w:rFonts w:eastAsia="Palatino Linotype"/>
                <w:b/>
                <w:color w:val="000000"/>
                <w:sz w:val="20"/>
                <w:szCs w:val="20"/>
                <w:vertAlign w:val="superscript"/>
                <w:lang w:eastAsia="en-US"/>
              </w:rPr>
              <w:t>1n</w:t>
            </w:r>
            <w:r w:rsidRPr="00C77867">
              <w:rPr>
                <w:rFonts w:eastAsia="Palatino Linotype"/>
                <w:b/>
                <w:color w:val="000000"/>
                <w:sz w:val="20"/>
                <w:szCs w:val="20"/>
                <w:lang w:eastAsia="en-US"/>
              </w:rPr>
              <w:t xml:space="preserve">) zápis údajov, ktoré tvoria záznam o konečnom užívateľovi výhod, </w:t>
            </w:r>
          </w:p>
          <w:p w14:paraId="08D911F3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európsky jedinečný identifikačný znak pridelený podľa osobitného predpisu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1o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(ďalej len „znak EUID“),</w:t>
            </w:r>
          </w:p>
          <w:p w14:paraId="0A924AAF" w14:textId="77777777" w:rsidR="00C77867" w:rsidRPr="00C77867" w:rsidRDefault="00C77867" w:rsidP="00C77867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98"/>
              <w:jc w:val="both"/>
              <w:rPr>
                <w:rFonts w:eastAsia="Palatino Linotype"/>
                <w:i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kód identifikátora právneho subjektu (ďalej len „kód LEI“), ak ho má právnická osoba pridelený.</w:t>
            </w:r>
          </w:p>
          <w:p w14:paraId="2947BFEB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426" w:hanging="426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(2) Do registra právnických osôb sa o fyzickej osobe – podnikateľovi a o fyzickej osobe podľa § 2 ods. 2 písm. c) zapisujú </w:t>
            </w:r>
          </w:p>
          <w:p w14:paraId="409A5185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obchodné meno alebo meno, priezvisko a označenie, ktoré používa pri výkone činnosti,</w:t>
            </w:r>
          </w:p>
          <w:p w14:paraId="7B36292A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sídlo, miesto podnikania alebo adresa výkonu činnosti, ak sa tento údaj zapisuje do zdrojového registra,</w:t>
            </w:r>
          </w:p>
          <w:p w14:paraId="67D625E5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adresa prevádzkarne, ak sa zapisuje do zdrojového registra, a názov prevádzkarne alebo iné rozlišujúce označenie, ak existuje,</w:t>
            </w:r>
          </w:p>
          <w:p w14:paraId="1D78A2ED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číslo organizácie,</w:t>
            </w:r>
          </w:p>
          <w:p w14:paraId="380F24AE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</w:t>
            </w:r>
          </w:p>
          <w:p w14:paraId="37FF0519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právna forma podľa základného číselníka,</w:t>
            </w:r>
          </w:p>
          <w:p w14:paraId="4D735A69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predmet podnikania alebo predmet činnosti,</w:t>
            </w:r>
          </w:p>
          <w:p w14:paraId="5D604F2D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vzniku oprávnenia na podnikanie alebo dátum vzniku oprávnenia na výkon činnosti,</w:t>
            </w:r>
          </w:p>
          <w:p w14:paraId="52CA53CD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zániku oprávnenia na podnikanie alebo dátum zániku oprávnenia na výkon činnosti,</w:t>
            </w:r>
          </w:p>
          <w:p w14:paraId="36FDD33D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právny stav,</w:t>
            </w:r>
          </w:p>
          <w:p w14:paraId="429D96FD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iné právne skutočnosti,</w:t>
            </w:r>
          </w:p>
          <w:p w14:paraId="32B63ADB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hlavnej ekonomickej činnosti,</w:t>
            </w:r>
          </w:p>
          <w:p w14:paraId="13FCC053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inštitucionálneho sektora,</w:t>
            </w:r>
          </w:p>
          <w:p w14:paraId="626ADEAE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označenie zdrojového registra, z ktorého boli údaje do registra právnických osôb poskytnuté, a označenie povinnej osoby, ktorá údaje poskytla,</w:t>
            </w:r>
          </w:p>
          <w:p w14:paraId="38EDB1B2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znak EUID,</w:t>
            </w:r>
          </w:p>
          <w:p w14:paraId="11C6D681" w14:textId="77777777" w:rsidR="00C77867" w:rsidRPr="00C77867" w:rsidRDefault="00C77867" w:rsidP="00C77867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/>
              <w:ind w:left="312" w:hanging="312"/>
              <w:jc w:val="both"/>
              <w:rPr>
                <w:rFonts w:eastAsia="Palatino Linotype"/>
                <w:i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kód LEI, ak ho má fyzická osoba pridelený.</w:t>
            </w:r>
          </w:p>
          <w:p w14:paraId="141FC85D" w14:textId="77777777" w:rsidR="00C77867" w:rsidRPr="00C77867" w:rsidRDefault="00C77867" w:rsidP="00C77867">
            <w:p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spacing w:before="100"/>
              <w:jc w:val="both"/>
              <w:rPr>
                <w:rFonts w:eastAsia="Palatino Linotype"/>
                <w:strike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lastRenderedPageBreak/>
              <w:t xml:space="preserve">(3) Do registra právnických osôb sa o podniku zahraničnej osoby zapisujú </w:t>
            </w:r>
          </w:p>
          <w:p w14:paraId="225665CA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strike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 alebo označenie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podniku zahraničnej osoby, ak je odlišné od názvu zahraničnej osoby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678BAD3A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adresa umiestnenia alebo miesta činnosti podniku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zahraničnej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osoby,</w:t>
            </w:r>
          </w:p>
          <w:p w14:paraId="748188C5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číslo organizácie,</w:t>
            </w:r>
          </w:p>
          <w:p w14:paraId="2868F3B1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zriaďovateľa v rozsahu</w:t>
            </w:r>
          </w:p>
          <w:p w14:paraId="5D59862B" w14:textId="77777777" w:rsidR="00C77867" w:rsidRPr="00C77867" w:rsidRDefault="00C77867" w:rsidP="00DF0C34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identifikačné údaje fyzickej osoby, ak ide o fyzickú osobu, </w:t>
            </w:r>
          </w:p>
          <w:p w14:paraId="4E7D1AA7" w14:textId="77777777" w:rsidR="00C77867" w:rsidRPr="00C77867" w:rsidRDefault="00C77867" w:rsidP="00DF0C34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 a adresa sídla, ak ide o právnickú osobu; ak sa právnickej osobe prideľuje identifikačné číslo organizácie, zapisuje sa aj tento údaj,</w:t>
            </w:r>
          </w:p>
          <w:p w14:paraId="30745C40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vedúcim podniku zahraničnej osoby,</w:t>
            </w:r>
          </w:p>
          <w:p w14:paraId="7B03C615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identifikačné údaje fyzickej osoby, ktorá je ako prokurista zapísaná v obchodnom registri, s uvedením spôsobu konania za podnik zahraničnej osoby, dňa vzniku funkcie a dňa skončenia funkcie, </w:t>
            </w:r>
          </w:p>
          <w:p w14:paraId="5AD314BB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právna forma podľa základného číselníka,</w:t>
            </w:r>
          </w:p>
          <w:p w14:paraId="6ECF2292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predmet podnikania,</w:t>
            </w:r>
          </w:p>
          <w:p w14:paraId="1B6E36AC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zriadenia,</w:t>
            </w:r>
          </w:p>
          <w:p w14:paraId="6E34333B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zrušenia,</w:t>
            </w:r>
          </w:p>
          <w:p w14:paraId="639E5AF6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právny stav,</w:t>
            </w:r>
          </w:p>
          <w:p w14:paraId="4D148B5F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iné právne skutočnosti,</w:t>
            </w:r>
          </w:p>
          <w:p w14:paraId="2833ACF4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hlavnej ekonomickej činnosti,</w:t>
            </w:r>
          </w:p>
          <w:p w14:paraId="617EE6A1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inštitucionálneho sektora,</w:t>
            </w:r>
          </w:p>
          <w:p w14:paraId="5C628E18" w14:textId="77777777" w:rsidR="00C77867" w:rsidRPr="00C77867" w:rsidRDefault="00C77867" w:rsidP="00DF0C34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ind w:left="36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označenie zdrojového registra, z ktorého boli údaje do registra právnických osôb poskytnuté, a označenie povinnej osoby, ktorá údaje poskytla.</w:t>
            </w:r>
          </w:p>
          <w:p w14:paraId="4BF2263B" w14:textId="77777777" w:rsidR="00C77867" w:rsidRPr="00C77867" w:rsidRDefault="00C77867" w:rsidP="00C77867">
            <w:p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/>
              <w:spacing w:before="101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(4) Do registra právnických osôb sa o organizačnej zložke zapisujú </w:t>
            </w:r>
          </w:p>
          <w:p w14:paraId="23B17469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názov alebo označenie; označenie organizačnej zložky podniku zahraničnej osoby sa zapisuje, ak je odlišné od obchodného mena zahraničnej osoby, </w:t>
            </w:r>
          </w:p>
          <w:p w14:paraId="69CBA4DA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adresa umiestnenia alebo adresa miesta činnosti,</w:t>
            </w:r>
          </w:p>
          <w:p w14:paraId="44802EB0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adresa prevádzkarne, ak je zriadená,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a názov prevádzkarne alebo iné rozlišujúce označenie, ak existuje,</w:t>
            </w:r>
          </w:p>
          <w:p w14:paraId="048BFA92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číslo organizácie,</w:t>
            </w:r>
          </w:p>
          <w:p w14:paraId="09186458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názov alebo označenie zriaďovateľa,</w:t>
            </w:r>
          </w:p>
          <w:p w14:paraId="07CE4B61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číslo organizácie zriaďovateľa, ak sa zriaďovateľovi prideľuje podľa tohto zákona,</w:t>
            </w:r>
          </w:p>
          <w:p w14:paraId="102E7FB0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údaje o 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fyzickej</w:t>
            </w: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osobe, ktorá je štatutárnym orgánom alebo členom štatutárneho orgánu zriaďovateľa v rozsahu</w:t>
            </w:r>
          </w:p>
          <w:p w14:paraId="62E5464C" w14:textId="77777777" w:rsidR="00C77867" w:rsidRPr="00C77867" w:rsidRDefault="00C77867" w:rsidP="00DF0C34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identifikačné údaje fyzickej osoby,</w:t>
            </w:r>
          </w:p>
          <w:p w14:paraId="10C6B6C4" w14:textId="77777777" w:rsidR="00C77867" w:rsidRPr="00C77867" w:rsidRDefault="00C77867" w:rsidP="00DF0C34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údaj o spôsobe, akým táto osoba koná v mene organizačnej zložky, </w:t>
            </w:r>
          </w:p>
          <w:p w14:paraId="325E38EC" w14:textId="77777777" w:rsidR="00C77867" w:rsidRPr="00C77867" w:rsidRDefault="00C77867" w:rsidP="00DF0C34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deň vzniku funkcie a deň skončenia funkcie, </w:t>
            </w:r>
          </w:p>
          <w:p w14:paraId="63BA86A8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>údaje o právnickej osobe, ktorá je štatutárnym orgánom alebo členom štatutárneho orgánu zriaďovateľa v rozsahu</w:t>
            </w:r>
          </w:p>
          <w:p w14:paraId="05CCBB78" w14:textId="77777777" w:rsidR="00C77867" w:rsidRPr="00C77867" w:rsidRDefault="00C77867" w:rsidP="00DF0C34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názov, </w:t>
            </w:r>
          </w:p>
          <w:p w14:paraId="1A40954E" w14:textId="77777777" w:rsidR="00C77867" w:rsidRPr="00C77867" w:rsidRDefault="00C77867" w:rsidP="00DF0C34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sídlo, </w:t>
            </w:r>
          </w:p>
          <w:p w14:paraId="3AAC9958" w14:textId="77777777" w:rsidR="00C77867" w:rsidRPr="00C77867" w:rsidRDefault="00C77867" w:rsidP="00DF0C34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identifikačné číslo organizácie, ak ide o slovenskú právnickú osobu, </w:t>
            </w:r>
          </w:p>
          <w:p w14:paraId="0A838DCD" w14:textId="77777777" w:rsidR="00C77867" w:rsidRPr="00C77867" w:rsidRDefault="00C77867" w:rsidP="00DF0C34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729"/>
              </w:tabs>
              <w:autoSpaceDE w:val="0"/>
              <w:autoSpaceDN w:val="0"/>
              <w:adjustRightInd/>
              <w:ind w:left="643"/>
              <w:jc w:val="both"/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identifikačné údaje fyzickej osoby štatutárneho orgánu tejto právnickej osoby, </w:t>
            </w:r>
          </w:p>
          <w:p w14:paraId="73E3BA3A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vedúcim organizačnej zložky,</w:t>
            </w:r>
          </w:p>
          <w:p w14:paraId="026C2B3A" w14:textId="77777777" w:rsidR="00C77867" w:rsidRPr="00C77867" w:rsidRDefault="00C77867" w:rsidP="00DF0C34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ako prokurista zapísaná v obchodnom registri, s uvedením spôsobu konania za organizačnú zložku podniku zahraničnej osoby, dňa vzniku funkcie a dňa skončenia funkcie,</w:t>
            </w:r>
          </w:p>
          <w:p w14:paraId="0AC2EFC5" w14:textId="77777777" w:rsidR="00C77867" w:rsidRPr="00C77867" w:rsidRDefault="00C77867" w:rsidP="00C7786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predmet činnosti, predmet podnikania, účel zriadenia alebo obdobné vymedzenie činnosti na základe osobitného predpisu,</w:t>
            </w:r>
          </w:p>
          <w:p w14:paraId="737505AC" w14:textId="77777777" w:rsidR="00C77867" w:rsidRPr="00C77867" w:rsidRDefault="00C77867" w:rsidP="00C7786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zriadenia,</w:t>
            </w:r>
          </w:p>
          <w:p w14:paraId="6B6795A7" w14:textId="77777777" w:rsidR="00C77867" w:rsidRPr="00C77867" w:rsidRDefault="00C77867" w:rsidP="00C77867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zrušenia,</w:t>
            </w:r>
          </w:p>
          <w:p w14:paraId="7FE5143C" w14:textId="77777777" w:rsidR="00C77867" w:rsidRPr="00C77867" w:rsidRDefault="00C77867" w:rsidP="00C77867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/>
              <w:ind w:left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údaj o tom, že organizačná zložka právnickej osoby zriadená podľa osobitného predpisu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1p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koná vo svojom mene.</w:t>
            </w:r>
          </w:p>
          <w:p w14:paraId="124649A5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397" w:hanging="369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(5) Ak ide o organizačnú zložku podniku zahraničnej osoby, do registra právnických osôb sa okrem údajov podľa odseku 4 zapisujú aj</w:t>
            </w:r>
          </w:p>
          <w:p w14:paraId="2D83FE8F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spacing w:before="100"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právna forma podľa základného číselníka,</w:t>
            </w:r>
          </w:p>
          <w:p w14:paraId="3BC96F98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spacing w:before="100"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právny stav,</w:t>
            </w:r>
          </w:p>
          <w:p w14:paraId="39CAE42C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spacing w:before="100"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iné právne skutočnosti,</w:t>
            </w:r>
          </w:p>
          <w:p w14:paraId="37A0508A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spacing w:before="100"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hlavnej ekonomickej činnosti,</w:t>
            </w:r>
          </w:p>
          <w:p w14:paraId="1C3E8ED5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spacing w:before="100"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štatistický kód inštitucionálneho sektora,</w:t>
            </w:r>
          </w:p>
          <w:p w14:paraId="26FA4CE9" w14:textId="77777777" w:rsidR="00C77867" w:rsidRPr="00C77867" w:rsidRDefault="00C77867" w:rsidP="00DF0C3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/>
              <w:ind w:left="473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označenie zdrojového registra, z ktorého boli údaje do registra právnických osôb poskytnuté, a označenie povinnej osoby, ktorá údaje poskytla.</w:t>
            </w:r>
          </w:p>
          <w:p w14:paraId="6B653DB7" w14:textId="77777777" w:rsidR="00C77867" w:rsidRPr="00C77867" w:rsidRDefault="00C77867" w:rsidP="00DF0C34">
            <w:pPr>
              <w:shd w:val="clear" w:color="auto" w:fill="FFFFFF"/>
              <w:autoSpaceDE w:val="0"/>
              <w:autoSpaceDN w:val="0"/>
              <w:adjustRightInd/>
              <w:ind w:left="341" w:hanging="341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(6) O orgáne verejnej moci, ktorý je slovenskou právnickou osobou, fyzickou osobou – podnikateľom, fyzickou osobou podľa § 2 ods. 2 písm. c) alebo organizačnou zložkou, sa zapisujú do registra právnických osôb aj </w:t>
            </w:r>
          </w:p>
          <w:p w14:paraId="25FD82BA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názov orgánu verejnej moci, </w:t>
            </w:r>
          </w:p>
          <w:p w14:paraId="098CED1E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vymenovaná alebo zvolená do orgánu verejnej moci alebo identifikačné údaje fyzickej osoby, ktorá je vedúcim orgánu verejnej moci, a označenie jej funkcie,</w:t>
            </w:r>
          </w:p>
          <w:p w14:paraId="7E715FAD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osoby, ktorá je podľa osobitného predpisu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1q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oprávnená zastupovať fyzickú osobu podľa písmena b) v určenom rozsahu,</w:t>
            </w:r>
          </w:p>
          <w:p w14:paraId="5E70707F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kód orgánu verejnej moci podľa základného číselníka,</w:t>
            </w:r>
          </w:p>
          <w:p w14:paraId="1A98B3B2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 všeobecne záväzného právneho predpisu, ktorým je orgán verejnej moci zriadený alebo na základe ktorého orgán verejnej moci vykonáva v rámci svojej vecnej pôsobnosti úradnú činnosť alebo jej prevažnú časť,</w:t>
            </w:r>
          </w:p>
          <w:p w14:paraId="6F327B4B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 všeobecne záväzného právneho predpisu, ktorým bol orgán verejnej moci zrušený alebo na základe ktorého mu bola odňatá právomoc vykonávať úradnú činnosť,</w:t>
            </w:r>
          </w:p>
          <w:p w14:paraId="7EB0DEF5" w14:textId="766C64A3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označenie rozhodnutia vedúceho orgánu verejnej moci alebo uznesenia príslušného orgánu verejnej moci alebo druh vnútorného predpisu, ktorým sa upravuje 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organizačná štruktúra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orgánu verejnej moci, ktorý je zriadený príslušným orgánom verejnej moci,</w:t>
            </w:r>
          </w:p>
          <w:p w14:paraId="626660CD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lastRenderedPageBreak/>
              <w:t>dátum vzniku postavenia orgánu verejnej moci,</w:t>
            </w:r>
          </w:p>
          <w:p w14:paraId="0C9C85CC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prerušenia úradnej činnosti, ak osobitný predpis prerušenie umožňuje,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1r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</w:t>
            </w:r>
          </w:p>
          <w:p w14:paraId="6BC5971B" w14:textId="77777777" w:rsidR="00C77867" w:rsidRPr="00C77867" w:rsidRDefault="00C77867" w:rsidP="00C77867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dátum zániku postavenia orgánu verejnej moci.</w:t>
            </w:r>
          </w:p>
          <w:p w14:paraId="1642E943" w14:textId="539A7159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454" w:hanging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(7) O orgáne verejnej moci, ktorý nie je právnickou osobou, fyzickou osobou – podnikateľom, fyzickou osobou podľa § 2 ods. 2 písm. c) ani organizačnou zložkou, sa do registra právnických osôb zapisujú údaje podľa odseku 6 a</w:t>
            </w:r>
          </w:p>
          <w:p w14:paraId="0B696DD3" w14:textId="77777777" w:rsidR="00C77867" w:rsidRPr="00C77867" w:rsidRDefault="00C77867" w:rsidP="00C77867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číslo organizácie,</w:t>
            </w:r>
          </w:p>
          <w:p w14:paraId="2BEAAA6C" w14:textId="77777777" w:rsidR="00C77867" w:rsidRPr="00C77867" w:rsidRDefault="00C77867" w:rsidP="00C77867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identifikačné údaje fyzickej osoby a označenie funkcie fyzickej osoby alebo názov a identifikačné číslo organizácie iného orgánu verejnej moci, ktoré sú podľa osobitného predpisu oprávnené dočasne vykonávať úradnú činnosť orgánu verejnej moci v určenom rozsahu,</w:t>
            </w:r>
          </w:p>
          <w:p w14:paraId="6498B558" w14:textId="77777777" w:rsidR="00C77867" w:rsidRPr="00C77867" w:rsidRDefault="00C77867" w:rsidP="00C77867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označenie zdrojového registra, z ktorého boli údaje do registra právnických osôb poskytnuté a označenie povinnej osoby, ktorá údaje poskytla,</w:t>
            </w:r>
          </w:p>
          <w:p w14:paraId="5171CF14" w14:textId="77777777" w:rsidR="00C77867" w:rsidRPr="00C77867" w:rsidRDefault="00C77867" w:rsidP="00C77867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/>
              <w:ind w:left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názov a identifikačné číslo organizácie slovenskej právnickej osoby, organizačnej zložky alebo orgánu verejnej moci, v ktorom zapisovaný orgán verejnej moci súčasne pôsobí, ktorý zapisovaný orgán verejnej moci riadi, alebo ktorý zabezpečuje podporu úradnej činnosti zapisovaného orgánu verejnej moci.</w:t>
            </w:r>
          </w:p>
          <w:p w14:paraId="16221181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454" w:hanging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(8) Údaj o sídle zapísaný v registri právnických osôb musí obsahovať adresu poskytnutú zo zdrojového registra, a ak zdrojový register neexistuje, zapíše sa adresa uvedená v štatúte, zriaďovacej listine alebo v obdobnej verejnej listine právnickej osoby, organizačnej zložky alebo orgánu verejnej moci.</w:t>
            </w:r>
          </w:p>
          <w:p w14:paraId="3406302C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454" w:hanging="397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(9) Ak je fyzickej osobe pridelené rodné číslo,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1s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povinná osoba pri zápise údajov o fyzickej osobe do registra právnických osôb poskytne ako identifikátor fyzickej osoby jej meno a priezvisko v spojení s rodným číslom.</w:t>
            </w:r>
          </w:p>
          <w:p w14:paraId="6C72C533" w14:textId="7DA71773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510" w:hanging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(10) Ak povinná osoba pri zápise údajov podľa § 3 v spojení s menom a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 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priezviskom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zahraničnej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fyzickej osoby, ktorá nemá pridelené rodné číslo, poskytne do registra právnických osôb identifikátor 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zahraničnej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fyzickej osoby pridelený alebo určený na účely jednoznačnej identifikácie podľa právneho poriadku štátu, ktorého je </w:t>
            </w:r>
            <w:r w:rsidR="009C73EE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zahraničná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fyzická osoba štátnym občanom, je povinná poskytnúť zároveň kód cudzieho štátu, ktorý identifikátor pridelil, a označenie tohto identifikátora  alebo evidencie, z ktorej identifikátor pochádza.</w:t>
            </w:r>
          </w:p>
          <w:p w14:paraId="0A041EBB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510" w:hanging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(11) Ak povinná osoba poskytne pri zápise údajov o právnickej osobe, podniku zahraničnej osoby alebo organizačnej zložke podniku zahraničnej osoby do registra právnických osôb, ktorým štatistický úrad neprideľuje identifikačné číslo organizácie, identifikátor podľa osobitného predpisu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1t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pridelený alebo určený na účely jednoznačnej identifikácie podľa právneho poriadku štátu, v ktorom majú sídlo alebo miesto podnikania, je povinná pri zápise poskytnúť zároveň kód cudzieho štátu, ktorý identifikátor pridelil a označenie tohto identifikátora alebo evidencie, z ktorej identifikátor pochádza.</w:t>
            </w:r>
          </w:p>
          <w:p w14:paraId="5B1BA04F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510" w:hanging="454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(12) V registri právnických osôb sa vedú aj historické hodnoty údajov podľa §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lastRenderedPageBreak/>
              <w:t>3, pokiaľ je ďalšie vedenie údaja v registri právnických osôb nevyhnutné na dosiahnutie niektorého z účelov podľa § 2 ods. 4.</w:t>
            </w:r>
          </w:p>
          <w:p w14:paraId="4DE1CF44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ind w:left="510" w:hanging="539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(13) V registri právnických osôb sa ku každej zapísanej adrese v Slovenskej republike vedie identifikátor adresy;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to neplatí vo vzťahu k historickým hodnotám údajov o zapísaných adresách, ktoré boli zmenené alebo vymazané do 31. decembra 2024. Povinná osoba poskytuje identifikátor adresy podľa prvej vety ku každej adrese, ktorú do registra právnických osôb poskytuje.</w:t>
            </w:r>
          </w:p>
          <w:p w14:paraId="6AD93200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Poznámky pod čiarou k odkazom 1k až 1u znejú:</w:t>
            </w:r>
          </w:p>
          <w:p w14:paraId="29602316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„</w:t>
            </w: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1k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25 ods. 1 zákona č. 95/2019 Z. z. o informačných technológiách vo verejnej správe a o zmene a doplnení niektorých zákonov.</w:t>
            </w:r>
          </w:p>
          <w:p w14:paraId="682ECAD9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spacing w:before="10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1l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) Nariadenie Európskeho parlamentu a Rady (ES) č. 1893/2006 z 20. decembra 2006, ktorým sa zavádza štatistická klasifikácia ekonomických činností NACE </w:t>
            </w:r>
            <w:proofErr w:type="spellStart"/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Revision</w:t>
            </w:r>
            <w:proofErr w:type="spellEnd"/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 2 a ktorým sa mení a dopĺňa nariadenie Rady (EHS) č. 3037/90 a niektoré nariadenia ES o osobitných oblastiach štatistiky (Ú. v. EÚ L 393, 30.12.2006) v platnom znení.</w:t>
            </w:r>
          </w:p>
          <w:p w14:paraId="6628C816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spacing w:before="10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1m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Nariadenie Rady (ES) č. 2223/96 z 25. júna 1996 o Európskom systéme národných a regionálnych účtov v spoločenstve (Ú. v. ES L 310, 30.11.1996; Mimoriadne vydanie Ú. v. EÚ, kap. 10/zv. 002) v platnom znení.</w:t>
            </w:r>
          </w:p>
          <w:p w14:paraId="4590EB5A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1n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10 ods. 1 zákona č. 147/1997 Z. z. o neinvestičných fondoch a o doplnení zákona Národnej rady Slovenskej republiky č. 207/1996 Z. z. v znení neskorších predpisov.</w:t>
            </w:r>
          </w:p>
          <w:p w14:paraId="63A1C318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§ 11 ods. 1 zákona č. 213/1997 Z. z. o neziskových organizáciách poskytujúcich všeobecne prospešné služby v znení zákona č. 35/2022 Z. z.</w:t>
            </w:r>
          </w:p>
          <w:p w14:paraId="4FC66308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§ 11 ods. 2 zákona č. 34/2002 Z. z. o nadáciách a o zmene Občianskeho zákonníka v znení neskorších predpisov v znení zákona č. 346/2018 Z. z.</w:t>
            </w:r>
          </w:p>
          <w:p w14:paraId="08D218A7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§ 2 ods. 3 zákona č. 530/2003 Z. z. o obchodnom registri a o zmene a doplnení niektorých zákonov v znení neskorších predpisov.</w:t>
            </w:r>
          </w:p>
          <w:p w14:paraId="7F0883F9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§ 3 ods. 4 zákona č. 346/2018 o registri mimovládnych neziskových organizácií a o zmene a doplnení niektorých zákonov.</w:t>
            </w:r>
          </w:p>
          <w:p w14:paraId="04BBE856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spacing w:before="100"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1o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Bod 9 prílohy vykonávacieho nariadenia Komisie (EÚ) 2021/1042 z 18. júna 2021, ktorým sa stanovujú pravidlá uplatňovania smernice Európskeho parlamentu a Rady (EÚ) 2017/1132, pokiaľ ide o technické špecifikácie a postupy pre systém prepojenia registrov, a ktorým sa zrušuje vykonávacie nariadenie Komisie (EÚ) 2020/2244 (Ú. v. EÚ L 225, 25.6.2021).</w:t>
            </w:r>
          </w:p>
          <w:p w14:paraId="37CCEEE7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1p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6 ods. 2 písm. e) a § 9a ods. 2 zákona č. 83/1990 Zb. v znení zákona č. 300/1990 Zb.</w:t>
            </w:r>
          </w:p>
          <w:p w14:paraId="4BF5EE95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1q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Napríklad § 16 ods. 5 zákona Slovenskej národnej rady č. 323/1992 Zb. v znení neskorších predpisov, § 8 ods. 1 zákona Národnej rady Slovenskej republiky č. 39/1993 Z. z. o Najvyššom kontrolnom úrade Slovenskej republiky, § 22 ods. 6 zákona č. 575/2001 Z. z. v znení neskorších predpisov.</w:t>
            </w:r>
          </w:p>
          <w:p w14:paraId="34CE9BBA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1r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 xml:space="preserve">) Napríklad § 16a ods. 1 zákona Slovenskej národnej rady č. 323/1992 Zb. v znení zákona č. 267/2015 Z. z., § 7b zákona č. 382/2004 Z. z. v znení zákona 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lastRenderedPageBreak/>
              <w:t>č. 65/2018 Z. z.</w:t>
            </w:r>
          </w:p>
          <w:p w14:paraId="753900FD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1s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5 ods. 2 a 3 zákona Národnej rady Slovenskej republiky č. 301/1995 o rodnom čísle v znení zákona č. 310/2021 Z. z.</w:t>
            </w:r>
          </w:p>
          <w:p w14:paraId="26E7E29F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1t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3 písm. n) tretí bod zákona č. 305/2013 Z. z. v znení neskorších predpisov.</w:t>
            </w:r>
          </w:p>
          <w:p w14:paraId="28EDB937" w14:textId="77777777" w:rsidR="00C77867" w:rsidRPr="00C77867" w:rsidRDefault="00C77867" w:rsidP="00C77867">
            <w:pPr>
              <w:shd w:val="clear" w:color="auto" w:fill="FFFFFF"/>
              <w:autoSpaceDE w:val="0"/>
              <w:autoSpaceDN w:val="0"/>
              <w:adjustRightInd/>
              <w:jc w:val="both"/>
              <w:rPr>
                <w:rFonts w:eastAsia="Palatino Linotype"/>
                <w:color w:val="000000"/>
                <w:sz w:val="20"/>
                <w:szCs w:val="20"/>
                <w:lang w:eastAsia="en-US"/>
              </w:rPr>
            </w:pPr>
            <w:r w:rsidRPr="00C77867">
              <w:rPr>
                <w:rFonts w:eastAsia="Palatino Linotype"/>
                <w:color w:val="000000"/>
                <w:sz w:val="20"/>
                <w:szCs w:val="20"/>
                <w:vertAlign w:val="superscript"/>
                <w:lang w:eastAsia="en-US"/>
              </w:rPr>
              <w:t>1u</w:t>
            </w:r>
            <w:r w:rsidRPr="00C77867">
              <w:rPr>
                <w:rFonts w:eastAsia="Palatino Linotype"/>
                <w:color w:val="000000"/>
                <w:sz w:val="20"/>
                <w:szCs w:val="20"/>
                <w:lang w:eastAsia="en-US"/>
              </w:rPr>
              <w:t>) § 2 ods. 5 zákona č. 125/2015 Z. z. o registri adries a o zmene a doplnení niektorých zákonov.“.</w:t>
            </w:r>
          </w:p>
          <w:p w14:paraId="6D82474F" w14:textId="3E3EBB1F" w:rsidR="00BD6012" w:rsidRPr="00C77867" w:rsidRDefault="00BD6012" w:rsidP="00C77867">
            <w:pPr>
              <w:pStyle w:val="Normlny0"/>
              <w:widowControl/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9F69577" w14:textId="77777777" w:rsidR="00BD6012" w:rsidRPr="00343B04" w:rsidRDefault="00501857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271" w:type="dxa"/>
          </w:tcPr>
          <w:p w14:paraId="43D0C222" w14:textId="4697BFD3" w:rsidR="00BD6012" w:rsidRPr="00343B04" w:rsidRDefault="000A741C" w:rsidP="00453C58">
            <w:pPr>
              <w:pStyle w:val="Nadpis1"/>
              <w:widowControl/>
              <w:shd w:val="clear" w:color="auto" w:fill="FFFFFF" w:themeFill="background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 súvislosti s údajmi o konečnom užívateľovi výhod v zmysle čl. 30 ods. 1 tretej vety smernice </w:t>
            </w:r>
            <w:r w:rsidR="006854E2">
              <w:rPr>
                <w:b w:val="0"/>
                <w:bCs w:val="0"/>
                <w:sz w:val="20"/>
                <w:szCs w:val="20"/>
              </w:rPr>
              <w:t>(EÚ) 2015/849 v platnom znení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3C58">
              <w:rPr>
                <w:b w:val="0"/>
                <w:bCs w:val="0"/>
                <w:sz w:val="20"/>
                <w:szCs w:val="20"/>
              </w:rPr>
              <w:t xml:space="preserve">§ 1a písm. h) tretí bod návrhu zákona </w:t>
            </w:r>
            <w:r>
              <w:rPr>
                <w:b w:val="0"/>
                <w:bCs w:val="0"/>
                <w:sz w:val="20"/>
                <w:szCs w:val="20"/>
              </w:rPr>
              <w:t xml:space="preserve">definuje identifikačné údaje </w:t>
            </w:r>
            <w:r w:rsidRPr="00453C58">
              <w:rPr>
                <w:b w:val="0"/>
                <w:bCs w:val="0"/>
                <w:sz w:val="20"/>
                <w:szCs w:val="20"/>
              </w:rPr>
              <w:t xml:space="preserve">fyzickej osoby, </w:t>
            </w:r>
            <w:r w:rsidR="00453C58" w:rsidRPr="00453C58">
              <w:rPr>
                <w:b w:val="0"/>
                <w:sz w:val="20"/>
                <w:szCs w:val="20"/>
              </w:rPr>
              <w:t xml:space="preserve">ktorými sú </w:t>
            </w:r>
            <w:r w:rsidR="00453C58" w:rsidRPr="00453C58">
              <w:rPr>
                <w:b w:val="0"/>
                <w:bCs w:val="0"/>
                <w:sz w:val="20"/>
                <w:szCs w:val="20"/>
              </w:rPr>
              <w:t>identifikátor fyzickej osoby podľa vymedzenia v zákone</w:t>
            </w:r>
            <w:r w:rsidR="00453C58">
              <w:rPr>
                <w:b w:val="0"/>
                <w:bCs w:val="0"/>
                <w:sz w:val="20"/>
                <w:szCs w:val="20"/>
              </w:rPr>
              <w:t xml:space="preserve"> o e-</w:t>
            </w:r>
            <w:proofErr w:type="spellStart"/>
            <w:r w:rsidR="00453C58">
              <w:rPr>
                <w:b w:val="0"/>
                <w:bCs w:val="0"/>
                <w:sz w:val="20"/>
                <w:szCs w:val="20"/>
              </w:rPr>
              <w:t>Governmente</w:t>
            </w:r>
            <w:proofErr w:type="spellEnd"/>
            <w:r w:rsidR="00453C58" w:rsidRPr="00453C58">
              <w:rPr>
                <w:b w:val="0"/>
                <w:bCs w:val="0"/>
                <w:sz w:val="20"/>
                <w:szCs w:val="20"/>
              </w:rPr>
              <w:t xml:space="preserve"> a </w:t>
            </w:r>
            <w:r w:rsidR="00453C58">
              <w:t xml:space="preserve"> </w:t>
            </w:r>
            <w:r w:rsidR="00453C58" w:rsidRPr="00453C58">
              <w:rPr>
                <w:b w:val="0"/>
                <w:bCs w:val="0"/>
                <w:sz w:val="20"/>
                <w:szCs w:val="20"/>
              </w:rPr>
              <w:t xml:space="preserve">adresa pobytu fyzickej osoby </w:t>
            </w:r>
            <w:r w:rsidR="00453C58" w:rsidRPr="00453C58">
              <w:rPr>
                <w:b w:val="0"/>
                <w:bCs w:val="0"/>
                <w:sz w:val="20"/>
                <w:szCs w:val="20"/>
              </w:rPr>
              <w:lastRenderedPageBreak/>
              <w:t xml:space="preserve">podľa osobitných predpisov alebo adresa pobytu zahraničnej fyzickej osoby </w:t>
            </w:r>
            <w:r>
              <w:rPr>
                <w:b w:val="0"/>
                <w:bCs w:val="0"/>
                <w:sz w:val="20"/>
                <w:szCs w:val="20"/>
              </w:rPr>
              <w:t>návrhu zákona</w:t>
            </w:r>
          </w:p>
        </w:tc>
      </w:tr>
      <w:tr w:rsidR="00D164C3" w:rsidRPr="00343B04" w14:paraId="7EA8EAA7" w14:textId="77777777" w:rsidTr="001C4159">
        <w:tc>
          <w:tcPr>
            <w:tcW w:w="752" w:type="dxa"/>
          </w:tcPr>
          <w:p w14:paraId="3688B4F9" w14:textId="77777777" w:rsidR="00D164C3" w:rsidRPr="00343B04" w:rsidRDefault="00D164C3" w:rsidP="00D164C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3B04">
              <w:rPr>
                <w:sz w:val="20"/>
                <w:szCs w:val="20"/>
              </w:rPr>
              <w:lastRenderedPageBreak/>
              <w:t>Č: 30</w:t>
            </w:r>
          </w:p>
          <w:p w14:paraId="616FFDD6" w14:textId="77777777" w:rsidR="00D164C3" w:rsidRDefault="00D164C3" w:rsidP="00D164C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O:5</w:t>
            </w:r>
          </w:p>
          <w:p w14:paraId="465B32B0" w14:textId="20870F20" w:rsidR="00D164C3" w:rsidRPr="00343B04" w:rsidRDefault="00D164C3" w:rsidP="00D164C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c)</w:t>
            </w:r>
          </w:p>
        </w:tc>
        <w:tc>
          <w:tcPr>
            <w:tcW w:w="4111" w:type="dxa"/>
          </w:tcPr>
          <w:p w14:paraId="569A6A3C" w14:textId="64A514B9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5. Členské štáty zabezpečia, aby boli informácie o vlastníckych právach prístupné v každom prípade pre:</w:t>
            </w:r>
          </w:p>
          <w:p w14:paraId="4754FEAD" w14:textId="2DA53172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(...)</w:t>
            </w:r>
          </w:p>
          <w:p w14:paraId="2F06F5D4" w14:textId="5C62E6EE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c) každú osobu alebo organizáciu, ktorá môže preukázať legitímny záujem.</w:t>
            </w:r>
          </w:p>
          <w:p w14:paraId="39119D88" w14:textId="77777777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</w:p>
          <w:p w14:paraId="73D54A3D" w14:textId="77777777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Osoby alebo organizácie uvedené v písmene c) majú prístup aspoň k menu, mesiacu a roku narodenia, štátnej príslušnosti a krajine pobytu konečného užívateľa výhod, ako aj povahe a rozsahu držaného podielu konečného užívateľa výhod.</w:t>
            </w:r>
          </w:p>
          <w:p w14:paraId="588DEC36" w14:textId="77777777" w:rsidR="00D164C3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</w:p>
          <w:p w14:paraId="33B46AAC" w14:textId="57ABBCBE" w:rsidR="00D164C3" w:rsidRPr="00343B04" w:rsidRDefault="00D164C3" w:rsidP="00D164C3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Na účely tohto odseku musí byť prístup k informáciám o vlastníckych právach v súlade s pravidlami ochrany údajov a môže podliehať registrácii online a úhrade poplatku. Poplatky účtované za získanie informácií nesmú presiahnuť administratívne náklady na takýto úkon.</w:t>
            </w:r>
          </w:p>
        </w:tc>
        <w:tc>
          <w:tcPr>
            <w:tcW w:w="709" w:type="dxa"/>
          </w:tcPr>
          <w:p w14:paraId="2B6D0F12" w14:textId="31B25A14" w:rsidR="00D164C3" w:rsidRPr="00343B04" w:rsidRDefault="00D164C3" w:rsidP="00343B04">
            <w:pPr>
              <w:widowControl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11E7DD10" w14:textId="409C2C0E" w:rsidR="00D164C3" w:rsidRPr="00343B04" w:rsidRDefault="00D164C3" w:rsidP="00343B04">
            <w:pPr>
              <w:widowControl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</w:tc>
        <w:tc>
          <w:tcPr>
            <w:tcW w:w="709" w:type="dxa"/>
          </w:tcPr>
          <w:p w14:paraId="2EA2AED6" w14:textId="77777777" w:rsidR="00D164C3" w:rsidRDefault="00D164C3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>
              <w:t>§ 7a</w:t>
            </w:r>
          </w:p>
          <w:p w14:paraId="07187925" w14:textId="399658B6" w:rsidR="00D164C3" w:rsidRPr="00343B04" w:rsidRDefault="00D164C3" w:rsidP="00343B04">
            <w:pPr>
              <w:pStyle w:val="Normlny0"/>
              <w:widowControl/>
              <w:shd w:val="clear" w:color="auto" w:fill="FFFFFF" w:themeFill="background1"/>
              <w:jc w:val="center"/>
            </w:pPr>
            <w:r>
              <w:t>O: 10</w:t>
            </w:r>
          </w:p>
        </w:tc>
        <w:tc>
          <w:tcPr>
            <w:tcW w:w="6520" w:type="dxa"/>
          </w:tcPr>
          <w:p w14:paraId="7B8C582B" w14:textId="7CE3564D" w:rsidR="00D164C3" w:rsidRDefault="00D164C3" w:rsidP="007A0F62">
            <w:pPr>
              <w:pStyle w:val="Normlny0"/>
              <w:widowControl/>
              <w:shd w:val="clear" w:color="auto" w:fill="FFFFFF" w:themeFill="background1"/>
              <w:jc w:val="both"/>
            </w:pPr>
          </w:p>
          <w:p w14:paraId="458A1B34" w14:textId="6DA1D7EB" w:rsidR="00D164C3" w:rsidRDefault="00D164C3" w:rsidP="007A0F62">
            <w:pPr>
              <w:pStyle w:val="Normlny0"/>
              <w:widowControl/>
              <w:shd w:val="clear" w:color="auto" w:fill="FFFFFF" w:themeFill="background1"/>
              <w:jc w:val="both"/>
            </w:pPr>
            <w:r w:rsidRPr="00D164C3">
              <w:rPr>
                <w:b/>
              </w:rPr>
              <w:t>(10) Štatistický úrad poskytne právnickej osobe z registra právnických osôb na základe jej žiadosti výlučne elektronický odpis,</w:t>
            </w:r>
            <w:r w:rsidRPr="00D164C3">
              <w:rPr>
                <w:b/>
                <w:vertAlign w:val="superscript"/>
              </w:rPr>
              <w:t>8</w:t>
            </w:r>
            <w:r w:rsidRPr="00D164C3">
              <w:rPr>
                <w:b/>
              </w:rPr>
              <w:t>) ktorý obsahuje názov, sídlo a identifikačné číslo organizácie tejto právnickej osoby a záznam o konečnom užívateľovi výhod tejto právnickej osoby. Žiadosť podľa prvej vety sa podáva sa prostredníctvom elektronickej služby verejnej správy a musí byť autorizovaná kvalifikovaným elektronickým podpisom alebo kvalifikovanou elektronickou pečaťou.</w:t>
            </w:r>
            <w:r w:rsidRPr="00D164C3">
              <w:t>“.</w:t>
            </w:r>
          </w:p>
          <w:p w14:paraId="74E55472" w14:textId="174EE0F5" w:rsidR="00D164C3" w:rsidRDefault="00D164C3" w:rsidP="007A0F62">
            <w:pPr>
              <w:pStyle w:val="Normlny0"/>
              <w:widowControl/>
              <w:shd w:val="clear" w:color="auto" w:fill="FFFFFF" w:themeFill="background1"/>
              <w:jc w:val="both"/>
            </w:pPr>
            <w:r>
              <w:t>Poznámka pod čiarou k odkazu 8 znie:</w:t>
            </w:r>
          </w:p>
          <w:p w14:paraId="50EC3B1C" w14:textId="3569B226" w:rsidR="00D164C3" w:rsidRDefault="00D164C3" w:rsidP="00DF0C34">
            <w:pPr>
              <w:pStyle w:val="Normlny0"/>
              <w:widowControl/>
            </w:pPr>
            <w:r w:rsidRPr="00D164C3">
              <w:t>„</w:t>
            </w:r>
            <w:r w:rsidR="00E81E13" w:rsidRPr="00E81E13">
              <w:rPr>
                <w:vertAlign w:val="superscript"/>
              </w:rPr>
              <w:t>8</w:t>
            </w:r>
            <w:r w:rsidR="00E81E13" w:rsidRPr="00E81E13">
              <w:t>) § 26 ods. 3 zákona č. 95/2019 Z. z.</w:t>
            </w:r>
            <w:r>
              <w:t>“.</w:t>
            </w:r>
          </w:p>
        </w:tc>
        <w:tc>
          <w:tcPr>
            <w:tcW w:w="567" w:type="dxa"/>
          </w:tcPr>
          <w:p w14:paraId="11A483A1" w14:textId="259FB191" w:rsidR="00D164C3" w:rsidRDefault="00D164C3" w:rsidP="00343B04">
            <w:pPr>
              <w:widowControl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</w:p>
        </w:tc>
        <w:tc>
          <w:tcPr>
            <w:tcW w:w="1271" w:type="dxa"/>
          </w:tcPr>
          <w:p w14:paraId="6F5A84E3" w14:textId="6B6CD7FB" w:rsidR="00D164C3" w:rsidRDefault="00D164C3" w:rsidP="00D164C3">
            <w:pPr>
              <w:pStyle w:val="Nadpis1"/>
              <w:widowControl/>
              <w:shd w:val="clear" w:color="auto" w:fill="FFFFFF" w:themeFill="background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rozs</w:t>
            </w:r>
            <w:r w:rsidR="00FD090C">
              <w:rPr>
                <w:b w:val="0"/>
                <w:bCs w:val="0"/>
                <w:sz w:val="20"/>
                <w:szCs w:val="20"/>
              </w:rPr>
              <w:t>udkom Súdneho dvora E</w:t>
            </w:r>
            <w:r>
              <w:rPr>
                <w:b w:val="0"/>
                <w:bCs w:val="0"/>
                <w:sz w:val="20"/>
                <w:szCs w:val="20"/>
              </w:rPr>
              <w:t>urópskej únie v spojených veciach C-37/20 a C-60</w:t>
            </w:r>
            <w:r w:rsidR="00FD090C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/20 sa obnovila účinnosť pôvodného znenia čl. 30 ods. 5 písm. c) smernice</w:t>
            </w:r>
            <w:r w:rsidR="00FD090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D090C" w:rsidRPr="00FD090C">
              <w:rPr>
                <w:b w:val="0"/>
                <w:bCs w:val="0"/>
                <w:sz w:val="20"/>
                <w:szCs w:val="20"/>
              </w:rPr>
              <w:t>(EÚ) 2015/849</w:t>
            </w:r>
            <w:r>
              <w:rPr>
                <w:b w:val="0"/>
                <w:bCs w:val="0"/>
                <w:sz w:val="20"/>
                <w:szCs w:val="20"/>
              </w:rPr>
              <w:t xml:space="preserve">.  Návrh zákona obsahuje len čiastočnú transpozíciu, tým, že umožňuje subjektu zapísanému v registri právnických osôb a podnikateľov získať prístup k záznamu o jeho konečnom užívateľovi výhod, čo sa považuje za oprávnený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záujem odôvodnený praktickými potrebami v obchodnom styku. Prístup na základe preukázania oprávneného záujmu iných osôb  k záznamom o konečných užívateľoch výhod resp. prístup k cudzím záznamom o konečných užívateľoch výhod bude predmetom osobitnej novely zákona č. 272/2015 Z. z. z dôvodu uvedených v doložke zlučiteľnosti k aktuálne  predloženému návrhu zákona.</w:t>
            </w:r>
          </w:p>
        </w:tc>
      </w:tr>
    </w:tbl>
    <w:p w14:paraId="36AA4558" w14:textId="77777777" w:rsidR="001B7551" w:rsidRPr="00343B04" w:rsidRDefault="001B7551" w:rsidP="00343B04">
      <w:pPr>
        <w:shd w:val="clear" w:color="auto" w:fill="FFFFFF" w:themeFill="background1"/>
        <w:contextualSpacing/>
        <w:rPr>
          <w:sz w:val="20"/>
          <w:szCs w:val="20"/>
        </w:rPr>
      </w:pPr>
    </w:p>
    <w:p w14:paraId="3D33163D" w14:textId="77777777" w:rsidR="00030FF0" w:rsidRPr="00343B04" w:rsidRDefault="00030FF0" w:rsidP="00343B04">
      <w:pPr>
        <w:shd w:val="clear" w:color="auto" w:fill="FFFFFF" w:themeFill="background1"/>
        <w:contextualSpacing/>
        <w:jc w:val="both"/>
        <w:rPr>
          <w:sz w:val="16"/>
          <w:szCs w:val="16"/>
        </w:rPr>
      </w:pPr>
      <w:r w:rsidRPr="00343B04">
        <w:rPr>
          <w:sz w:val="16"/>
          <w:szCs w:val="16"/>
        </w:rPr>
        <w:t>LEGENDA:</w:t>
      </w:r>
    </w:p>
    <w:tbl>
      <w:tblPr>
        <w:tblW w:w="15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722"/>
        <w:gridCol w:w="2304"/>
        <w:gridCol w:w="7406"/>
      </w:tblGrid>
      <w:tr w:rsidR="00030FF0" w:rsidRPr="00641336" w14:paraId="624FEFFC" w14:textId="77777777" w:rsidTr="00343B04">
        <w:trPr>
          <w:trHeight w:val="2029"/>
        </w:trPr>
        <w:tc>
          <w:tcPr>
            <w:tcW w:w="2373" w:type="dxa"/>
          </w:tcPr>
          <w:p w14:paraId="6BE8F0C2" w14:textId="77777777" w:rsidR="00030FF0" w:rsidRPr="00343B04" w:rsidRDefault="00030FF0" w:rsidP="00343B04">
            <w:pPr>
              <w:pStyle w:val="Normlny0"/>
              <w:shd w:val="clear" w:color="auto" w:fill="FFFFFF" w:themeFill="background1"/>
              <w:contextualSpacing/>
              <w:jc w:val="both"/>
              <w:rPr>
                <w:b/>
                <w:sz w:val="16"/>
                <w:szCs w:val="16"/>
              </w:rPr>
            </w:pPr>
            <w:r w:rsidRPr="00343B04">
              <w:rPr>
                <w:b/>
                <w:sz w:val="16"/>
                <w:szCs w:val="16"/>
              </w:rPr>
              <w:t xml:space="preserve">   V stĺpci (1):</w:t>
            </w:r>
          </w:p>
          <w:p w14:paraId="62693112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   Č – článok</w:t>
            </w:r>
          </w:p>
          <w:p w14:paraId="788C5D45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   O – odsek</w:t>
            </w:r>
          </w:p>
          <w:p w14:paraId="3BE32930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   B – bod </w:t>
            </w:r>
          </w:p>
          <w:p w14:paraId="14AFD980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   V – veta</w:t>
            </w:r>
          </w:p>
          <w:p w14:paraId="3937CCC8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   </w:t>
            </w:r>
            <w:r w:rsidR="00013E54" w:rsidRPr="00343B04">
              <w:rPr>
                <w:sz w:val="16"/>
                <w:szCs w:val="16"/>
              </w:rPr>
              <w:t>P – písmeno (číslo)</w:t>
            </w:r>
          </w:p>
        </w:tc>
        <w:tc>
          <w:tcPr>
            <w:tcW w:w="3722" w:type="dxa"/>
            <w:hideMark/>
          </w:tcPr>
          <w:p w14:paraId="2CB7E0DC" w14:textId="77777777" w:rsidR="00030FF0" w:rsidRPr="00343B04" w:rsidRDefault="00030FF0" w:rsidP="00343B04">
            <w:pPr>
              <w:pStyle w:val="Normlny0"/>
              <w:shd w:val="clear" w:color="auto" w:fill="FFFFFF" w:themeFill="background1"/>
              <w:contextualSpacing/>
              <w:jc w:val="both"/>
              <w:rPr>
                <w:b/>
                <w:sz w:val="16"/>
                <w:szCs w:val="16"/>
              </w:rPr>
            </w:pPr>
            <w:r w:rsidRPr="00343B04">
              <w:rPr>
                <w:b/>
                <w:sz w:val="16"/>
                <w:szCs w:val="16"/>
              </w:rPr>
              <w:t>V stĺpci (3):</w:t>
            </w:r>
          </w:p>
          <w:p w14:paraId="253A2759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N – bežná transpozícia</w:t>
            </w:r>
          </w:p>
          <w:p w14:paraId="4304497D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O – transpozícia s možnosťou voľby</w:t>
            </w:r>
          </w:p>
          <w:p w14:paraId="1684172E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D – transpozícia podľa úvahy (dobrovoľná)</w:t>
            </w:r>
          </w:p>
          <w:p w14:paraId="647A0039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343B04">
              <w:rPr>
                <w:sz w:val="16"/>
                <w:szCs w:val="16"/>
              </w:rPr>
              <w:t>n.a</w:t>
            </w:r>
            <w:proofErr w:type="spellEnd"/>
            <w:r w:rsidRPr="00343B04">
              <w:rPr>
                <w:sz w:val="16"/>
                <w:szCs w:val="16"/>
              </w:rPr>
              <w:t>. – transpozícia sa neuskutočňuje</w:t>
            </w:r>
          </w:p>
        </w:tc>
        <w:tc>
          <w:tcPr>
            <w:tcW w:w="2304" w:type="dxa"/>
            <w:hideMark/>
          </w:tcPr>
          <w:p w14:paraId="3767739C" w14:textId="77777777" w:rsidR="00030FF0" w:rsidRPr="00343B04" w:rsidRDefault="00030FF0" w:rsidP="00343B04">
            <w:pPr>
              <w:pStyle w:val="Normlny0"/>
              <w:shd w:val="clear" w:color="auto" w:fill="FFFFFF" w:themeFill="background1"/>
              <w:contextualSpacing/>
              <w:jc w:val="both"/>
              <w:rPr>
                <w:b/>
                <w:sz w:val="16"/>
                <w:szCs w:val="16"/>
              </w:rPr>
            </w:pPr>
            <w:r w:rsidRPr="00343B04">
              <w:rPr>
                <w:b/>
                <w:sz w:val="16"/>
                <w:szCs w:val="16"/>
              </w:rPr>
              <w:t>V stĺpci (5):</w:t>
            </w:r>
          </w:p>
          <w:p w14:paraId="16CAE68A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Č – článok</w:t>
            </w:r>
          </w:p>
          <w:p w14:paraId="00FAFED3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§ – paragraf</w:t>
            </w:r>
          </w:p>
          <w:p w14:paraId="380E8B17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O – odsek</w:t>
            </w:r>
          </w:p>
          <w:p w14:paraId="20FAD22B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V – veta</w:t>
            </w:r>
          </w:p>
          <w:p w14:paraId="515D6E46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P – písmeno (číslo)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085C452E" w14:textId="77777777" w:rsidR="00030FF0" w:rsidRPr="00343B04" w:rsidRDefault="00030FF0" w:rsidP="00343B04">
            <w:pPr>
              <w:pStyle w:val="Normlny0"/>
              <w:shd w:val="clear" w:color="auto" w:fill="FFFFFF" w:themeFill="background1"/>
              <w:contextualSpacing/>
              <w:jc w:val="both"/>
              <w:rPr>
                <w:b/>
                <w:sz w:val="16"/>
                <w:szCs w:val="16"/>
              </w:rPr>
            </w:pPr>
            <w:r w:rsidRPr="00343B04">
              <w:rPr>
                <w:b/>
                <w:sz w:val="16"/>
                <w:szCs w:val="16"/>
              </w:rPr>
              <w:t>V stĺpci (7):</w:t>
            </w:r>
          </w:p>
          <w:p w14:paraId="56D6AFB4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Ú – úplná zhoda</w:t>
            </w:r>
          </w:p>
          <w:p w14:paraId="051F7CDD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>Č – čiastočná zhoda</w:t>
            </w:r>
          </w:p>
          <w:p w14:paraId="2405D00D" w14:textId="77777777" w:rsidR="00030FF0" w:rsidRPr="00343B04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 w:rsidRPr="00343B04">
              <w:rPr>
                <w:sz w:val="16"/>
                <w:szCs w:val="16"/>
              </w:rPr>
              <w:t xml:space="preserve">Ž – žiadna zhoda (ak nebola dosiahnutá ani </w:t>
            </w:r>
            <w:proofErr w:type="spellStart"/>
            <w:r w:rsidRPr="00343B04">
              <w:rPr>
                <w:sz w:val="16"/>
                <w:szCs w:val="16"/>
              </w:rPr>
              <w:t>čiast</w:t>
            </w:r>
            <w:proofErr w:type="spellEnd"/>
            <w:r w:rsidRPr="00343B04">
              <w:rPr>
                <w:sz w:val="16"/>
                <w:szCs w:val="16"/>
              </w:rPr>
              <w:t>. ani úplná zhoda alebo k prebratiu dôjde v budúcnosti)</w:t>
            </w:r>
          </w:p>
          <w:p w14:paraId="0E0B4B2F" w14:textId="77777777" w:rsidR="00030FF0" w:rsidRPr="00641336" w:rsidRDefault="00030FF0" w:rsidP="00343B04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343B04">
              <w:rPr>
                <w:sz w:val="16"/>
                <w:szCs w:val="16"/>
              </w:rPr>
              <w:t>n.a</w:t>
            </w:r>
            <w:proofErr w:type="spellEnd"/>
            <w:r w:rsidRPr="00343B04">
              <w:rPr>
                <w:sz w:val="16"/>
                <w:szCs w:val="16"/>
              </w:rPr>
              <w:t>. – neaplikovateľnosť (ak sa ustanovenie smernice netýka SR alebo nie je potrebné ho prebrať)</w:t>
            </w:r>
          </w:p>
        </w:tc>
      </w:tr>
    </w:tbl>
    <w:p w14:paraId="2FB6934E" w14:textId="77777777" w:rsidR="00245F1E" w:rsidRPr="00DF0C34" w:rsidRDefault="00245F1E" w:rsidP="00DF0C34">
      <w:pPr>
        <w:shd w:val="clear" w:color="auto" w:fill="FFFFFF" w:themeFill="background1"/>
        <w:contextualSpacing/>
        <w:rPr>
          <w:sz w:val="16"/>
          <w:szCs w:val="16"/>
        </w:rPr>
      </w:pPr>
    </w:p>
    <w:sectPr w:rsidR="00245F1E" w:rsidRPr="00DF0C34" w:rsidSect="00BB28A1">
      <w:footerReference w:type="default" r:id="rId9"/>
      <w:pgSz w:w="16838" w:h="11906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2326" w14:textId="77777777" w:rsidR="009F5ABE" w:rsidRDefault="009F5ABE" w:rsidP="007949E7">
      <w:r>
        <w:separator/>
      </w:r>
    </w:p>
  </w:endnote>
  <w:endnote w:type="continuationSeparator" w:id="0">
    <w:p w14:paraId="4C4236ED" w14:textId="77777777" w:rsidR="009F5ABE" w:rsidRDefault="009F5ABE" w:rsidP="007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GyreBonum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78D7" w14:textId="50F325C7" w:rsidR="00F8230C" w:rsidRPr="00F8230C" w:rsidRDefault="00F8230C" w:rsidP="00F8230C">
    <w:pPr>
      <w:pStyle w:val="Pta"/>
      <w:jc w:val="center"/>
      <w:rPr>
        <w:sz w:val="16"/>
        <w:szCs w:val="16"/>
      </w:rPr>
    </w:pPr>
    <w:r w:rsidRPr="00F8230C">
      <w:rPr>
        <w:sz w:val="16"/>
        <w:szCs w:val="16"/>
      </w:rPr>
      <w:fldChar w:fldCharType="begin"/>
    </w:r>
    <w:r w:rsidRPr="00F8230C">
      <w:rPr>
        <w:sz w:val="16"/>
        <w:szCs w:val="16"/>
      </w:rPr>
      <w:instrText>PAGE   \* MERGEFORMAT</w:instrText>
    </w:r>
    <w:r w:rsidRPr="00F8230C">
      <w:rPr>
        <w:sz w:val="16"/>
        <w:szCs w:val="16"/>
      </w:rPr>
      <w:fldChar w:fldCharType="separate"/>
    </w:r>
    <w:r w:rsidR="00DF0C34">
      <w:rPr>
        <w:noProof/>
        <w:sz w:val="16"/>
        <w:szCs w:val="16"/>
      </w:rPr>
      <w:t>3</w:t>
    </w:r>
    <w:r w:rsidRPr="00F823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B4B9" w14:textId="77777777" w:rsidR="009F5ABE" w:rsidRDefault="009F5ABE" w:rsidP="007949E7">
      <w:r>
        <w:separator/>
      </w:r>
    </w:p>
  </w:footnote>
  <w:footnote w:type="continuationSeparator" w:id="0">
    <w:p w14:paraId="6445B167" w14:textId="77777777" w:rsidR="009F5ABE" w:rsidRDefault="009F5ABE" w:rsidP="0079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2D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427F8"/>
    <w:multiLevelType w:val="hybridMultilevel"/>
    <w:tmpl w:val="D0B89C76"/>
    <w:lvl w:ilvl="0" w:tplc="6C3A8696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124B2F"/>
    <w:multiLevelType w:val="multilevel"/>
    <w:tmpl w:val="FDA8CA7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0C6079EF"/>
    <w:multiLevelType w:val="hybridMultilevel"/>
    <w:tmpl w:val="B9FA5D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A4595C"/>
    <w:multiLevelType w:val="hybridMultilevel"/>
    <w:tmpl w:val="D326D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A736C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B2A8E"/>
    <w:multiLevelType w:val="hybridMultilevel"/>
    <w:tmpl w:val="4B5C7BEA"/>
    <w:lvl w:ilvl="0" w:tplc="FA761D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98B"/>
    <w:multiLevelType w:val="hybridMultilevel"/>
    <w:tmpl w:val="0AE8A12A"/>
    <w:lvl w:ilvl="0" w:tplc="74BA9132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color w:val="auto"/>
        <w:w w:val="105"/>
        <w:sz w:val="20"/>
        <w:szCs w:val="24"/>
        <w:lang w:val="sk-SK" w:eastAsia="en-US" w:bidi="ar-SA"/>
      </w:rPr>
    </w:lvl>
    <w:lvl w:ilvl="1" w:tplc="162E30D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6D4C4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E48B5D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7F6E5E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874E7B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7120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C9440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144741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17303380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C702101"/>
    <w:multiLevelType w:val="hybridMultilevel"/>
    <w:tmpl w:val="567AD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E443B0"/>
    <w:multiLevelType w:val="hybridMultilevel"/>
    <w:tmpl w:val="03B231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70685"/>
    <w:multiLevelType w:val="hybridMultilevel"/>
    <w:tmpl w:val="F8265E26"/>
    <w:lvl w:ilvl="0" w:tplc="36188B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41214"/>
    <w:multiLevelType w:val="hybridMultilevel"/>
    <w:tmpl w:val="5776AC0C"/>
    <w:lvl w:ilvl="0" w:tplc="041B000F">
      <w:start w:val="1"/>
      <w:numFmt w:val="decimal"/>
      <w:lvlText w:val="%1."/>
      <w:lvlJc w:val="left"/>
      <w:pPr>
        <w:ind w:left="1089" w:hanging="360"/>
      </w:pPr>
    </w:lvl>
    <w:lvl w:ilvl="1" w:tplc="041B0019" w:tentative="1">
      <w:start w:val="1"/>
      <w:numFmt w:val="lowerLetter"/>
      <w:lvlText w:val="%2."/>
      <w:lvlJc w:val="left"/>
      <w:pPr>
        <w:ind w:left="1809" w:hanging="360"/>
      </w:pPr>
    </w:lvl>
    <w:lvl w:ilvl="2" w:tplc="041B001B" w:tentative="1">
      <w:start w:val="1"/>
      <w:numFmt w:val="lowerRoman"/>
      <w:lvlText w:val="%3."/>
      <w:lvlJc w:val="right"/>
      <w:pPr>
        <w:ind w:left="2529" w:hanging="180"/>
      </w:pPr>
    </w:lvl>
    <w:lvl w:ilvl="3" w:tplc="041B000F" w:tentative="1">
      <w:start w:val="1"/>
      <w:numFmt w:val="decimal"/>
      <w:lvlText w:val="%4."/>
      <w:lvlJc w:val="left"/>
      <w:pPr>
        <w:ind w:left="3249" w:hanging="360"/>
      </w:pPr>
    </w:lvl>
    <w:lvl w:ilvl="4" w:tplc="041B0019" w:tentative="1">
      <w:start w:val="1"/>
      <w:numFmt w:val="lowerLetter"/>
      <w:lvlText w:val="%5."/>
      <w:lvlJc w:val="left"/>
      <w:pPr>
        <w:ind w:left="3969" w:hanging="360"/>
      </w:pPr>
    </w:lvl>
    <w:lvl w:ilvl="5" w:tplc="041B001B" w:tentative="1">
      <w:start w:val="1"/>
      <w:numFmt w:val="lowerRoman"/>
      <w:lvlText w:val="%6."/>
      <w:lvlJc w:val="right"/>
      <w:pPr>
        <w:ind w:left="4689" w:hanging="180"/>
      </w:pPr>
    </w:lvl>
    <w:lvl w:ilvl="6" w:tplc="041B000F" w:tentative="1">
      <w:start w:val="1"/>
      <w:numFmt w:val="decimal"/>
      <w:lvlText w:val="%7."/>
      <w:lvlJc w:val="left"/>
      <w:pPr>
        <w:ind w:left="5409" w:hanging="360"/>
      </w:pPr>
    </w:lvl>
    <w:lvl w:ilvl="7" w:tplc="041B0019" w:tentative="1">
      <w:start w:val="1"/>
      <w:numFmt w:val="lowerLetter"/>
      <w:lvlText w:val="%8."/>
      <w:lvlJc w:val="left"/>
      <w:pPr>
        <w:ind w:left="6129" w:hanging="360"/>
      </w:pPr>
    </w:lvl>
    <w:lvl w:ilvl="8" w:tplc="041B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25CB1692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3301A9"/>
    <w:multiLevelType w:val="multilevel"/>
    <w:tmpl w:val="A29CC2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8D2404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903E69"/>
    <w:multiLevelType w:val="hybridMultilevel"/>
    <w:tmpl w:val="51E089D4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38A73026"/>
    <w:multiLevelType w:val="hybridMultilevel"/>
    <w:tmpl w:val="D0088158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3A5212C5"/>
    <w:multiLevelType w:val="hybridMultilevel"/>
    <w:tmpl w:val="B02E5A34"/>
    <w:lvl w:ilvl="0" w:tplc="E96459D2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0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19" w15:restartNumberingAfterBreak="0">
    <w:nsid w:val="3DEE25A2"/>
    <w:multiLevelType w:val="hybridMultilevel"/>
    <w:tmpl w:val="DDE4F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7E62"/>
    <w:multiLevelType w:val="hybridMultilevel"/>
    <w:tmpl w:val="793C871A"/>
    <w:lvl w:ilvl="0" w:tplc="9FCE2D54">
      <w:start w:val="1"/>
      <w:numFmt w:val="decimal"/>
      <w:suff w:val="nothing"/>
      <w:lvlText w:val="%1."/>
      <w:lvlJc w:val="left"/>
      <w:pPr>
        <w:ind w:left="-769" w:firstLine="76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72D4533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5511DE"/>
    <w:multiLevelType w:val="hybridMultilevel"/>
    <w:tmpl w:val="876A4F8A"/>
    <w:lvl w:ilvl="0" w:tplc="FD9A7F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E06CBB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905F03"/>
    <w:multiLevelType w:val="hybridMultilevel"/>
    <w:tmpl w:val="949EF502"/>
    <w:lvl w:ilvl="0" w:tplc="FCC84442">
      <w:start w:val="1"/>
      <w:numFmt w:val="lowerLetter"/>
      <w:lvlText w:val="%1)"/>
      <w:lvlJc w:val="left"/>
      <w:pPr>
        <w:ind w:left="3744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0"/>
        <w:szCs w:val="20"/>
        <w:lang w:val="sk-SK" w:eastAsia="en-US" w:bidi="ar-SA"/>
      </w:rPr>
    </w:lvl>
    <w:lvl w:ilvl="1" w:tplc="C2C0F556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en-US" w:bidi="ar-SA"/>
      </w:rPr>
    </w:lvl>
    <w:lvl w:ilvl="2" w:tplc="7152B274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8FE4C958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C5840962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5BAAEEF0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F72E4516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B942BABA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040C8386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50581019"/>
    <w:multiLevelType w:val="multilevel"/>
    <w:tmpl w:val="6FC668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6" w15:restartNumberingAfterBreak="0">
    <w:nsid w:val="52670340"/>
    <w:multiLevelType w:val="hybridMultilevel"/>
    <w:tmpl w:val="02E0A864"/>
    <w:lvl w:ilvl="0" w:tplc="A26209DC">
      <w:start w:val="1"/>
      <w:numFmt w:val="lowerLetter"/>
      <w:lvlText w:val="%1)"/>
      <w:lvlJc w:val="left"/>
      <w:pPr>
        <w:ind w:left="806" w:hanging="360"/>
      </w:pPr>
      <w:rPr>
        <w:rFonts w:ascii="Times New Roman" w:eastAsia="Palatino Linotype" w:hAnsi="Times New Roman" w:cs="Times New Roman" w:hint="default"/>
        <w:strike w:val="0"/>
        <w:color w:val="auto"/>
        <w:w w:val="105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537C7EC5"/>
    <w:multiLevelType w:val="hybridMultilevel"/>
    <w:tmpl w:val="567AD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A63EF2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7735D3"/>
    <w:multiLevelType w:val="multilevel"/>
    <w:tmpl w:val="4FC6CF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0" w15:restartNumberingAfterBreak="0">
    <w:nsid w:val="5BFD53AB"/>
    <w:multiLevelType w:val="hybridMultilevel"/>
    <w:tmpl w:val="0046C614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A2288B1E">
      <w:start w:val="1"/>
      <w:numFmt w:val="lowerLetter"/>
      <w:lvlText w:val="%2)"/>
      <w:lvlJc w:val="left"/>
      <w:pPr>
        <w:ind w:left="2016" w:hanging="61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1" w15:restartNumberingAfterBreak="0">
    <w:nsid w:val="5C1F50CD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085626"/>
    <w:multiLevelType w:val="hybridMultilevel"/>
    <w:tmpl w:val="DC7AACFE"/>
    <w:lvl w:ilvl="0" w:tplc="F196C7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D75F6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F127BA4"/>
    <w:multiLevelType w:val="hybridMultilevel"/>
    <w:tmpl w:val="DD940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965199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DB09AA"/>
    <w:multiLevelType w:val="hybridMultilevel"/>
    <w:tmpl w:val="CB2CDBC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A32F9B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636852"/>
    <w:multiLevelType w:val="hybridMultilevel"/>
    <w:tmpl w:val="D792A682"/>
    <w:lvl w:ilvl="0" w:tplc="041B000F">
      <w:start w:val="1"/>
      <w:numFmt w:val="decimal"/>
      <w:lvlText w:val="%1."/>
      <w:lvlJc w:val="left"/>
      <w:pPr>
        <w:ind w:left="1166" w:hanging="360"/>
      </w:pPr>
    </w:lvl>
    <w:lvl w:ilvl="1" w:tplc="041B0019">
      <w:start w:val="1"/>
      <w:numFmt w:val="lowerLetter"/>
      <w:lvlText w:val="%2."/>
      <w:lvlJc w:val="left"/>
      <w:pPr>
        <w:ind w:left="1886" w:hanging="360"/>
      </w:pPr>
    </w:lvl>
    <w:lvl w:ilvl="2" w:tplc="041B001B" w:tentative="1">
      <w:start w:val="1"/>
      <w:numFmt w:val="lowerRoman"/>
      <w:lvlText w:val="%3."/>
      <w:lvlJc w:val="right"/>
      <w:pPr>
        <w:ind w:left="2606" w:hanging="180"/>
      </w:pPr>
    </w:lvl>
    <w:lvl w:ilvl="3" w:tplc="041B000F" w:tentative="1">
      <w:start w:val="1"/>
      <w:numFmt w:val="decimal"/>
      <w:lvlText w:val="%4."/>
      <w:lvlJc w:val="left"/>
      <w:pPr>
        <w:ind w:left="3326" w:hanging="360"/>
      </w:pPr>
    </w:lvl>
    <w:lvl w:ilvl="4" w:tplc="041B0019" w:tentative="1">
      <w:start w:val="1"/>
      <w:numFmt w:val="lowerLetter"/>
      <w:lvlText w:val="%5."/>
      <w:lvlJc w:val="left"/>
      <w:pPr>
        <w:ind w:left="4046" w:hanging="360"/>
      </w:pPr>
    </w:lvl>
    <w:lvl w:ilvl="5" w:tplc="041B001B" w:tentative="1">
      <w:start w:val="1"/>
      <w:numFmt w:val="lowerRoman"/>
      <w:lvlText w:val="%6."/>
      <w:lvlJc w:val="right"/>
      <w:pPr>
        <w:ind w:left="4766" w:hanging="180"/>
      </w:pPr>
    </w:lvl>
    <w:lvl w:ilvl="6" w:tplc="041B000F" w:tentative="1">
      <w:start w:val="1"/>
      <w:numFmt w:val="decimal"/>
      <w:lvlText w:val="%7."/>
      <w:lvlJc w:val="left"/>
      <w:pPr>
        <w:ind w:left="5486" w:hanging="360"/>
      </w:pPr>
    </w:lvl>
    <w:lvl w:ilvl="7" w:tplc="041B0019" w:tentative="1">
      <w:start w:val="1"/>
      <w:numFmt w:val="lowerLetter"/>
      <w:lvlText w:val="%8."/>
      <w:lvlJc w:val="left"/>
      <w:pPr>
        <w:ind w:left="6206" w:hanging="360"/>
      </w:pPr>
    </w:lvl>
    <w:lvl w:ilvl="8" w:tplc="041B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9" w15:restartNumberingAfterBreak="0">
    <w:nsid w:val="6A2F48B8"/>
    <w:multiLevelType w:val="hybridMultilevel"/>
    <w:tmpl w:val="FC9C898E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 w15:restartNumberingAfterBreak="0">
    <w:nsid w:val="72306D0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0B30E9"/>
    <w:multiLevelType w:val="hybridMultilevel"/>
    <w:tmpl w:val="98CC6326"/>
    <w:lvl w:ilvl="0" w:tplc="A4B07E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F11FF1"/>
    <w:multiLevelType w:val="hybridMultilevel"/>
    <w:tmpl w:val="3306F000"/>
    <w:lvl w:ilvl="0" w:tplc="1FC8A5DA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7677C4A"/>
    <w:multiLevelType w:val="hybridMultilevel"/>
    <w:tmpl w:val="7CEA8276"/>
    <w:lvl w:ilvl="0" w:tplc="76C855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7BE78CC"/>
    <w:multiLevelType w:val="multilevel"/>
    <w:tmpl w:val="113A1B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083002"/>
    <w:multiLevelType w:val="hybridMultilevel"/>
    <w:tmpl w:val="D58621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B240BC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9"/>
  </w:num>
  <w:num w:numId="3">
    <w:abstractNumId w:val="32"/>
  </w:num>
  <w:num w:numId="4">
    <w:abstractNumId w:val="9"/>
  </w:num>
  <w:num w:numId="5">
    <w:abstractNumId w:val="2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2"/>
  </w:num>
  <w:num w:numId="10">
    <w:abstractNumId w:val="41"/>
  </w:num>
  <w:num w:numId="11">
    <w:abstractNumId w:val="3"/>
  </w:num>
  <w:num w:numId="12">
    <w:abstractNumId w:val="4"/>
  </w:num>
  <w:num w:numId="13">
    <w:abstractNumId w:val="3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8"/>
  </w:num>
  <w:num w:numId="17">
    <w:abstractNumId w:val="1"/>
  </w:num>
  <w:num w:numId="18">
    <w:abstractNumId w:val="43"/>
  </w:num>
  <w:num w:numId="19">
    <w:abstractNumId w:val="6"/>
  </w:num>
  <w:num w:numId="20">
    <w:abstractNumId w:val="40"/>
  </w:num>
  <w:num w:numId="21">
    <w:abstractNumId w:val="46"/>
  </w:num>
  <w:num w:numId="22">
    <w:abstractNumId w:val="25"/>
  </w:num>
  <w:num w:numId="23">
    <w:abstractNumId w:val="2"/>
  </w:num>
  <w:num w:numId="24">
    <w:abstractNumId w:val="23"/>
  </w:num>
  <w:num w:numId="25">
    <w:abstractNumId w:val="29"/>
  </w:num>
  <w:num w:numId="26">
    <w:abstractNumId w:val="44"/>
  </w:num>
  <w:num w:numId="27">
    <w:abstractNumId w:val="5"/>
  </w:num>
  <w:num w:numId="28">
    <w:abstractNumId w:val="13"/>
  </w:num>
  <w:num w:numId="29">
    <w:abstractNumId w:val="21"/>
  </w:num>
  <w:num w:numId="30">
    <w:abstractNumId w:val="14"/>
  </w:num>
  <w:num w:numId="31">
    <w:abstractNumId w:val="37"/>
  </w:num>
  <w:num w:numId="32">
    <w:abstractNumId w:val="35"/>
  </w:num>
  <w:num w:numId="33">
    <w:abstractNumId w:val="15"/>
  </w:num>
  <w:num w:numId="34">
    <w:abstractNumId w:val="28"/>
  </w:num>
  <w:num w:numId="35">
    <w:abstractNumId w:val="0"/>
  </w:num>
  <w:num w:numId="36">
    <w:abstractNumId w:val="31"/>
  </w:num>
  <w:num w:numId="37">
    <w:abstractNumId w:val="11"/>
  </w:num>
  <w:num w:numId="38">
    <w:abstractNumId w:val="24"/>
  </w:num>
  <w:num w:numId="39">
    <w:abstractNumId w:val="7"/>
  </w:num>
  <w:num w:numId="40">
    <w:abstractNumId w:val="18"/>
  </w:num>
  <w:num w:numId="41">
    <w:abstractNumId w:val="19"/>
  </w:num>
  <w:num w:numId="42">
    <w:abstractNumId w:val="10"/>
  </w:num>
  <w:num w:numId="43">
    <w:abstractNumId w:val="17"/>
  </w:num>
  <w:num w:numId="44">
    <w:abstractNumId w:val="30"/>
  </w:num>
  <w:num w:numId="45">
    <w:abstractNumId w:val="12"/>
  </w:num>
  <w:num w:numId="46">
    <w:abstractNumId w:val="26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51"/>
    <w:rsid w:val="000008B7"/>
    <w:rsid w:val="000008D7"/>
    <w:rsid w:val="00003BD9"/>
    <w:rsid w:val="00007F8E"/>
    <w:rsid w:val="0001034B"/>
    <w:rsid w:val="00010446"/>
    <w:rsid w:val="000133BB"/>
    <w:rsid w:val="00013E54"/>
    <w:rsid w:val="00021E9F"/>
    <w:rsid w:val="00022D84"/>
    <w:rsid w:val="00023155"/>
    <w:rsid w:val="00025F82"/>
    <w:rsid w:val="00026812"/>
    <w:rsid w:val="00030FF0"/>
    <w:rsid w:val="00043674"/>
    <w:rsid w:val="00051EA3"/>
    <w:rsid w:val="00056169"/>
    <w:rsid w:val="000663DB"/>
    <w:rsid w:val="00066FE8"/>
    <w:rsid w:val="00076533"/>
    <w:rsid w:val="00080B20"/>
    <w:rsid w:val="00091DE2"/>
    <w:rsid w:val="00094E36"/>
    <w:rsid w:val="00096801"/>
    <w:rsid w:val="00096C5E"/>
    <w:rsid w:val="000976FD"/>
    <w:rsid w:val="000A0525"/>
    <w:rsid w:val="000A0893"/>
    <w:rsid w:val="000A2675"/>
    <w:rsid w:val="000A37EF"/>
    <w:rsid w:val="000A67E3"/>
    <w:rsid w:val="000A741C"/>
    <w:rsid w:val="000B1938"/>
    <w:rsid w:val="000B2CF2"/>
    <w:rsid w:val="000B4427"/>
    <w:rsid w:val="000B4DF0"/>
    <w:rsid w:val="000C0CF5"/>
    <w:rsid w:val="000C474C"/>
    <w:rsid w:val="000C5B28"/>
    <w:rsid w:val="000C682B"/>
    <w:rsid w:val="000E0E23"/>
    <w:rsid w:val="000E36C8"/>
    <w:rsid w:val="000F5782"/>
    <w:rsid w:val="000F6767"/>
    <w:rsid w:val="000F6AC0"/>
    <w:rsid w:val="00100746"/>
    <w:rsid w:val="00115F2C"/>
    <w:rsid w:val="001202A5"/>
    <w:rsid w:val="00121608"/>
    <w:rsid w:val="00125CCC"/>
    <w:rsid w:val="0013370F"/>
    <w:rsid w:val="00144F66"/>
    <w:rsid w:val="00146BF5"/>
    <w:rsid w:val="001476EE"/>
    <w:rsid w:val="00150641"/>
    <w:rsid w:val="00151272"/>
    <w:rsid w:val="001534BF"/>
    <w:rsid w:val="0015371F"/>
    <w:rsid w:val="001539FE"/>
    <w:rsid w:val="00157022"/>
    <w:rsid w:val="001614A9"/>
    <w:rsid w:val="001628DE"/>
    <w:rsid w:val="001679D1"/>
    <w:rsid w:val="0018080D"/>
    <w:rsid w:val="00186680"/>
    <w:rsid w:val="001902B7"/>
    <w:rsid w:val="001962B6"/>
    <w:rsid w:val="001A1AE8"/>
    <w:rsid w:val="001A2267"/>
    <w:rsid w:val="001A7F7B"/>
    <w:rsid w:val="001B31F2"/>
    <w:rsid w:val="001B7551"/>
    <w:rsid w:val="001C29D4"/>
    <w:rsid w:val="001C3E1B"/>
    <w:rsid w:val="001C4159"/>
    <w:rsid w:val="001C601A"/>
    <w:rsid w:val="001C734C"/>
    <w:rsid w:val="001D47C7"/>
    <w:rsid w:val="001F401E"/>
    <w:rsid w:val="001F71C2"/>
    <w:rsid w:val="00200783"/>
    <w:rsid w:val="00202DD1"/>
    <w:rsid w:val="002065FA"/>
    <w:rsid w:val="002220A1"/>
    <w:rsid w:val="00230B53"/>
    <w:rsid w:val="00231042"/>
    <w:rsid w:val="00237508"/>
    <w:rsid w:val="00243B3D"/>
    <w:rsid w:val="00245F1E"/>
    <w:rsid w:val="002558EA"/>
    <w:rsid w:val="00256039"/>
    <w:rsid w:val="002643F8"/>
    <w:rsid w:val="00266FB1"/>
    <w:rsid w:val="002673A9"/>
    <w:rsid w:val="002739C1"/>
    <w:rsid w:val="002821BA"/>
    <w:rsid w:val="002828F1"/>
    <w:rsid w:val="00283404"/>
    <w:rsid w:val="00284124"/>
    <w:rsid w:val="00285AD6"/>
    <w:rsid w:val="00294095"/>
    <w:rsid w:val="002A62BB"/>
    <w:rsid w:val="002B47A8"/>
    <w:rsid w:val="002B6EB5"/>
    <w:rsid w:val="002D4A6F"/>
    <w:rsid w:val="002E0A9C"/>
    <w:rsid w:val="002F02A5"/>
    <w:rsid w:val="002F2B77"/>
    <w:rsid w:val="002F4D1C"/>
    <w:rsid w:val="002F6981"/>
    <w:rsid w:val="002F6F55"/>
    <w:rsid w:val="003001A7"/>
    <w:rsid w:val="00301C69"/>
    <w:rsid w:val="003110C9"/>
    <w:rsid w:val="003117E5"/>
    <w:rsid w:val="00316CCF"/>
    <w:rsid w:val="00320BD0"/>
    <w:rsid w:val="00331F1E"/>
    <w:rsid w:val="00333042"/>
    <w:rsid w:val="00335BF2"/>
    <w:rsid w:val="00342687"/>
    <w:rsid w:val="00343B04"/>
    <w:rsid w:val="00355349"/>
    <w:rsid w:val="00355A15"/>
    <w:rsid w:val="00362A1C"/>
    <w:rsid w:val="00380A2F"/>
    <w:rsid w:val="0038162A"/>
    <w:rsid w:val="00391745"/>
    <w:rsid w:val="00391A6D"/>
    <w:rsid w:val="00392096"/>
    <w:rsid w:val="003B536F"/>
    <w:rsid w:val="003B5636"/>
    <w:rsid w:val="003B6018"/>
    <w:rsid w:val="003C320B"/>
    <w:rsid w:val="003C6B94"/>
    <w:rsid w:val="003D5F1E"/>
    <w:rsid w:val="003E6CB2"/>
    <w:rsid w:val="003E6D9F"/>
    <w:rsid w:val="003E7844"/>
    <w:rsid w:val="003F6756"/>
    <w:rsid w:val="003F6764"/>
    <w:rsid w:val="0040488E"/>
    <w:rsid w:val="004201F5"/>
    <w:rsid w:val="00420BFC"/>
    <w:rsid w:val="00421084"/>
    <w:rsid w:val="00421873"/>
    <w:rsid w:val="004248A2"/>
    <w:rsid w:val="00424C29"/>
    <w:rsid w:val="00425EE7"/>
    <w:rsid w:val="00427BB2"/>
    <w:rsid w:val="00440D31"/>
    <w:rsid w:val="0044346D"/>
    <w:rsid w:val="00450231"/>
    <w:rsid w:val="00452F53"/>
    <w:rsid w:val="00453C58"/>
    <w:rsid w:val="00455E03"/>
    <w:rsid w:val="0045789F"/>
    <w:rsid w:val="0046431C"/>
    <w:rsid w:val="00481CAC"/>
    <w:rsid w:val="004861FE"/>
    <w:rsid w:val="00491BFD"/>
    <w:rsid w:val="0049584D"/>
    <w:rsid w:val="00495F8E"/>
    <w:rsid w:val="00496353"/>
    <w:rsid w:val="004A2929"/>
    <w:rsid w:val="004A293D"/>
    <w:rsid w:val="004A4B14"/>
    <w:rsid w:val="004B0C8D"/>
    <w:rsid w:val="004B1557"/>
    <w:rsid w:val="004B4A51"/>
    <w:rsid w:val="004C0A19"/>
    <w:rsid w:val="004C5870"/>
    <w:rsid w:val="004C6E90"/>
    <w:rsid w:val="004D17B9"/>
    <w:rsid w:val="004D1E51"/>
    <w:rsid w:val="004D786C"/>
    <w:rsid w:val="004E186B"/>
    <w:rsid w:val="004E6AE1"/>
    <w:rsid w:val="00501857"/>
    <w:rsid w:val="00506A69"/>
    <w:rsid w:val="0051435A"/>
    <w:rsid w:val="00515DFE"/>
    <w:rsid w:val="00516FEF"/>
    <w:rsid w:val="00520ED8"/>
    <w:rsid w:val="00525592"/>
    <w:rsid w:val="00526109"/>
    <w:rsid w:val="00530FBC"/>
    <w:rsid w:val="005345B4"/>
    <w:rsid w:val="00541A39"/>
    <w:rsid w:val="005434A0"/>
    <w:rsid w:val="00551FE4"/>
    <w:rsid w:val="005545AC"/>
    <w:rsid w:val="00556147"/>
    <w:rsid w:val="005676E2"/>
    <w:rsid w:val="005704B7"/>
    <w:rsid w:val="005865F3"/>
    <w:rsid w:val="005918C1"/>
    <w:rsid w:val="00593E11"/>
    <w:rsid w:val="005940BE"/>
    <w:rsid w:val="005A02C1"/>
    <w:rsid w:val="005A3B31"/>
    <w:rsid w:val="005B3602"/>
    <w:rsid w:val="005B3E83"/>
    <w:rsid w:val="005B6162"/>
    <w:rsid w:val="005B7357"/>
    <w:rsid w:val="005B7BF7"/>
    <w:rsid w:val="005D763C"/>
    <w:rsid w:val="005E1CA7"/>
    <w:rsid w:val="005E72A2"/>
    <w:rsid w:val="005E795C"/>
    <w:rsid w:val="005F7F2D"/>
    <w:rsid w:val="006012C2"/>
    <w:rsid w:val="00605703"/>
    <w:rsid w:val="00607E6E"/>
    <w:rsid w:val="00610209"/>
    <w:rsid w:val="00631C80"/>
    <w:rsid w:val="00633E73"/>
    <w:rsid w:val="006366D4"/>
    <w:rsid w:val="00641336"/>
    <w:rsid w:val="00641899"/>
    <w:rsid w:val="006601E5"/>
    <w:rsid w:val="00664AC6"/>
    <w:rsid w:val="00667AA5"/>
    <w:rsid w:val="006836E1"/>
    <w:rsid w:val="006854E2"/>
    <w:rsid w:val="0069191D"/>
    <w:rsid w:val="0069534E"/>
    <w:rsid w:val="006A05E6"/>
    <w:rsid w:val="006A0667"/>
    <w:rsid w:val="006A136D"/>
    <w:rsid w:val="006B0362"/>
    <w:rsid w:val="006B1966"/>
    <w:rsid w:val="006B35E0"/>
    <w:rsid w:val="006C3644"/>
    <w:rsid w:val="006C7EE1"/>
    <w:rsid w:val="006D58D8"/>
    <w:rsid w:val="006D6FF6"/>
    <w:rsid w:val="006E32CB"/>
    <w:rsid w:val="006E3697"/>
    <w:rsid w:val="006F2395"/>
    <w:rsid w:val="006F32DC"/>
    <w:rsid w:val="006F62A8"/>
    <w:rsid w:val="00704F14"/>
    <w:rsid w:val="007064FD"/>
    <w:rsid w:val="00711BAA"/>
    <w:rsid w:val="007146D4"/>
    <w:rsid w:val="00714B55"/>
    <w:rsid w:val="0071612C"/>
    <w:rsid w:val="00726228"/>
    <w:rsid w:val="00732981"/>
    <w:rsid w:val="00751FF0"/>
    <w:rsid w:val="007620AE"/>
    <w:rsid w:val="007629E8"/>
    <w:rsid w:val="00762BD7"/>
    <w:rsid w:val="00762C5F"/>
    <w:rsid w:val="00774D34"/>
    <w:rsid w:val="00783097"/>
    <w:rsid w:val="007949E7"/>
    <w:rsid w:val="007A0F62"/>
    <w:rsid w:val="007A17EE"/>
    <w:rsid w:val="007A3E3A"/>
    <w:rsid w:val="007A47F9"/>
    <w:rsid w:val="007A5A00"/>
    <w:rsid w:val="007B7649"/>
    <w:rsid w:val="007C384A"/>
    <w:rsid w:val="007C6852"/>
    <w:rsid w:val="007C754A"/>
    <w:rsid w:val="007D1152"/>
    <w:rsid w:val="007D1E42"/>
    <w:rsid w:val="007D2689"/>
    <w:rsid w:val="007D6DFC"/>
    <w:rsid w:val="0080613E"/>
    <w:rsid w:val="008077AE"/>
    <w:rsid w:val="008101AF"/>
    <w:rsid w:val="008276AA"/>
    <w:rsid w:val="008364F8"/>
    <w:rsid w:val="00845B52"/>
    <w:rsid w:val="0085144D"/>
    <w:rsid w:val="00853CDD"/>
    <w:rsid w:val="00854623"/>
    <w:rsid w:val="0086144E"/>
    <w:rsid w:val="008620A7"/>
    <w:rsid w:val="00862B81"/>
    <w:rsid w:val="0087704D"/>
    <w:rsid w:val="00880273"/>
    <w:rsid w:val="00882767"/>
    <w:rsid w:val="008849E5"/>
    <w:rsid w:val="00890667"/>
    <w:rsid w:val="00893177"/>
    <w:rsid w:val="00893D88"/>
    <w:rsid w:val="008947CC"/>
    <w:rsid w:val="00896E33"/>
    <w:rsid w:val="008A0A91"/>
    <w:rsid w:val="008A1603"/>
    <w:rsid w:val="008B3AF1"/>
    <w:rsid w:val="008B6B46"/>
    <w:rsid w:val="008C10F4"/>
    <w:rsid w:val="008D087D"/>
    <w:rsid w:val="008D0C2A"/>
    <w:rsid w:val="008D2E3B"/>
    <w:rsid w:val="008D6852"/>
    <w:rsid w:val="008E59D4"/>
    <w:rsid w:val="008F501C"/>
    <w:rsid w:val="008F68B6"/>
    <w:rsid w:val="00902F4D"/>
    <w:rsid w:val="00907AA2"/>
    <w:rsid w:val="0091230B"/>
    <w:rsid w:val="0091707A"/>
    <w:rsid w:val="00920964"/>
    <w:rsid w:val="00922B72"/>
    <w:rsid w:val="00922E4F"/>
    <w:rsid w:val="009435CF"/>
    <w:rsid w:val="00944AE7"/>
    <w:rsid w:val="00944BB2"/>
    <w:rsid w:val="00945589"/>
    <w:rsid w:val="00950074"/>
    <w:rsid w:val="00950D02"/>
    <w:rsid w:val="00952925"/>
    <w:rsid w:val="0095484D"/>
    <w:rsid w:val="0095597C"/>
    <w:rsid w:val="009561E0"/>
    <w:rsid w:val="00957073"/>
    <w:rsid w:val="00961C6A"/>
    <w:rsid w:val="00962AA3"/>
    <w:rsid w:val="009719C6"/>
    <w:rsid w:val="00973C3F"/>
    <w:rsid w:val="00975E12"/>
    <w:rsid w:val="009809F3"/>
    <w:rsid w:val="00990444"/>
    <w:rsid w:val="00991253"/>
    <w:rsid w:val="009950D2"/>
    <w:rsid w:val="009A7CB8"/>
    <w:rsid w:val="009B043A"/>
    <w:rsid w:val="009C3BD9"/>
    <w:rsid w:val="009C73EE"/>
    <w:rsid w:val="009D2789"/>
    <w:rsid w:val="009E0BA8"/>
    <w:rsid w:val="009E1BBC"/>
    <w:rsid w:val="009E4149"/>
    <w:rsid w:val="009E4810"/>
    <w:rsid w:val="009F3506"/>
    <w:rsid w:val="009F56E0"/>
    <w:rsid w:val="009F5ABE"/>
    <w:rsid w:val="00A02ED6"/>
    <w:rsid w:val="00A0702F"/>
    <w:rsid w:val="00A104E1"/>
    <w:rsid w:val="00A216BD"/>
    <w:rsid w:val="00A21B94"/>
    <w:rsid w:val="00A250EC"/>
    <w:rsid w:val="00A31BC3"/>
    <w:rsid w:val="00A3509B"/>
    <w:rsid w:val="00A462A8"/>
    <w:rsid w:val="00A47790"/>
    <w:rsid w:val="00A61E7E"/>
    <w:rsid w:val="00A62C52"/>
    <w:rsid w:val="00A718CF"/>
    <w:rsid w:val="00A73E15"/>
    <w:rsid w:val="00A77DCB"/>
    <w:rsid w:val="00AA5B83"/>
    <w:rsid w:val="00AB1BA2"/>
    <w:rsid w:val="00AB20BD"/>
    <w:rsid w:val="00AB38E4"/>
    <w:rsid w:val="00AE02B0"/>
    <w:rsid w:val="00AE0E50"/>
    <w:rsid w:val="00AE2B88"/>
    <w:rsid w:val="00AE5445"/>
    <w:rsid w:val="00AF69F3"/>
    <w:rsid w:val="00AF7DD5"/>
    <w:rsid w:val="00B02B09"/>
    <w:rsid w:val="00B166F0"/>
    <w:rsid w:val="00B223D9"/>
    <w:rsid w:val="00B22F4C"/>
    <w:rsid w:val="00B250C5"/>
    <w:rsid w:val="00B33040"/>
    <w:rsid w:val="00B33DAC"/>
    <w:rsid w:val="00B350D2"/>
    <w:rsid w:val="00B37EA7"/>
    <w:rsid w:val="00B37F04"/>
    <w:rsid w:val="00B40264"/>
    <w:rsid w:val="00B41521"/>
    <w:rsid w:val="00B4165D"/>
    <w:rsid w:val="00B43834"/>
    <w:rsid w:val="00B460FF"/>
    <w:rsid w:val="00B5647B"/>
    <w:rsid w:val="00B576E4"/>
    <w:rsid w:val="00B73983"/>
    <w:rsid w:val="00B80BBD"/>
    <w:rsid w:val="00B8267B"/>
    <w:rsid w:val="00B82A0D"/>
    <w:rsid w:val="00B8325F"/>
    <w:rsid w:val="00BA527C"/>
    <w:rsid w:val="00BB077B"/>
    <w:rsid w:val="00BB1E20"/>
    <w:rsid w:val="00BB28A1"/>
    <w:rsid w:val="00BB48AC"/>
    <w:rsid w:val="00BB59BB"/>
    <w:rsid w:val="00BB7457"/>
    <w:rsid w:val="00BC2420"/>
    <w:rsid w:val="00BC2BEF"/>
    <w:rsid w:val="00BC5285"/>
    <w:rsid w:val="00BC617E"/>
    <w:rsid w:val="00BD0F02"/>
    <w:rsid w:val="00BD6012"/>
    <w:rsid w:val="00BE406D"/>
    <w:rsid w:val="00BF3669"/>
    <w:rsid w:val="00BF4885"/>
    <w:rsid w:val="00C00BE2"/>
    <w:rsid w:val="00C023A3"/>
    <w:rsid w:val="00C03269"/>
    <w:rsid w:val="00C0722A"/>
    <w:rsid w:val="00C078BD"/>
    <w:rsid w:val="00C1539D"/>
    <w:rsid w:val="00C154F3"/>
    <w:rsid w:val="00C159BE"/>
    <w:rsid w:val="00C16B01"/>
    <w:rsid w:val="00C217C5"/>
    <w:rsid w:val="00C220F7"/>
    <w:rsid w:val="00C37511"/>
    <w:rsid w:val="00C544EF"/>
    <w:rsid w:val="00C65A9C"/>
    <w:rsid w:val="00C70AF1"/>
    <w:rsid w:val="00C73085"/>
    <w:rsid w:val="00C7480E"/>
    <w:rsid w:val="00C77867"/>
    <w:rsid w:val="00C81D17"/>
    <w:rsid w:val="00C81E4A"/>
    <w:rsid w:val="00C821A8"/>
    <w:rsid w:val="00C839A7"/>
    <w:rsid w:val="00C8582D"/>
    <w:rsid w:val="00C94B09"/>
    <w:rsid w:val="00C96643"/>
    <w:rsid w:val="00C978E1"/>
    <w:rsid w:val="00CB055B"/>
    <w:rsid w:val="00CC0A1D"/>
    <w:rsid w:val="00CC3020"/>
    <w:rsid w:val="00CC7E31"/>
    <w:rsid w:val="00CD12D5"/>
    <w:rsid w:val="00CD17D0"/>
    <w:rsid w:val="00CD6007"/>
    <w:rsid w:val="00CD7788"/>
    <w:rsid w:val="00CE59F1"/>
    <w:rsid w:val="00CF4AD2"/>
    <w:rsid w:val="00D03B95"/>
    <w:rsid w:val="00D03E42"/>
    <w:rsid w:val="00D13B00"/>
    <w:rsid w:val="00D164C3"/>
    <w:rsid w:val="00D201E0"/>
    <w:rsid w:val="00D36B15"/>
    <w:rsid w:val="00D4059E"/>
    <w:rsid w:val="00D41E23"/>
    <w:rsid w:val="00D4286E"/>
    <w:rsid w:val="00D4386B"/>
    <w:rsid w:val="00D44FD2"/>
    <w:rsid w:val="00D476FA"/>
    <w:rsid w:val="00D47B93"/>
    <w:rsid w:val="00D5016A"/>
    <w:rsid w:val="00D63239"/>
    <w:rsid w:val="00D72558"/>
    <w:rsid w:val="00D85203"/>
    <w:rsid w:val="00D90CDF"/>
    <w:rsid w:val="00DA0B4E"/>
    <w:rsid w:val="00DA0FC3"/>
    <w:rsid w:val="00DA73EC"/>
    <w:rsid w:val="00DC583D"/>
    <w:rsid w:val="00DD2E7A"/>
    <w:rsid w:val="00DD4259"/>
    <w:rsid w:val="00DE1394"/>
    <w:rsid w:val="00DE3074"/>
    <w:rsid w:val="00DE3193"/>
    <w:rsid w:val="00DF0C34"/>
    <w:rsid w:val="00E0287B"/>
    <w:rsid w:val="00E05AF9"/>
    <w:rsid w:val="00E05B37"/>
    <w:rsid w:val="00E07359"/>
    <w:rsid w:val="00E11EA0"/>
    <w:rsid w:val="00E14199"/>
    <w:rsid w:val="00E201FB"/>
    <w:rsid w:val="00E30307"/>
    <w:rsid w:val="00E35931"/>
    <w:rsid w:val="00E42840"/>
    <w:rsid w:val="00E43B23"/>
    <w:rsid w:val="00E45975"/>
    <w:rsid w:val="00E51A19"/>
    <w:rsid w:val="00E54BFB"/>
    <w:rsid w:val="00E57335"/>
    <w:rsid w:val="00E711C6"/>
    <w:rsid w:val="00E81E13"/>
    <w:rsid w:val="00E92A54"/>
    <w:rsid w:val="00E92CC2"/>
    <w:rsid w:val="00E935EB"/>
    <w:rsid w:val="00EB0B68"/>
    <w:rsid w:val="00EB2935"/>
    <w:rsid w:val="00EC4133"/>
    <w:rsid w:val="00EC780C"/>
    <w:rsid w:val="00ED3105"/>
    <w:rsid w:val="00ED511F"/>
    <w:rsid w:val="00EE31B1"/>
    <w:rsid w:val="00EE3AF6"/>
    <w:rsid w:val="00EE4F99"/>
    <w:rsid w:val="00F07A31"/>
    <w:rsid w:val="00F101B1"/>
    <w:rsid w:val="00F13B5C"/>
    <w:rsid w:val="00F140DC"/>
    <w:rsid w:val="00F22059"/>
    <w:rsid w:val="00F241DC"/>
    <w:rsid w:val="00F32093"/>
    <w:rsid w:val="00F41951"/>
    <w:rsid w:val="00F4580B"/>
    <w:rsid w:val="00F46C9D"/>
    <w:rsid w:val="00F51505"/>
    <w:rsid w:val="00F643D2"/>
    <w:rsid w:val="00F65671"/>
    <w:rsid w:val="00F7080F"/>
    <w:rsid w:val="00F73449"/>
    <w:rsid w:val="00F77482"/>
    <w:rsid w:val="00F77E8E"/>
    <w:rsid w:val="00F8078E"/>
    <w:rsid w:val="00F8230C"/>
    <w:rsid w:val="00FA2C57"/>
    <w:rsid w:val="00FA4818"/>
    <w:rsid w:val="00FC3DE3"/>
    <w:rsid w:val="00FC5881"/>
    <w:rsid w:val="00FD090C"/>
    <w:rsid w:val="00FD2B8A"/>
    <w:rsid w:val="00FD733A"/>
    <w:rsid w:val="00FE574C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EEBE0"/>
  <w14:defaultImageDpi w14:val="0"/>
  <w15:docId w15:val="{1A70A956-6CA5-44AF-907C-38FBF2A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75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59B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755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1B7551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B7551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B59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B7551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1B7551"/>
    <w:rPr>
      <w:rFonts w:ascii="Times New Roman" w:hAnsi="Times New Roman" w:cs="Times New Roman"/>
      <w:b/>
      <w:bCs/>
      <w:lang w:val="x-none" w:eastAsia="sk-SK"/>
    </w:rPr>
  </w:style>
  <w:style w:type="paragraph" w:styleId="Zkladntext3">
    <w:name w:val="Body Text 3"/>
    <w:basedOn w:val="Normlny"/>
    <w:link w:val="Zkladntext3Char"/>
    <w:uiPriority w:val="99"/>
    <w:rsid w:val="001B7551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1B7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B7551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1B7551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1B7551"/>
    <w:rPr>
      <w:rFonts w:ascii="Times New Roman" w:hAnsi="Times New Roman" w:cs="Times New Roman"/>
      <w:sz w:val="20"/>
      <w:szCs w:val="20"/>
      <w:lang w:val="x-none" w:eastAsia="sk-SK"/>
    </w:rPr>
  </w:style>
  <w:style w:type="paragraph" w:customStyle="1" w:styleId="Normlny0">
    <w:name w:val="_Normálny"/>
    <w:basedOn w:val="Normlny"/>
    <w:rsid w:val="001B7551"/>
    <w:rPr>
      <w:sz w:val="20"/>
      <w:szCs w:val="20"/>
    </w:rPr>
  </w:style>
  <w:style w:type="paragraph" w:customStyle="1" w:styleId="CarCharCharCharCharChar1">
    <w:name w:val="Car Char Char Char Char Char1"/>
    <w:basedOn w:val="Normlny"/>
    <w:rsid w:val="001B7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ywebov8">
    <w:name w:val="Normálny (webový)8"/>
    <w:basedOn w:val="Normlny"/>
    <w:rsid w:val="001B7551"/>
    <w:pPr>
      <w:spacing w:before="90" w:after="90"/>
      <w:ind w:left="270" w:right="270"/>
    </w:pPr>
    <w:rPr>
      <w:sz w:val="22"/>
      <w:szCs w:val="22"/>
    </w:rPr>
  </w:style>
  <w:style w:type="paragraph" w:customStyle="1" w:styleId="Default">
    <w:name w:val="Default"/>
    <w:rsid w:val="001B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B7551"/>
    <w:pPr>
      <w:widowControl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1B755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551"/>
    <w:pPr>
      <w:widowControl/>
      <w:adjustRightInd/>
      <w:spacing w:after="160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B7551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B7551"/>
    <w:rPr>
      <w:rFonts w:ascii="Tahoma" w:hAnsi="Tahoma" w:cs="Tahoma"/>
      <w:sz w:val="16"/>
      <w:szCs w:val="16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7551"/>
    <w:rPr>
      <w:rFonts w:cs="Times New Roman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1B7551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1B7551"/>
    <w:pPr>
      <w:widowControl/>
      <w:adjustRightInd/>
      <w:spacing w:before="144" w:after="144"/>
    </w:pPr>
  </w:style>
  <w:style w:type="paragraph" w:styleId="Bezriadkovania">
    <w:name w:val="No Spacing"/>
    <w:uiPriority w:val="1"/>
    <w:qFormat/>
    <w:rsid w:val="001B7551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9950D2"/>
    <w:rPr>
      <w:rFonts w:ascii="EU Albertina" w:hAnsi="EU Albertina"/>
      <w:color w:val="auto"/>
      <w:lang w:eastAsia="en-US"/>
    </w:rPr>
  </w:style>
  <w:style w:type="character" w:customStyle="1" w:styleId="fontstyle01">
    <w:name w:val="fontstyle01"/>
    <w:basedOn w:val="Predvolenpsmoodseku"/>
    <w:rsid w:val="003110C9"/>
    <w:rPr>
      <w:rFonts w:ascii="TeXGyreBonumRegular" w:hAnsi="TeXGyreBonumRegular" w:cs="Times New Roman"/>
      <w:color w:val="000000"/>
      <w:sz w:val="20"/>
      <w:szCs w:val="20"/>
    </w:rPr>
  </w:style>
  <w:style w:type="character" w:styleId="Siln">
    <w:name w:val="Strong"/>
    <w:basedOn w:val="Predvolenpsmoodseku"/>
    <w:uiPriority w:val="22"/>
    <w:qFormat/>
    <w:rsid w:val="00A77DCB"/>
    <w:rPr>
      <w:rFonts w:cs="Times New Roman"/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F6756"/>
    <w:pPr>
      <w:spacing w:after="0"/>
    </w:pPr>
    <w:rPr>
      <w:rFonts w:ascii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F6756"/>
    <w:rPr>
      <w:rFonts w:ascii="Calibri" w:hAnsi="Calibri" w:cs="Calibri"/>
      <w:b/>
      <w:bCs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F823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8230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7A0F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F62"/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B536F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16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1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817">
          <w:marLeft w:val="0"/>
          <w:marRight w:val="0"/>
          <w:marTop w:val="2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81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tab.-zhody-2015_849_novela-zákona-272_2015_MPK"/>
    <f:field ref="objsubject" par="" edit="true" text=""/>
    <f:field ref="objcreatedby" par="" text="Blaho, Peter, JUDr."/>
    <f:field ref="objcreatedat" par="" text="8.9.2022 13:22:06"/>
    <f:field ref="objchangedby" par="" text="Administrator, System"/>
    <f:field ref="objmodifiedat" par="" text="8.9.2022 13:22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53809D-83C6-4041-8BC7-D6551A01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Beník</dc:creator>
  <cp:keywords/>
  <dc:description/>
  <cp:lastModifiedBy>Blaho Peter</cp:lastModifiedBy>
  <cp:revision>5</cp:revision>
  <cp:lastPrinted>2020-04-28T08:42:00Z</cp:lastPrinted>
  <dcterms:created xsi:type="dcterms:W3CDTF">2023-04-04T11:42:00Z</dcterms:created>
  <dcterms:modified xsi:type="dcterms:W3CDTF">2023-04-05T07:04:00Z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272/2015 Z. z. o registri právnických osôb, podnikateľov a orgánov verejnej moci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január až jún 2021</vt:lpwstr>
  </property>
  <property fmtid="{D5CDD505-2E9C-101B-9397-08002B2CF9AE}" pid="23" name="FSC#SKEDITIONSLOVLEX@103.510:plnynazovpredpis">
    <vt:lpwstr> Zákon, ktorým sa mení a dopĺňa zákon č. 272/2015 Z. z. o registri právnických osôb, podnikateľov a orgánov verejnej moci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10430-745/2022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LP/2022/520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8. 9. 2022</vt:lpwstr>
  </property>
  <property fmtid="{D5CDD505-2E9C-101B-9397-08002B2CF9AE}" pid="151" name="FSC#COOSYSTEM@1.1:Container">
    <vt:lpwstr>COO.2145.1000.3.5174896</vt:lpwstr>
  </property>
  <property fmtid="{D5CDD505-2E9C-101B-9397-08002B2CF9AE}" pid="152" name="FSC#FSCFOLIO@1.1001:docpropproject">
    <vt:lpwstr/>
  </property>
</Properties>
</file>