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94F3F" w14:textId="77777777" w:rsidR="00813F80" w:rsidRDefault="00813F80" w:rsidP="00813F80">
      <w:pPr>
        <w:jc w:val="center"/>
        <w:rPr>
          <w:b/>
          <w:sz w:val="25"/>
          <w:szCs w:val="25"/>
        </w:rPr>
      </w:pPr>
      <w:r>
        <w:rPr>
          <w:b/>
          <w:sz w:val="25"/>
          <w:szCs w:val="25"/>
        </w:rPr>
        <w:t>DÔVODOVÁ SPRÁVA</w:t>
      </w:r>
    </w:p>
    <w:p w14:paraId="4321FC87" w14:textId="77777777" w:rsidR="00813F80" w:rsidRDefault="00813F80" w:rsidP="00813F80">
      <w:pPr>
        <w:jc w:val="center"/>
        <w:rPr>
          <w:b/>
        </w:rPr>
      </w:pPr>
    </w:p>
    <w:p w14:paraId="09E19C51" w14:textId="77777777" w:rsidR="00813F80" w:rsidRDefault="00813F80" w:rsidP="00813F80">
      <w:pPr>
        <w:pStyle w:val="Odsekzoznamu"/>
        <w:numPr>
          <w:ilvl w:val="0"/>
          <w:numId w:val="14"/>
        </w:numPr>
        <w:spacing w:after="0"/>
        <w:ind w:left="284" w:hanging="284"/>
        <w:jc w:val="both"/>
        <w:rPr>
          <w:rFonts w:ascii="Times New Roman" w:hAnsi="Times New Roman" w:cs="Times New Roman"/>
          <w:b/>
          <w:sz w:val="24"/>
          <w:szCs w:val="24"/>
        </w:rPr>
      </w:pPr>
      <w:r>
        <w:rPr>
          <w:rFonts w:ascii="Times New Roman" w:hAnsi="Times New Roman" w:cs="Times New Roman"/>
          <w:b/>
          <w:sz w:val="24"/>
          <w:szCs w:val="24"/>
        </w:rPr>
        <w:t>Všeobecná časť</w:t>
      </w:r>
    </w:p>
    <w:p w14:paraId="2F3677AA" w14:textId="77777777" w:rsidR="00813F80" w:rsidRDefault="00813F80" w:rsidP="00813F80">
      <w:pPr>
        <w:pStyle w:val="Normlnywebov"/>
        <w:spacing w:before="0" w:beforeAutospacing="0"/>
        <w:jc w:val="both"/>
      </w:pPr>
      <w:r>
        <w:t xml:space="preserve">Návrh zákona, ktorým sa mení a dopĺňa zákon č. 60/2018 Z. z. o technickej normalizácii </w:t>
      </w:r>
      <w:r>
        <w:br/>
        <w:t>v znení neskorších predpisov (ďalej len „návrh zákona“) sa predkladá v súlade s bodom A.1. uznesenia vlády Slovenskej republiky č. 15 zo dňa 12. januára 2022 k návrhu Plánu legislatívnych úloh vlády Slovenskej republiky na rok 2022.</w:t>
      </w:r>
    </w:p>
    <w:p w14:paraId="57997CFD" w14:textId="77777777" w:rsidR="00813F80" w:rsidRDefault="00813F80" w:rsidP="00813F80">
      <w:pPr>
        <w:pStyle w:val="Normlnywebov"/>
        <w:jc w:val="both"/>
      </w:pPr>
      <w:r>
        <w:t xml:space="preserve">Aktuálne znenie zákona č. 60/2018 Z. z. o technickej normalizácii v znení neskorších predpisov (ďalej len „zákon“) neumožňuje Úradu pre normalizáciu, metrológiu a skúšobníctvo Slovenskej republiky (ďalej len „úrad“) poveriť vykonávaním činností v oblasti technickej normalizácie inú právnickú osobu. Z dôvodu, že tento súčasný model fungovania technickej normalizácie nedokáže pružne reagovať na potreby a požiadavky verejnosti, cieľom návrhu zákona je vytvoriť legislatívne podmienky pre možnosť úradu poveriť vykonávaním niektorých alebo všetkých činností slovenského národného normalizačného orgánu inú právnickú osobu (ďalej len „poverená právnická osoba“). V prípade poverenia právnickej osoby vykonávaním všetkých činností slovenského národného normalizačného orgánu nadobúda, podľa návrhu zákona, poverená právnická osoba dňom oznámenia Európskej komisii postavenie slovenského národného normalizačného orgánu. Tvorbe návrhu zákona predchádzala aj analýza fungovania technickej normalizácie v ostatných členských štátoch Európskej únie, kde je štandardom, </w:t>
      </w:r>
      <w:r>
        <w:br/>
        <w:t xml:space="preserve">že technická normalizácia je oddelená od orgánu štátnej správy. </w:t>
      </w:r>
    </w:p>
    <w:p w14:paraId="365CD3A5" w14:textId="77777777" w:rsidR="00813F80" w:rsidRDefault="00813F80" w:rsidP="00813F80">
      <w:pPr>
        <w:pStyle w:val="Normlnywebov"/>
        <w:jc w:val="both"/>
      </w:pPr>
      <w:r>
        <w:t>Cieľom návrhu zákona je aj úprava základných pojmov a ďalšie zmeny, ktorých potreba vykonania vyplynula z aplikačnej praxe.</w:t>
      </w:r>
    </w:p>
    <w:p w14:paraId="223043B3" w14:textId="77777777" w:rsidR="00813F80" w:rsidRDefault="00813F80" w:rsidP="00813F80">
      <w:pPr>
        <w:pStyle w:val="Normlnywebov"/>
        <w:jc w:val="both"/>
      </w:pPr>
      <w:r>
        <w:t xml:space="preserve">Návrh zákona nebude mať vplyv na rozpočet verejnej správy, na podnikateľské prostredie, </w:t>
      </w:r>
      <w:r>
        <w:br/>
        <w:t>na životné prostredie, na informatizáciu spoločnosti, sociálne vplyvy, vplyvy na manželstvo, rodičovstvo a rodinu, vplyvy na služby verejnej správy pre občana.</w:t>
      </w:r>
    </w:p>
    <w:p w14:paraId="30A1ECF1" w14:textId="77777777" w:rsidR="00813F80" w:rsidRDefault="00813F80" w:rsidP="00813F80">
      <w:pPr>
        <w:pStyle w:val="Normlnywebov"/>
        <w:jc w:val="both"/>
      </w:pPr>
      <w:r>
        <w:t xml:space="preserve">Predložený návrh zákona je v súlade s Ústavou Slovenskej republiky, ústavnými zákonmi, nálezmi Ústavného súdu Slovenskej republiky, so zákonmi a ostatnými všeobecne záväznými právnymi predpismi Slovenskej republiky, </w:t>
      </w:r>
      <w:r>
        <w:rPr>
          <w:rStyle w:val="Zstupntext"/>
          <w:color w:val="000000"/>
        </w:rPr>
        <w:t>s medzinárodnými zmluvami a inými medzinárodnými dokumentmi, ktorými je Slovenská republika viazaná, ako aj s právom Európskej únie.</w:t>
      </w:r>
    </w:p>
    <w:p w14:paraId="4FA3E4C0" w14:textId="77777777" w:rsidR="00E274B7" w:rsidRDefault="00E274B7" w:rsidP="00E274B7">
      <w:pPr>
        <w:ind w:firstLine="708"/>
        <w:jc w:val="both"/>
        <w:rPr>
          <w:rStyle w:val="Zstupntext"/>
          <w:color w:val="000000"/>
        </w:rPr>
      </w:pPr>
    </w:p>
    <w:p w14:paraId="5D8B8951" w14:textId="77777777" w:rsidR="00E274B7" w:rsidRDefault="00E274B7" w:rsidP="00E274B7">
      <w:pPr>
        <w:ind w:firstLine="708"/>
        <w:jc w:val="both"/>
        <w:rPr>
          <w:rStyle w:val="Zstupntext"/>
          <w:color w:val="000000"/>
        </w:rPr>
      </w:pPr>
    </w:p>
    <w:p w14:paraId="4D1FD406" w14:textId="77777777" w:rsidR="00E274B7" w:rsidRDefault="00E274B7" w:rsidP="00E274B7">
      <w:pPr>
        <w:ind w:firstLine="708"/>
        <w:jc w:val="both"/>
        <w:rPr>
          <w:rStyle w:val="Zstupntext"/>
          <w:color w:val="000000"/>
        </w:rPr>
      </w:pPr>
    </w:p>
    <w:p w14:paraId="5915BDB9" w14:textId="77777777" w:rsidR="00E274B7" w:rsidRDefault="00E274B7" w:rsidP="00E274B7">
      <w:pPr>
        <w:ind w:firstLine="708"/>
        <w:jc w:val="both"/>
        <w:rPr>
          <w:rStyle w:val="Zstupntext"/>
          <w:color w:val="000000"/>
        </w:rPr>
      </w:pPr>
    </w:p>
    <w:p w14:paraId="321C505A" w14:textId="77777777" w:rsidR="00E274B7" w:rsidRDefault="00E274B7" w:rsidP="00E274B7">
      <w:pPr>
        <w:ind w:firstLine="708"/>
        <w:jc w:val="both"/>
        <w:rPr>
          <w:rStyle w:val="Zstupntext"/>
          <w:color w:val="000000"/>
        </w:rPr>
      </w:pPr>
    </w:p>
    <w:p w14:paraId="034366FD" w14:textId="77777777" w:rsidR="00E274B7" w:rsidRDefault="00E274B7" w:rsidP="00E274B7">
      <w:pPr>
        <w:ind w:firstLine="708"/>
        <w:jc w:val="both"/>
        <w:rPr>
          <w:rStyle w:val="Zstupntext"/>
          <w:color w:val="000000"/>
        </w:rPr>
      </w:pPr>
    </w:p>
    <w:p w14:paraId="4BD2A6AA" w14:textId="77777777" w:rsidR="00E274B7" w:rsidRDefault="00E274B7" w:rsidP="00E274B7">
      <w:pPr>
        <w:ind w:firstLine="708"/>
        <w:jc w:val="both"/>
        <w:rPr>
          <w:rStyle w:val="Zstupntext"/>
          <w:color w:val="000000"/>
        </w:rPr>
      </w:pPr>
    </w:p>
    <w:p w14:paraId="6B50AEC9" w14:textId="77777777" w:rsidR="00E274B7" w:rsidRDefault="00E274B7" w:rsidP="00E274B7">
      <w:pPr>
        <w:ind w:firstLine="708"/>
        <w:jc w:val="both"/>
        <w:rPr>
          <w:rStyle w:val="Zstupntext"/>
          <w:color w:val="000000"/>
        </w:rPr>
      </w:pPr>
    </w:p>
    <w:p w14:paraId="114E3C80" w14:textId="77777777" w:rsidR="00E274B7" w:rsidRDefault="00E274B7" w:rsidP="00E274B7">
      <w:pPr>
        <w:ind w:firstLine="708"/>
        <w:jc w:val="both"/>
        <w:rPr>
          <w:rStyle w:val="Zstupntext"/>
          <w:color w:val="000000"/>
        </w:rPr>
      </w:pPr>
    </w:p>
    <w:p w14:paraId="0173A823" w14:textId="77777777" w:rsidR="00E274B7" w:rsidRDefault="00E274B7" w:rsidP="00E274B7">
      <w:pPr>
        <w:ind w:firstLine="708"/>
        <w:jc w:val="both"/>
        <w:rPr>
          <w:rStyle w:val="Zstupntext"/>
          <w:color w:val="000000"/>
        </w:rPr>
      </w:pPr>
    </w:p>
    <w:p w14:paraId="4D05EB94" w14:textId="77777777" w:rsidR="00E274B7" w:rsidRDefault="00E274B7" w:rsidP="00E274B7">
      <w:pPr>
        <w:ind w:firstLine="708"/>
        <w:jc w:val="both"/>
        <w:rPr>
          <w:rStyle w:val="Zstupntext"/>
          <w:color w:val="000000"/>
        </w:rPr>
      </w:pPr>
    </w:p>
    <w:p w14:paraId="772B74B0" w14:textId="77777777" w:rsidR="00E274B7" w:rsidRDefault="00E274B7" w:rsidP="00E274B7">
      <w:pPr>
        <w:ind w:firstLine="708"/>
        <w:jc w:val="both"/>
        <w:rPr>
          <w:rStyle w:val="Zstupntext"/>
          <w:color w:val="000000"/>
        </w:rPr>
      </w:pPr>
    </w:p>
    <w:p w14:paraId="59288D21" w14:textId="3FF3B375" w:rsidR="00E274B7" w:rsidRDefault="00E274B7" w:rsidP="00E274B7">
      <w:pPr>
        <w:ind w:firstLine="708"/>
        <w:jc w:val="both"/>
        <w:rPr>
          <w:rStyle w:val="Zstupntext"/>
          <w:color w:val="000000"/>
        </w:rPr>
      </w:pPr>
    </w:p>
    <w:p w14:paraId="03385B56" w14:textId="1C833BAF" w:rsidR="000A27F1" w:rsidRDefault="000A27F1" w:rsidP="00E274B7">
      <w:pPr>
        <w:ind w:firstLine="708"/>
        <w:jc w:val="both"/>
        <w:rPr>
          <w:rStyle w:val="Zstupntext"/>
          <w:color w:val="000000"/>
        </w:rPr>
      </w:pPr>
    </w:p>
    <w:p w14:paraId="7195755F" w14:textId="77777777" w:rsidR="000A27F1" w:rsidRDefault="000A27F1" w:rsidP="00E274B7">
      <w:pPr>
        <w:ind w:firstLine="708"/>
        <w:jc w:val="both"/>
        <w:rPr>
          <w:rStyle w:val="Zstupntext"/>
          <w:color w:val="000000"/>
        </w:rPr>
      </w:pPr>
    </w:p>
    <w:p w14:paraId="03BB1B4F" w14:textId="77777777" w:rsidR="00E274B7" w:rsidRPr="006045CB" w:rsidRDefault="00E274B7" w:rsidP="00E274B7">
      <w:pPr>
        <w:jc w:val="center"/>
        <w:rPr>
          <w:b/>
          <w:sz w:val="28"/>
          <w:szCs w:val="28"/>
        </w:rPr>
      </w:pPr>
      <w:r>
        <w:rPr>
          <w:b/>
          <w:sz w:val="28"/>
          <w:szCs w:val="28"/>
        </w:rPr>
        <w:lastRenderedPageBreak/>
        <w:t>D</w:t>
      </w:r>
      <w:r w:rsidRPr="006045CB">
        <w:rPr>
          <w:b/>
          <w:sz w:val="28"/>
          <w:szCs w:val="28"/>
        </w:rPr>
        <w:t>oložka vybraných vplyvov</w:t>
      </w:r>
    </w:p>
    <w:p w14:paraId="3C1363E4" w14:textId="77777777" w:rsidR="00E274B7" w:rsidRPr="00B043B4" w:rsidRDefault="00E274B7" w:rsidP="00E274B7">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E274B7" w:rsidRPr="00B043B4" w14:paraId="4CC3F092" w14:textId="77777777" w:rsidTr="00241373">
        <w:tc>
          <w:tcPr>
            <w:tcW w:w="9180" w:type="dxa"/>
            <w:gridSpan w:val="11"/>
            <w:tcBorders>
              <w:bottom w:val="single" w:sz="4" w:space="0" w:color="FFFFFF"/>
            </w:tcBorders>
            <w:shd w:val="clear" w:color="auto" w:fill="E2E2E2"/>
          </w:tcPr>
          <w:p w14:paraId="4EEBF286" w14:textId="77777777" w:rsidR="00E274B7" w:rsidRPr="00B043B4" w:rsidRDefault="00E274B7" w:rsidP="00241373">
            <w:pPr>
              <w:widowControl/>
              <w:numPr>
                <w:ilvl w:val="0"/>
                <w:numId w:val="1"/>
              </w:numPr>
              <w:adjustRightInd/>
              <w:ind w:left="426"/>
              <w:contextualSpacing/>
              <w:rPr>
                <w:rFonts w:eastAsia="Calibri"/>
                <w:b/>
              </w:rPr>
            </w:pPr>
            <w:r w:rsidRPr="00B043B4">
              <w:rPr>
                <w:rFonts w:eastAsia="Calibri"/>
                <w:b/>
              </w:rPr>
              <w:t>Základné údaje</w:t>
            </w:r>
          </w:p>
        </w:tc>
      </w:tr>
      <w:tr w:rsidR="00E274B7" w:rsidRPr="00B043B4" w14:paraId="1CF98534" w14:textId="77777777" w:rsidTr="00241373">
        <w:tc>
          <w:tcPr>
            <w:tcW w:w="9180" w:type="dxa"/>
            <w:gridSpan w:val="11"/>
            <w:tcBorders>
              <w:bottom w:val="single" w:sz="4" w:space="0" w:color="FFFFFF"/>
            </w:tcBorders>
            <w:shd w:val="clear" w:color="auto" w:fill="E2E2E2"/>
          </w:tcPr>
          <w:p w14:paraId="13F0EE7A" w14:textId="77777777" w:rsidR="00E274B7" w:rsidRPr="00B043B4" w:rsidRDefault="00E274B7" w:rsidP="00241373">
            <w:pPr>
              <w:spacing w:after="200" w:line="276" w:lineRule="auto"/>
              <w:ind w:left="142"/>
              <w:contextualSpacing/>
              <w:rPr>
                <w:rFonts w:eastAsia="Calibri"/>
                <w:b/>
              </w:rPr>
            </w:pPr>
            <w:r w:rsidRPr="00B043B4">
              <w:rPr>
                <w:rFonts w:eastAsia="Calibri"/>
                <w:b/>
              </w:rPr>
              <w:t>Názov materiálu</w:t>
            </w:r>
          </w:p>
        </w:tc>
      </w:tr>
      <w:tr w:rsidR="00E274B7" w:rsidRPr="00B043B4" w14:paraId="794CF919" w14:textId="77777777" w:rsidTr="00241373">
        <w:tc>
          <w:tcPr>
            <w:tcW w:w="9180" w:type="dxa"/>
            <w:gridSpan w:val="11"/>
            <w:tcBorders>
              <w:top w:val="single" w:sz="4" w:space="0" w:color="FFFFFF"/>
              <w:bottom w:val="single" w:sz="4" w:space="0" w:color="auto"/>
            </w:tcBorders>
          </w:tcPr>
          <w:p w14:paraId="2B77EF4A" w14:textId="77777777" w:rsidR="00E274B7" w:rsidRPr="00B043B4" w:rsidRDefault="00E274B7" w:rsidP="00241373">
            <w:pPr>
              <w:rPr>
                <w:rFonts w:eastAsia="Times New Roman"/>
                <w:sz w:val="20"/>
                <w:szCs w:val="20"/>
              </w:rPr>
            </w:pPr>
            <w:r>
              <w:rPr>
                <w:rFonts w:eastAsia="Times New Roman"/>
                <w:sz w:val="20"/>
                <w:szCs w:val="20"/>
              </w:rPr>
              <w:t>Návrh zákona, ktorým sa mení a dopĺňa zákona č. 60/2018 Z. z. o technickej normalizácii v znení neskorších predpisov (ďalej len „návrh zákona“)</w:t>
            </w:r>
          </w:p>
          <w:p w14:paraId="3323A3BB" w14:textId="77777777" w:rsidR="00E274B7" w:rsidRPr="00B043B4" w:rsidRDefault="00E274B7" w:rsidP="00241373">
            <w:pPr>
              <w:rPr>
                <w:rFonts w:eastAsia="Times New Roman"/>
                <w:sz w:val="20"/>
                <w:szCs w:val="20"/>
              </w:rPr>
            </w:pPr>
          </w:p>
        </w:tc>
      </w:tr>
      <w:tr w:rsidR="00E274B7" w:rsidRPr="00B043B4" w14:paraId="43F9CFC8" w14:textId="77777777" w:rsidTr="00241373">
        <w:tc>
          <w:tcPr>
            <w:tcW w:w="9180" w:type="dxa"/>
            <w:gridSpan w:val="11"/>
            <w:tcBorders>
              <w:top w:val="single" w:sz="4" w:space="0" w:color="auto"/>
              <w:left w:val="single" w:sz="4" w:space="0" w:color="auto"/>
              <w:bottom w:val="single" w:sz="4" w:space="0" w:color="FFFFFF"/>
            </w:tcBorders>
            <w:shd w:val="clear" w:color="auto" w:fill="E2E2E2"/>
          </w:tcPr>
          <w:p w14:paraId="18FD2ED1" w14:textId="77777777" w:rsidR="00E274B7" w:rsidRPr="00B043B4" w:rsidRDefault="00E274B7" w:rsidP="00241373">
            <w:pPr>
              <w:spacing w:after="200" w:line="276" w:lineRule="auto"/>
              <w:ind w:left="142"/>
              <w:contextualSpacing/>
              <w:rPr>
                <w:rFonts w:eastAsia="Calibri"/>
                <w:b/>
              </w:rPr>
            </w:pPr>
            <w:r w:rsidRPr="00B043B4">
              <w:rPr>
                <w:rFonts w:eastAsia="Calibri"/>
                <w:b/>
              </w:rPr>
              <w:t>Predkladateľ (a spolupredkladateľ)</w:t>
            </w:r>
          </w:p>
        </w:tc>
      </w:tr>
      <w:tr w:rsidR="00E274B7" w:rsidRPr="00B043B4" w14:paraId="0F7093C5" w14:textId="77777777" w:rsidTr="00241373">
        <w:tc>
          <w:tcPr>
            <w:tcW w:w="9180" w:type="dxa"/>
            <w:gridSpan w:val="11"/>
            <w:tcBorders>
              <w:top w:val="single" w:sz="4" w:space="0" w:color="FFFFFF"/>
              <w:left w:val="single" w:sz="4" w:space="0" w:color="auto"/>
              <w:bottom w:val="single" w:sz="4" w:space="0" w:color="auto"/>
            </w:tcBorders>
            <w:shd w:val="clear" w:color="auto" w:fill="FFFFFF"/>
          </w:tcPr>
          <w:p w14:paraId="61A50CE9" w14:textId="77777777" w:rsidR="00E274B7" w:rsidRPr="00B043B4" w:rsidRDefault="00E274B7" w:rsidP="00241373">
            <w:pPr>
              <w:rPr>
                <w:rFonts w:eastAsia="Times New Roman"/>
                <w:sz w:val="20"/>
                <w:szCs w:val="20"/>
              </w:rPr>
            </w:pPr>
            <w:r>
              <w:rPr>
                <w:rFonts w:eastAsia="Times New Roman"/>
                <w:sz w:val="20"/>
                <w:szCs w:val="20"/>
              </w:rPr>
              <w:t>Úrad pre normalizáciu, metrológiu a skúšobníctvo Slovenskej republiky</w:t>
            </w:r>
          </w:p>
          <w:p w14:paraId="13ED3E02" w14:textId="77777777" w:rsidR="00E274B7" w:rsidRPr="00B043B4" w:rsidRDefault="00E274B7" w:rsidP="00241373">
            <w:pPr>
              <w:rPr>
                <w:rFonts w:eastAsia="Times New Roman"/>
                <w:sz w:val="20"/>
                <w:szCs w:val="20"/>
              </w:rPr>
            </w:pPr>
          </w:p>
        </w:tc>
      </w:tr>
      <w:tr w:rsidR="00E274B7" w:rsidRPr="00B043B4" w14:paraId="716ED0AE" w14:textId="77777777" w:rsidTr="00241373">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6CE19327" w14:textId="77777777" w:rsidR="00E274B7" w:rsidRPr="00B043B4" w:rsidRDefault="00E274B7" w:rsidP="00241373">
            <w:pPr>
              <w:spacing w:after="200" w:line="276" w:lineRule="auto"/>
              <w:ind w:left="142"/>
              <w:contextualSpacing/>
              <w:rPr>
                <w:rFonts w:eastAsia="Calibri"/>
                <w:b/>
              </w:rPr>
            </w:pPr>
            <w:r w:rsidRPr="00B043B4">
              <w:rPr>
                <w:rFonts w:eastAsia="Calibri"/>
                <w:b/>
              </w:rPr>
              <w:t>Charakter predkladaného materiálu</w:t>
            </w:r>
          </w:p>
        </w:tc>
        <w:sdt>
          <w:sdtPr>
            <w:rPr>
              <w:sz w:val="20"/>
              <w:szCs w:val="20"/>
            </w:rPr>
            <w:id w:val="901099221"/>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4D72DEA" w14:textId="77777777" w:rsidR="00E274B7" w:rsidRPr="00B043B4" w:rsidRDefault="00E274B7" w:rsidP="00241373">
                <w:pPr>
                  <w:jc w:val="center"/>
                  <w:rPr>
                    <w:rFonts w:eastAsia="Times New Roman"/>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6E092F77" w14:textId="77777777" w:rsidR="00E274B7" w:rsidRPr="00B043B4" w:rsidRDefault="00E274B7" w:rsidP="00241373">
            <w:pPr>
              <w:rPr>
                <w:rFonts w:eastAsia="Times New Roman"/>
                <w:sz w:val="20"/>
                <w:szCs w:val="20"/>
              </w:rPr>
            </w:pPr>
            <w:r w:rsidRPr="00B043B4">
              <w:rPr>
                <w:rFonts w:eastAsia="Times New Roman"/>
                <w:sz w:val="20"/>
                <w:szCs w:val="20"/>
              </w:rPr>
              <w:t>Materiál nelegislatívnej povahy</w:t>
            </w:r>
          </w:p>
        </w:tc>
      </w:tr>
      <w:tr w:rsidR="00E274B7" w:rsidRPr="00B043B4" w14:paraId="487914A5" w14:textId="77777777" w:rsidTr="00241373">
        <w:tc>
          <w:tcPr>
            <w:tcW w:w="4212" w:type="dxa"/>
            <w:gridSpan w:val="2"/>
            <w:vMerge/>
            <w:tcBorders>
              <w:top w:val="nil"/>
              <w:left w:val="single" w:sz="4" w:space="0" w:color="auto"/>
              <w:bottom w:val="single" w:sz="4" w:space="0" w:color="FFFFFF"/>
            </w:tcBorders>
            <w:shd w:val="clear" w:color="auto" w:fill="E2E2E2"/>
          </w:tcPr>
          <w:p w14:paraId="43488524" w14:textId="77777777" w:rsidR="00E274B7" w:rsidRPr="00B043B4" w:rsidRDefault="00E274B7" w:rsidP="00241373">
            <w:pPr>
              <w:rPr>
                <w:rFonts w:eastAsia="Times New Roman"/>
                <w:sz w:val="20"/>
                <w:szCs w:val="20"/>
              </w:rPr>
            </w:pPr>
          </w:p>
        </w:tc>
        <w:sdt>
          <w:sdtPr>
            <w:rPr>
              <w:sz w:val="20"/>
              <w:szCs w:val="20"/>
            </w:rPr>
            <w:id w:val="1281381661"/>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0289F80" w14:textId="77777777" w:rsidR="00E274B7" w:rsidRPr="00B043B4" w:rsidRDefault="00E274B7" w:rsidP="00241373">
                <w:pPr>
                  <w:jc w:val="center"/>
                  <w:rPr>
                    <w:rFonts w:eastAsia="Times New Roman"/>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417BE125" w14:textId="77777777" w:rsidR="00E274B7" w:rsidRPr="00B043B4" w:rsidRDefault="00E274B7" w:rsidP="00241373">
            <w:pPr>
              <w:ind w:left="175" w:hanging="175"/>
              <w:rPr>
                <w:rFonts w:eastAsia="Times New Roman"/>
                <w:sz w:val="20"/>
                <w:szCs w:val="20"/>
              </w:rPr>
            </w:pPr>
            <w:r w:rsidRPr="00B043B4">
              <w:rPr>
                <w:rFonts w:eastAsia="Times New Roman"/>
                <w:sz w:val="20"/>
                <w:szCs w:val="20"/>
              </w:rPr>
              <w:t>Materiál legislatívnej povahy</w:t>
            </w:r>
          </w:p>
        </w:tc>
      </w:tr>
      <w:tr w:rsidR="00E274B7" w:rsidRPr="00B043B4" w14:paraId="7EAB2651" w14:textId="77777777" w:rsidTr="00241373">
        <w:tc>
          <w:tcPr>
            <w:tcW w:w="4212" w:type="dxa"/>
            <w:gridSpan w:val="2"/>
            <w:vMerge/>
            <w:tcBorders>
              <w:top w:val="nil"/>
              <w:left w:val="single" w:sz="4" w:space="0" w:color="auto"/>
              <w:bottom w:val="single" w:sz="4" w:space="0" w:color="auto"/>
            </w:tcBorders>
            <w:shd w:val="clear" w:color="auto" w:fill="E2E2E2"/>
          </w:tcPr>
          <w:p w14:paraId="6819CD5D" w14:textId="77777777" w:rsidR="00E274B7" w:rsidRPr="00B043B4" w:rsidRDefault="00E274B7" w:rsidP="00241373">
            <w:pPr>
              <w:rPr>
                <w:rFonts w:eastAsia="Times New Roman"/>
                <w:sz w:val="20"/>
                <w:szCs w:val="20"/>
              </w:rPr>
            </w:pPr>
          </w:p>
        </w:tc>
        <w:sdt>
          <w:sdtPr>
            <w:rPr>
              <w:sz w:val="20"/>
              <w:szCs w:val="20"/>
            </w:rPr>
            <w:id w:val="-1821804044"/>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0E8574E" w14:textId="77777777" w:rsidR="00E274B7" w:rsidRPr="00B043B4" w:rsidRDefault="00E274B7" w:rsidP="00241373">
                <w:pPr>
                  <w:jc w:val="center"/>
                  <w:rPr>
                    <w:rFonts w:eastAsia="Times New Roman"/>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2C6A221B" w14:textId="77777777" w:rsidR="00E274B7" w:rsidRPr="00B043B4" w:rsidRDefault="00E274B7" w:rsidP="00241373">
            <w:pPr>
              <w:rPr>
                <w:rFonts w:eastAsia="Times New Roman"/>
                <w:sz w:val="20"/>
                <w:szCs w:val="20"/>
              </w:rPr>
            </w:pPr>
            <w:r w:rsidRPr="00B043B4">
              <w:rPr>
                <w:rFonts w:eastAsia="Times New Roman"/>
                <w:sz w:val="20"/>
                <w:szCs w:val="20"/>
              </w:rPr>
              <w:t>Transpozícia práva EÚ</w:t>
            </w:r>
          </w:p>
        </w:tc>
      </w:tr>
      <w:tr w:rsidR="00E274B7" w:rsidRPr="00B043B4" w14:paraId="7C4F454E" w14:textId="77777777" w:rsidTr="00241373">
        <w:tc>
          <w:tcPr>
            <w:tcW w:w="9180" w:type="dxa"/>
            <w:gridSpan w:val="11"/>
            <w:tcBorders>
              <w:top w:val="single" w:sz="4" w:space="0" w:color="auto"/>
              <w:left w:val="single" w:sz="4" w:space="0" w:color="auto"/>
              <w:bottom w:val="single" w:sz="4" w:space="0" w:color="FFFFFF"/>
            </w:tcBorders>
            <w:shd w:val="clear" w:color="auto" w:fill="FFFFFF"/>
          </w:tcPr>
          <w:p w14:paraId="06EA00B1" w14:textId="77777777" w:rsidR="00E274B7" w:rsidRPr="00B043B4" w:rsidRDefault="00E274B7" w:rsidP="00241373">
            <w:pPr>
              <w:rPr>
                <w:rFonts w:eastAsia="Times New Roman"/>
                <w:i/>
                <w:sz w:val="20"/>
                <w:szCs w:val="20"/>
              </w:rPr>
            </w:pPr>
            <w:r w:rsidRPr="00B043B4">
              <w:rPr>
                <w:rFonts w:eastAsia="Times New Roman"/>
                <w:i/>
                <w:sz w:val="20"/>
                <w:szCs w:val="20"/>
              </w:rPr>
              <w:t>V prípade transpozície uveďte zoznam transponovaných predpisov:</w:t>
            </w:r>
          </w:p>
          <w:p w14:paraId="5A29452A" w14:textId="77777777" w:rsidR="00E274B7" w:rsidRPr="00B043B4" w:rsidRDefault="00E274B7" w:rsidP="00241373">
            <w:pPr>
              <w:rPr>
                <w:rFonts w:eastAsia="Times New Roman"/>
                <w:sz w:val="20"/>
                <w:szCs w:val="20"/>
              </w:rPr>
            </w:pPr>
          </w:p>
        </w:tc>
      </w:tr>
      <w:tr w:rsidR="00E274B7" w:rsidRPr="00B043B4" w14:paraId="061E4B20" w14:textId="77777777" w:rsidTr="00241373">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0822B481" w14:textId="77777777" w:rsidR="00E274B7" w:rsidRPr="00B043B4" w:rsidRDefault="00E274B7" w:rsidP="00241373">
            <w:pPr>
              <w:spacing w:after="200" w:line="276" w:lineRule="auto"/>
              <w:ind w:left="142"/>
              <w:contextualSpacing/>
              <w:rPr>
                <w:rFonts w:eastAsia="Calibri"/>
                <w:b/>
              </w:rPr>
            </w:pPr>
            <w:r w:rsidRPr="00B043B4">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36737362" w14:textId="77777777" w:rsidR="00E274B7" w:rsidRPr="00B043B4" w:rsidRDefault="00E274B7" w:rsidP="00241373">
            <w:pPr>
              <w:rPr>
                <w:rFonts w:eastAsia="Times New Roman"/>
                <w:i/>
                <w:sz w:val="20"/>
                <w:szCs w:val="20"/>
              </w:rPr>
            </w:pPr>
            <w:r>
              <w:rPr>
                <w:rFonts w:eastAsia="Times New Roman"/>
                <w:i/>
                <w:sz w:val="20"/>
                <w:szCs w:val="20"/>
              </w:rPr>
              <w:t>-</w:t>
            </w:r>
          </w:p>
        </w:tc>
      </w:tr>
      <w:tr w:rsidR="00E274B7" w:rsidRPr="00B043B4" w14:paraId="5295D769" w14:textId="77777777" w:rsidTr="0024137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334B9E7" w14:textId="77777777" w:rsidR="00E274B7" w:rsidRPr="00B043B4" w:rsidRDefault="00E274B7" w:rsidP="00241373">
            <w:pPr>
              <w:spacing w:after="200" w:line="276" w:lineRule="auto"/>
              <w:ind w:left="142"/>
              <w:contextualSpacing/>
              <w:rPr>
                <w:rFonts w:eastAsia="Calibri"/>
                <w:b/>
              </w:rPr>
            </w:pPr>
            <w:r w:rsidRPr="00B043B4">
              <w:rPr>
                <w:rFonts w:eastAsia="Calibri"/>
                <w:b/>
              </w:rPr>
              <w:t>Predpokl</w:t>
            </w:r>
            <w:r>
              <w:rPr>
                <w:rFonts w:eastAsia="Calibri"/>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28CCC45C" w14:textId="1EFD4C3F" w:rsidR="00E274B7" w:rsidRPr="00B043B4" w:rsidRDefault="00BF3E0C" w:rsidP="00241373">
            <w:pPr>
              <w:rPr>
                <w:rFonts w:eastAsia="Times New Roman"/>
                <w:i/>
                <w:sz w:val="20"/>
                <w:szCs w:val="20"/>
              </w:rPr>
            </w:pPr>
            <w:r>
              <w:rPr>
                <w:rFonts w:eastAsia="Times New Roman"/>
                <w:i/>
                <w:sz w:val="20"/>
                <w:szCs w:val="20"/>
              </w:rPr>
              <w:t>o</w:t>
            </w:r>
            <w:r w:rsidR="00E274B7">
              <w:rPr>
                <w:rFonts w:eastAsia="Times New Roman"/>
                <w:i/>
                <w:sz w:val="20"/>
                <w:szCs w:val="20"/>
              </w:rPr>
              <w:t>któber 2022</w:t>
            </w:r>
          </w:p>
        </w:tc>
      </w:tr>
      <w:tr w:rsidR="00E274B7" w:rsidRPr="00B043B4" w14:paraId="1A186851" w14:textId="77777777" w:rsidTr="00241373">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975B6C0" w14:textId="77777777" w:rsidR="00E274B7" w:rsidRPr="00B043B4" w:rsidRDefault="00E274B7" w:rsidP="00241373">
            <w:pPr>
              <w:spacing w:line="276" w:lineRule="auto"/>
              <w:ind w:left="142"/>
              <w:contextualSpacing/>
              <w:rPr>
                <w:rFonts w:ascii="Calibri" w:eastAsia="Calibri" w:hAnsi="Calibri"/>
                <w:b/>
              </w:rPr>
            </w:pPr>
            <w:r w:rsidRPr="00B043B4">
              <w:rPr>
                <w:rFonts w:eastAsia="Calibri"/>
                <w:b/>
              </w:rPr>
              <w:t>Predpokladaný termín začiatku a ukončenia ZP**</w:t>
            </w:r>
          </w:p>
        </w:tc>
        <w:tc>
          <w:tcPr>
            <w:tcW w:w="3231" w:type="dxa"/>
            <w:gridSpan w:val="5"/>
            <w:tcBorders>
              <w:top w:val="single" w:sz="4" w:space="0" w:color="auto"/>
              <w:left w:val="single" w:sz="4" w:space="0" w:color="auto"/>
              <w:bottom w:val="single" w:sz="4" w:space="0" w:color="auto"/>
              <w:right w:val="single" w:sz="4" w:space="0" w:color="auto"/>
            </w:tcBorders>
          </w:tcPr>
          <w:p w14:paraId="13F0DB43" w14:textId="77777777" w:rsidR="00E274B7" w:rsidRPr="00B043B4" w:rsidRDefault="00E274B7" w:rsidP="00241373">
            <w:pPr>
              <w:rPr>
                <w:rFonts w:eastAsia="Times New Roman"/>
                <w:i/>
                <w:sz w:val="20"/>
                <w:szCs w:val="20"/>
              </w:rPr>
            </w:pPr>
            <w:r>
              <w:rPr>
                <w:rFonts w:eastAsia="Times New Roman"/>
                <w:i/>
                <w:sz w:val="20"/>
                <w:szCs w:val="20"/>
              </w:rPr>
              <w:t>-</w:t>
            </w:r>
          </w:p>
        </w:tc>
      </w:tr>
      <w:tr w:rsidR="00E274B7" w:rsidRPr="00B043B4" w14:paraId="2B53FE19" w14:textId="77777777" w:rsidTr="0024137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3566B023" w14:textId="77777777" w:rsidR="00E274B7" w:rsidRPr="00B043B4" w:rsidRDefault="00E274B7" w:rsidP="00241373">
            <w:pPr>
              <w:spacing w:after="200" w:line="276" w:lineRule="auto"/>
              <w:ind w:left="142"/>
              <w:contextualSpacing/>
              <w:jc w:val="both"/>
              <w:rPr>
                <w:rFonts w:eastAsia="Calibri"/>
                <w:b/>
              </w:rPr>
            </w:pPr>
            <w:r w:rsidRPr="00B043B4">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3F7FF7D8" w14:textId="77777777" w:rsidR="00E274B7" w:rsidRPr="00B043B4" w:rsidRDefault="00E274B7" w:rsidP="00241373">
            <w:pPr>
              <w:rPr>
                <w:rFonts w:eastAsia="Times New Roman"/>
                <w:i/>
                <w:sz w:val="20"/>
                <w:szCs w:val="20"/>
              </w:rPr>
            </w:pPr>
            <w:r>
              <w:rPr>
                <w:rFonts w:eastAsia="Times New Roman"/>
                <w:i/>
                <w:sz w:val="20"/>
                <w:szCs w:val="20"/>
              </w:rPr>
              <w:t>apríl</w:t>
            </w:r>
            <w:r w:rsidRPr="00BB78FD">
              <w:rPr>
                <w:rFonts w:eastAsia="Times New Roman"/>
                <w:i/>
                <w:sz w:val="20"/>
                <w:szCs w:val="20"/>
              </w:rPr>
              <w:t xml:space="preserve"> 202</w:t>
            </w:r>
            <w:r>
              <w:rPr>
                <w:rFonts w:eastAsia="Times New Roman"/>
                <w:i/>
                <w:sz w:val="20"/>
                <w:szCs w:val="20"/>
              </w:rPr>
              <w:t>3</w:t>
            </w:r>
          </w:p>
        </w:tc>
      </w:tr>
      <w:tr w:rsidR="00E274B7" w:rsidRPr="00B043B4" w14:paraId="6FEC7927" w14:textId="77777777" w:rsidTr="00241373">
        <w:tc>
          <w:tcPr>
            <w:tcW w:w="9180" w:type="dxa"/>
            <w:gridSpan w:val="11"/>
            <w:tcBorders>
              <w:top w:val="single" w:sz="4" w:space="0" w:color="auto"/>
              <w:left w:val="nil"/>
              <w:bottom w:val="single" w:sz="4" w:space="0" w:color="auto"/>
              <w:right w:val="nil"/>
            </w:tcBorders>
            <w:shd w:val="clear" w:color="auto" w:fill="FFFFFF"/>
          </w:tcPr>
          <w:p w14:paraId="5047DCBF" w14:textId="77777777" w:rsidR="00E274B7" w:rsidRPr="00B043B4" w:rsidRDefault="00E274B7" w:rsidP="00241373">
            <w:pPr>
              <w:rPr>
                <w:rFonts w:eastAsia="Times New Roman"/>
                <w:sz w:val="20"/>
                <w:szCs w:val="20"/>
              </w:rPr>
            </w:pPr>
          </w:p>
        </w:tc>
      </w:tr>
      <w:tr w:rsidR="00E274B7" w:rsidRPr="00B043B4" w14:paraId="7A9BE053" w14:textId="77777777" w:rsidTr="0024137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DF0D157" w14:textId="77777777" w:rsidR="00E274B7" w:rsidRPr="00B043B4" w:rsidRDefault="00E274B7" w:rsidP="00241373">
            <w:pPr>
              <w:widowControl/>
              <w:numPr>
                <w:ilvl w:val="0"/>
                <w:numId w:val="1"/>
              </w:numPr>
              <w:adjustRightInd/>
              <w:ind w:left="426"/>
              <w:contextualSpacing/>
              <w:rPr>
                <w:rFonts w:eastAsia="Calibri"/>
                <w:b/>
              </w:rPr>
            </w:pPr>
            <w:r w:rsidRPr="00B043B4">
              <w:rPr>
                <w:rFonts w:eastAsia="Calibri"/>
                <w:b/>
              </w:rPr>
              <w:t>Definovanie problému</w:t>
            </w:r>
          </w:p>
        </w:tc>
      </w:tr>
      <w:tr w:rsidR="00E274B7" w:rsidRPr="00B043B4" w14:paraId="3B6687C7" w14:textId="77777777" w:rsidTr="00241373">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8F9DBAB" w14:textId="77777777" w:rsidR="00E274B7" w:rsidRPr="004F68D2" w:rsidRDefault="00E274B7" w:rsidP="00241373">
            <w:pPr>
              <w:jc w:val="both"/>
              <w:rPr>
                <w:rFonts w:eastAsia="Times New Roman"/>
                <w:i/>
                <w:sz w:val="20"/>
                <w:szCs w:val="20"/>
              </w:rPr>
            </w:pPr>
            <w:r w:rsidRPr="004F68D2">
              <w:rPr>
                <w:rFonts w:eastAsia="Times New Roman"/>
                <w:i/>
                <w:sz w:val="20"/>
                <w:szCs w:val="20"/>
              </w:rPr>
              <w:t>Uveďte základné problémy, ktoré sú dôvodom vypracovania predkladaného  materiálu (dôvody majú presne poukázať na problém, ktorý existuje a je nutné ho predloženým materiálom riešiť).</w:t>
            </w:r>
          </w:p>
          <w:p w14:paraId="346D115A" w14:textId="77777777" w:rsidR="00E274B7" w:rsidRPr="004F68D2" w:rsidRDefault="00E274B7" w:rsidP="00241373">
            <w:pPr>
              <w:jc w:val="both"/>
              <w:rPr>
                <w:rFonts w:eastAsia="Times New Roman"/>
                <w:i/>
                <w:sz w:val="20"/>
                <w:szCs w:val="20"/>
              </w:rPr>
            </w:pPr>
          </w:p>
          <w:p w14:paraId="573F888E" w14:textId="77777777" w:rsidR="00E274B7" w:rsidRPr="004F68D2" w:rsidRDefault="00E274B7" w:rsidP="00241373">
            <w:pPr>
              <w:jc w:val="both"/>
              <w:rPr>
                <w:rFonts w:eastAsia="Times New Roman"/>
                <w:b/>
                <w:sz w:val="20"/>
                <w:szCs w:val="20"/>
              </w:rPr>
            </w:pPr>
            <w:r w:rsidRPr="004F68D2">
              <w:rPr>
                <w:rFonts w:eastAsia="Times New Roman"/>
                <w:sz w:val="20"/>
                <w:szCs w:val="20"/>
              </w:rPr>
              <w:t>V súčasnosti všetky činnosti v oblasti technickej normalizácie zabezpečuje Úradu pre normalizáciu, metrológiu a skúšobníctvo Slovenskej republiky (ďalej len „úrad“), ktorý má postavenie ústredného orgánu štátnej správy. V štátoch Európskej únie je štandardom, že je technická normalizácia oddelená od orgánu štátnej správy, čo jej umožňuje pružnejšie reagovať na potreby trhu. Súčasný model technickej normalizácie v Slovenskej republike sa ukázal v priebehu času ako nevyhovujúci potrebám technickej normalizácie, rovnako neexistuje možnosť úradu poveriť inú právnickú osobu vykonávaním niektorých alebo všetkých činností slovenského národného normalizačného orgánu.</w:t>
            </w:r>
          </w:p>
        </w:tc>
      </w:tr>
      <w:tr w:rsidR="00E274B7" w:rsidRPr="00B043B4" w14:paraId="5C11D2DC" w14:textId="77777777" w:rsidTr="00241373">
        <w:tc>
          <w:tcPr>
            <w:tcW w:w="9180" w:type="dxa"/>
            <w:gridSpan w:val="11"/>
            <w:tcBorders>
              <w:top w:val="single" w:sz="4" w:space="0" w:color="auto"/>
              <w:left w:val="single" w:sz="4" w:space="0" w:color="auto"/>
              <w:bottom w:val="nil"/>
              <w:right w:val="single" w:sz="4" w:space="0" w:color="auto"/>
            </w:tcBorders>
            <w:shd w:val="clear" w:color="auto" w:fill="E2E2E2"/>
          </w:tcPr>
          <w:p w14:paraId="6773AF1D" w14:textId="77777777" w:rsidR="00E274B7" w:rsidRPr="004F68D2" w:rsidRDefault="00E274B7" w:rsidP="00241373">
            <w:pPr>
              <w:widowControl/>
              <w:numPr>
                <w:ilvl w:val="0"/>
                <w:numId w:val="1"/>
              </w:numPr>
              <w:adjustRightInd/>
              <w:ind w:left="426"/>
              <w:contextualSpacing/>
              <w:rPr>
                <w:rFonts w:eastAsia="Calibri"/>
                <w:b/>
              </w:rPr>
            </w:pPr>
            <w:r w:rsidRPr="004F68D2">
              <w:rPr>
                <w:rFonts w:eastAsia="Calibri"/>
                <w:b/>
              </w:rPr>
              <w:t>Ciele a výsledný stav</w:t>
            </w:r>
          </w:p>
        </w:tc>
      </w:tr>
      <w:tr w:rsidR="00E274B7" w:rsidRPr="00B043B4" w14:paraId="7657807D" w14:textId="77777777" w:rsidTr="00241373">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32D32E45" w14:textId="77777777" w:rsidR="00E274B7" w:rsidRPr="004F68D2" w:rsidRDefault="00E274B7" w:rsidP="00241373">
            <w:pPr>
              <w:rPr>
                <w:rFonts w:eastAsia="Times New Roman"/>
                <w:i/>
                <w:sz w:val="20"/>
                <w:szCs w:val="20"/>
              </w:rPr>
            </w:pPr>
            <w:r w:rsidRPr="004F68D2">
              <w:rPr>
                <w:rFonts w:eastAsia="Times New Roman"/>
                <w:i/>
                <w:sz w:val="20"/>
                <w:szCs w:val="20"/>
              </w:rPr>
              <w:t xml:space="preserve">Uveďte hlavné ciele predkladaného materiálu (aký výsledný stav má byť prijatím materiálu dosiahnutý, pričom dosiahnutý stav musí byť odlišný od stavu popísaného v bode 2. Definovanie problému). </w:t>
            </w:r>
          </w:p>
          <w:p w14:paraId="6AA2D991" w14:textId="77777777" w:rsidR="00E274B7" w:rsidRPr="004F68D2" w:rsidRDefault="00E274B7" w:rsidP="00241373">
            <w:pPr>
              <w:rPr>
                <w:rFonts w:eastAsia="Times New Roman"/>
                <w:i/>
                <w:sz w:val="20"/>
                <w:szCs w:val="20"/>
              </w:rPr>
            </w:pPr>
          </w:p>
          <w:p w14:paraId="04817AFA" w14:textId="77777777" w:rsidR="00E274B7" w:rsidRPr="004F68D2" w:rsidRDefault="00E274B7" w:rsidP="00241373">
            <w:pPr>
              <w:jc w:val="both"/>
              <w:rPr>
                <w:rFonts w:eastAsia="Times New Roman"/>
                <w:sz w:val="20"/>
                <w:szCs w:val="20"/>
              </w:rPr>
            </w:pPr>
            <w:r w:rsidRPr="008D33BB">
              <w:rPr>
                <w:rFonts w:eastAsia="Times New Roman"/>
                <w:sz w:val="20"/>
                <w:szCs w:val="20"/>
              </w:rPr>
              <w:t xml:space="preserve">Cieľom návrhu zákona je vytvoriť legislatívne podmienky pre možnosť </w:t>
            </w:r>
            <w:r>
              <w:rPr>
                <w:rFonts w:eastAsia="Times New Roman"/>
                <w:sz w:val="20"/>
                <w:szCs w:val="20"/>
              </w:rPr>
              <w:t>úrad</w:t>
            </w:r>
            <w:r w:rsidRPr="008D33BB">
              <w:rPr>
                <w:rFonts w:eastAsia="Times New Roman"/>
                <w:sz w:val="20"/>
                <w:szCs w:val="20"/>
              </w:rPr>
              <w:t xml:space="preserve"> poveriť inú právnickú osobu (ďalej len „poverená právnická osoba“) vykonávaním niektorých alebo všetkých činností slovenského národného normalizačného orgánu v súlade so zákonom č. 60/2018 Z. z. o technickej normalizácii v znení neskorších predpisov (ďalej len „zákon“). V prvej etape</w:t>
            </w:r>
            <w:r>
              <w:rPr>
                <w:rFonts w:eastAsia="Times New Roman"/>
                <w:sz w:val="20"/>
                <w:szCs w:val="20"/>
              </w:rPr>
              <w:t xml:space="preserve"> úrad</w:t>
            </w:r>
            <w:r w:rsidRPr="008D33BB">
              <w:rPr>
                <w:rFonts w:eastAsia="Times New Roman"/>
                <w:sz w:val="20"/>
                <w:szCs w:val="20"/>
              </w:rPr>
              <w:t xml:space="preserve"> plánuje postupovať</w:t>
            </w:r>
            <w:r>
              <w:rPr>
                <w:rFonts w:eastAsia="Times New Roman"/>
                <w:sz w:val="20"/>
                <w:szCs w:val="20"/>
              </w:rPr>
              <w:t xml:space="preserve"> inšpirovaný</w:t>
            </w:r>
            <w:r w:rsidRPr="008D33BB">
              <w:rPr>
                <w:rFonts w:eastAsia="Times New Roman"/>
                <w:sz w:val="20"/>
                <w:szCs w:val="20"/>
              </w:rPr>
              <w:t xml:space="preserve"> česk</w:t>
            </w:r>
            <w:r>
              <w:rPr>
                <w:rFonts w:eastAsia="Times New Roman"/>
                <w:sz w:val="20"/>
                <w:szCs w:val="20"/>
              </w:rPr>
              <w:t>ým</w:t>
            </w:r>
            <w:r w:rsidRPr="008D33BB">
              <w:rPr>
                <w:rFonts w:eastAsia="Times New Roman"/>
                <w:sz w:val="20"/>
                <w:szCs w:val="20"/>
              </w:rPr>
              <w:t xml:space="preserve"> model</w:t>
            </w:r>
            <w:r>
              <w:rPr>
                <w:rFonts w:eastAsia="Times New Roman"/>
                <w:sz w:val="20"/>
                <w:szCs w:val="20"/>
              </w:rPr>
              <w:t>om</w:t>
            </w:r>
            <w:r w:rsidRPr="008D33BB">
              <w:rPr>
                <w:rFonts w:eastAsia="Times New Roman"/>
                <w:sz w:val="20"/>
                <w:szCs w:val="20"/>
              </w:rPr>
              <w:t xml:space="preserve">, ktorý v Českej republiky funguje už viac ako 5 rokov, a to tak, že by si </w:t>
            </w:r>
            <w:r>
              <w:rPr>
                <w:rFonts w:eastAsia="Times New Roman"/>
                <w:sz w:val="20"/>
                <w:szCs w:val="20"/>
              </w:rPr>
              <w:t>úrad</w:t>
            </w:r>
            <w:r w:rsidRPr="008D33BB">
              <w:rPr>
                <w:rFonts w:eastAsia="Times New Roman"/>
                <w:sz w:val="20"/>
                <w:szCs w:val="20"/>
              </w:rPr>
              <w:t xml:space="preserve"> zachoval postavenie slovenského národného normalizačného orgánu a poverenú právnickú osobu by poveril vykonávaním len niektorých činností v oblasti technickej normalizácie</w:t>
            </w:r>
            <w:r>
              <w:rPr>
                <w:rFonts w:eastAsia="Times New Roman"/>
                <w:sz w:val="20"/>
                <w:szCs w:val="20"/>
              </w:rPr>
              <w:t>, ktoré súvisia s poskytovaním slovenských technických noriem a technických normalizačných informácií</w:t>
            </w:r>
            <w:r w:rsidRPr="008D33BB">
              <w:rPr>
                <w:rFonts w:eastAsia="Times New Roman"/>
                <w:sz w:val="20"/>
                <w:szCs w:val="20"/>
              </w:rPr>
              <w:t xml:space="preserve">. V  prípade, že by </w:t>
            </w:r>
            <w:r>
              <w:rPr>
                <w:rFonts w:eastAsia="Times New Roman"/>
                <w:sz w:val="20"/>
                <w:szCs w:val="20"/>
              </w:rPr>
              <w:t>úrad</w:t>
            </w:r>
            <w:r w:rsidRPr="008D33BB">
              <w:rPr>
                <w:rFonts w:eastAsia="Times New Roman"/>
                <w:sz w:val="20"/>
                <w:szCs w:val="20"/>
              </w:rPr>
              <w:t xml:space="preserve"> v ďalšej etape poveril poverenú právnickú osobu vykonávaním všetkých činností slovenského národného normalizačného orgánu, nadobudne poverená právnická osoba, podľa návrhu zákona,</w:t>
            </w:r>
            <w:r>
              <w:rPr>
                <w:rFonts w:eastAsia="Times New Roman"/>
                <w:sz w:val="20"/>
                <w:szCs w:val="20"/>
              </w:rPr>
              <w:t xml:space="preserve"> </w:t>
            </w:r>
            <w:r w:rsidRPr="008D33BB">
              <w:rPr>
                <w:rFonts w:eastAsia="Times New Roman"/>
                <w:sz w:val="20"/>
                <w:szCs w:val="20"/>
              </w:rPr>
              <w:t xml:space="preserve">dňom oznámenia Európskej komisii postavenie slovenského národného normalizačného orgánu. </w:t>
            </w:r>
          </w:p>
        </w:tc>
      </w:tr>
      <w:tr w:rsidR="00E274B7" w:rsidRPr="00B043B4" w14:paraId="2F646A93" w14:textId="77777777" w:rsidTr="00241373">
        <w:tc>
          <w:tcPr>
            <w:tcW w:w="9180" w:type="dxa"/>
            <w:gridSpan w:val="11"/>
            <w:tcBorders>
              <w:top w:val="single" w:sz="4" w:space="0" w:color="auto"/>
              <w:left w:val="single" w:sz="4" w:space="0" w:color="auto"/>
              <w:bottom w:val="nil"/>
              <w:right w:val="single" w:sz="4" w:space="0" w:color="auto"/>
            </w:tcBorders>
            <w:shd w:val="clear" w:color="auto" w:fill="E2E2E2"/>
          </w:tcPr>
          <w:p w14:paraId="15E93A0B" w14:textId="77777777" w:rsidR="00E274B7" w:rsidRPr="00B043B4" w:rsidRDefault="00E274B7" w:rsidP="00241373">
            <w:pPr>
              <w:widowControl/>
              <w:numPr>
                <w:ilvl w:val="0"/>
                <w:numId w:val="1"/>
              </w:numPr>
              <w:adjustRightInd/>
              <w:ind w:left="426"/>
              <w:contextualSpacing/>
              <w:rPr>
                <w:rFonts w:eastAsia="Calibri"/>
                <w:b/>
              </w:rPr>
            </w:pPr>
            <w:r w:rsidRPr="00B043B4">
              <w:rPr>
                <w:rFonts w:eastAsia="Calibri"/>
                <w:b/>
              </w:rPr>
              <w:t>Dotknuté subjekty</w:t>
            </w:r>
          </w:p>
        </w:tc>
      </w:tr>
      <w:tr w:rsidR="00E274B7" w:rsidRPr="00B043B4" w14:paraId="5320F9FF" w14:textId="77777777" w:rsidTr="00241373">
        <w:tc>
          <w:tcPr>
            <w:tcW w:w="9180" w:type="dxa"/>
            <w:gridSpan w:val="11"/>
            <w:tcBorders>
              <w:top w:val="nil"/>
              <w:left w:val="single" w:sz="4" w:space="0" w:color="auto"/>
              <w:bottom w:val="single" w:sz="4" w:space="0" w:color="auto"/>
              <w:right w:val="single" w:sz="4" w:space="0" w:color="auto"/>
            </w:tcBorders>
            <w:shd w:val="clear" w:color="auto" w:fill="FFFFFF"/>
          </w:tcPr>
          <w:p w14:paraId="3A59542E" w14:textId="77777777" w:rsidR="00E274B7" w:rsidRDefault="00E274B7" w:rsidP="00241373">
            <w:pPr>
              <w:rPr>
                <w:rFonts w:eastAsia="Times New Roman"/>
                <w:i/>
                <w:sz w:val="20"/>
                <w:szCs w:val="20"/>
              </w:rPr>
            </w:pPr>
            <w:r w:rsidRPr="00B043B4">
              <w:rPr>
                <w:rFonts w:eastAsia="Times New Roman"/>
                <w:i/>
                <w:sz w:val="20"/>
                <w:szCs w:val="20"/>
              </w:rPr>
              <w:t xml:space="preserve">Uveďte subjekty, ktorých sa zmeny predkladaného materiálu dotknú priamo aj nepriamo: </w:t>
            </w:r>
          </w:p>
          <w:p w14:paraId="0FFF4D31" w14:textId="77777777" w:rsidR="00E274B7" w:rsidRDefault="00E274B7" w:rsidP="00241373">
            <w:pPr>
              <w:rPr>
                <w:rFonts w:eastAsia="Times New Roman"/>
                <w:i/>
                <w:sz w:val="20"/>
                <w:szCs w:val="20"/>
              </w:rPr>
            </w:pPr>
          </w:p>
          <w:p w14:paraId="50411A88" w14:textId="77777777" w:rsidR="00E274B7" w:rsidRDefault="00E274B7" w:rsidP="00241373">
            <w:pPr>
              <w:rPr>
                <w:rFonts w:eastAsia="Times New Roman"/>
                <w:sz w:val="20"/>
                <w:szCs w:val="20"/>
              </w:rPr>
            </w:pPr>
            <w:r w:rsidRPr="00942650">
              <w:rPr>
                <w:rFonts w:eastAsia="Times New Roman"/>
                <w:sz w:val="20"/>
                <w:szCs w:val="20"/>
              </w:rPr>
              <w:t>Organizácie verejného a súkromného sektora.</w:t>
            </w:r>
          </w:p>
          <w:p w14:paraId="6CA3A30D" w14:textId="77777777" w:rsidR="00E274B7" w:rsidRDefault="00E274B7" w:rsidP="00241373">
            <w:pPr>
              <w:rPr>
                <w:rFonts w:eastAsia="Times New Roman"/>
                <w:i/>
                <w:sz w:val="20"/>
                <w:szCs w:val="20"/>
              </w:rPr>
            </w:pPr>
          </w:p>
          <w:p w14:paraId="5CB32D25" w14:textId="77777777" w:rsidR="00E274B7" w:rsidRDefault="00E274B7" w:rsidP="00241373">
            <w:pPr>
              <w:rPr>
                <w:rFonts w:eastAsia="Times New Roman"/>
                <w:i/>
                <w:sz w:val="20"/>
                <w:szCs w:val="20"/>
              </w:rPr>
            </w:pPr>
          </w:p>
          <w:p w14:paraId="60D7D55B" w14:textId="77777777" w:rsidR="00E274B7" w:rsidRPr="00B043B4" w:rsidRDefault="00E274B7" w:rsidP="00241373">
            <w:pPr>
              <w:rPr>
                <w:rFonts w:eastAsia="Times New Roman"/>
                <w:i/>
                <w:sz w:val="20"/>
                <w:szCs w:val="20"/>
              </w:rPr>
            </w:pPr>
          </w:p>
        </w:tc>
      </w:tr>
      <w:tr w:rsidR="00E274B7" w:rsidRPr="00B043B4" w14:paraId="7434B175" w14:textId="77777777" w:rsidTr="00241373">
        <w:tc>
          <w:tcPr>
            <w:tcW w:w="9180" w:type="dxa"/>
            <w:gridSpan w:val="11"/>
            <w:tcBorders>
              <w:top w:val="single" w:sz="4" w:space="0" w:color="auto"/>
              <w:left w:val="single" w:sz="4" w:space="0" w:color="auto"/>
              <w:bottom w:val="nil"/>
              <w:right w:val="single" w:sz="4" w:space="0" w:color="auto"/>
            </w:tcBorders>
            <w:shd w:val="clear" w:color="auto" w:fill="E2E2E2"/>
          </w:tcPr>
          <w:p w14:paraId="332381BB" w14:textId="77777777" w:rsidR="00E274B7" w:rsidRPr="00B043B4" w:rsidRDefault="00E274B7" w:rsidP="00241373">
            <w:pPr>
              <w:widowControl/>
              <w:numPr>
                <w:ilvl w:val="0"/>
                <w:numId w:val="1"/>
              </w:numPr>
              <w:adjustRightInd/>
              <w:ind w:left="426"/>
              <w:contextualSpacing/>
              <w:rPr>
                <w:rFonts w:eastAsia="Calibri"/>
                <w:b/>
              </w:rPr>
            </w:pPr>
            <w:r w:rsidRPr="00B043B4">
              <w:rPr>
                <w:rFonts w:eastAsia="Calibri"/>
                <w:b/>
              </w:rPr>
              <w:lastRenderedPageBreak/>
              <w:t>Alternatívne riešenia</w:t>
            </w:r>
          </w:p>
        </w:tc>
      </w:tr>
      <w:tr w:rsidR="00E274B7" w:rsidRPr="00B043B4" w14:paraId="2760227E" w14:textId="77777777" w:rsidTr="00241373">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2488BD22" w14:textId="77777777" w:rsidR="00E274B7" w:rsidRPr="00B043B4" w:rsidRDefault="00E274B7" w:rsidP="00241373">
            <w:pPr>
              <w:jc w:val="both"/>
              <w:rPr>
                <w:rFonts w:eastAsia="Times New Roman"/>
                <w:i/>
                <w:sz w:val="20"/>
                <w:szCs w:val="20"/>
              </w:rPr>
            </w:pPr>
            <w:r w:rsidRPr="00B043B4">
              <w:rPr>
                <w:rFonts w:eastAsia="Times New Roman"/>
                <w:i/>
                <w:sz w:val="20"/>
                <w:szCs w:val="20"/>
              </w:rPr>
              <w:t>Aké alternatívne riešenia vedúce k stanovenému cieľu boli identifikované a posudzované pre riešenie definovaného problému?</w:t>
            </w:r>
          </w:p>
          <w:p w14:paraId="2CCC7CEC" w14:textId="77777777" w:rsidR="00E274B7" w:rsidRPr="00B043B4" w:rsidRDefault="00E274B7" w:rsidP="00241373">
            <w:pPr>
              <w:rPr>
                <w:rFonts w:eastAsia="Times New Roman"/>
                <w:i/>
                <w:sz w:val="20"/>
                <w:szCs w:val="20"/>
              </w:rPr>
            </w:pPr>
          </w:p>
          <w:p w14:paraId="3BE12CB9" w14:textId="77777777" w:rsidR="00E274B7" w:rsidRDefault="00E274B7" w:rsidP="00241373">
            <w:pPr>
              <w:jc w:val="both"/>
              <w:rPr>
                <w:rFonts w:eastAsia="Times New Roman"/>
                <w:i/>
                <w:sz w:val="20"/>
                <w:szCs w:val="20"/>
              </w:rPr>
            </w:pPr>
            <w:r w:rsidRPr="00B043B4">
              <w:rPr>
                <w:rFonts w:eastAsia="Times New Roman"/>
                <w:i/>
                <w:sz w:val="20"/>
                <w:szCs w:val="20"/>
              </w:rPr>
              <w:t>Nulový variant - uveďte dôsledky, ku ktorým by došlo v prípade nevykonania úprav v predkladanom materiáli a alternatívne riešenia/spôsoby dosiahnutia cieľov uvedených v bode 3.</w:t>
            </w:r>
          </w:p>
          <w:p w14:paraId="487D7785" w14:textId="77777777" w:rsidR="00E274B7" w:rsidRDefault="00E274B7" w:rsidP="00241373">
            <w:pPr>
              <w:jc w:val="both"/>
              <w:rPr>
                <w:rFonts w:eastAsia="Times New Roman"/>
                <w:i/>
                <w:sz w:val="20"/>
                <w:szCs w:val="20"/>
              </w:rPr>
            </w:pPr>
          </w:p>
          <w:p w14:paraId="105EF9A5" w14:textId="77777777" w:rsidR="00E274B7" w:rsidRDefault="00E274B7" w:rsidP="00241373">
            <w:pPr>
              <w:jc w:val="both"/>
              <w:rPr>
                <w:rFonts w:eastAsia="Times New Roman"/>
                <w:sz w:val="20"/>
                <w:szCs w:val="20"/>
              </w:rPr>
            </w:pPr>
            <w:r w:rsidRPr="00107C88">
              <w:rPr>
                <w:rFonts w:eastAsia="Times New Roman"/>
                <w:b/>
                <w:sz w:val="20"/>
                <w:szCs w:val="20"/>
              </w:rPr>
              <w:t>Alternatívne riešenia</w:t>
            </w:r>
            <w:r>
              <w:rPr>
                <w:rFonts w:eastAsia="Times New Roman"/>
                <w:sz w:val="20"/>
                <w:szCs w:val="20"/>
              </w:rPr>
              <w:t xml:space="preserve"> - Ako alternatívne riešenie bolo zvažované a posudzované taktiež vytvorenie samostatnej príspevkovej alebo neziskovej organizácie, ktorej predmetom činnosti by bolo vykonávanie činností v oblasti technickej normalizácie. Avšak po vyhodnotení kladov a záporov tohto riešenia, sa úrad rozhodol pre vytvorenie legislatívnych podmienok pre možnosť poveriť inú existujúcu právnickú osobu vykonávam niektorých, prípadne všetkých činností v oblasti technickej normalizácie, ako organizačne a ekonomicky najvhodnejšieho riešenia.</w:t>
            </w:r>
          </w:p>
          <w:p w14:paraId="269BD7A1" w14:textId="77777777" w:rsidR="00E274B7" w:rsidRDefault="00E274B7" w:rsidP="00241373">
            <w:pPr>
              <w:jc w:val="both"/>
              <w:rPr>
                <w:rFonts w:eastAsia="Times New Roman"/>
                <w:sz w:val="20"/>
                <w:szCs w:val="20"/>
              </w:rPr>
            </w:pPr>
          </w:p>
          <w:p w14:paraId="43AC072A" w14:textId="77777777" w:rsidR="00E274B7" w:rsidRPr="00107C88" w:rsidRDefault="00E274B7" w:rsidP="00241373">
            <w:pPr>
              <w:jc w:val="both"/>
              <w:rPr>
                <w:rFonts w:eastAsia="Times New Roman"/>
                <w:sz w:val="20"/>
                <w:szCs w:val="20"/>
              </w:rPr>
            </w:pPr>
            <w:r w:rsidRPr="00107C88">
              <w:rPr>
                <w:rFonts w:eastAsia="Times New Roman"/>
                <w:b/>
                <w:sz w:val="20"/>
                <w:szCs w:val="20"/>
              </w:rPr>
              <w:t>Nulový variant</w:t>
            </w:r>
            <w:r>
              <w:rPr>
                <w:rFonts w:eastAsia="Times New Roman"/>
                <w:b/>
                <w:sz w:val="20"/>
                <w:szCs w:val="20"/>
              </w:rPr>
              <w:t xml:space="preserve"> –</w:t>
            </w:r>
            <w:r>
              <w:rPr>
                <w:rFonts w:eastAsia="Times New Roman"/>
                <w:sz w:val="20"/>
                <w:szCs w:val="20"/>
              </w:rPr>
              <w:t xml:space="preserve"> Náklady na technickú normalizáciu prevyšujú možnosti štátu na investovanie do jej rozvoja, a preto by sa neprijatím návrhu zákona zamedzilo rozvoju technickej normalizácie a došlo by k znemožneniu pre úrad  účinne odpovedať na výzvy, ktorým čelí vnútorný trh Európskej únie v súvislosti s digitálnou a zelenou transformáciou. Rovnako by nedošlo k odstráneniu rôznych prístupov a výkladov týkajúcich sa dobrovoľnosti dodržiavania slovenských technických noriem a technických normalizačných informácií.</w:t>
            </w:r>
          </w:p>
          <w:p w14:paraId="399BC1A1" w14:textId="77777777" w:rsidR="00E274B7" w:rsidRPr="00942650" w:rsidRDefault="00E274B7" w:rsidP="00241373">
            <w:pPr>
              <w:jc w:val="both"/>
              <w:rPr>
                <w:rFonts w:eastAsia="Times New Roman"/>
                <w:sz w:val="20"/>
                <w:szCs w:val="20"/>
              </w:rPr>
            </w:pPr>
          </w:p>
        </w:tc>
      </w:tr>
      <w:tr w:rsidR="00E274B7" w:rsidRPr="00B043B4" w14:paraId="6C278389" w14:textId="77777777" w:rsidTr="0024137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E180FEB" w14:textId="77777777" w:rsidR="00E274B7" w:rsidRPr="00B043B4" w:rsidRDefault="00E274B7" w:rsidP="00241373">
            <w:pPr>
              <w:widowControl/>
              <w:numPr>
                <w:ilvl w:val="0"/>
                <w:numId w:val="1"/>
              </w:numPr>
              <w:adjustRightInd/>
              <w:ind w:left="426"/>
              <w:contextualSpacing/>
              <w:rPr>
                <w:rFonts w:eastAsia="Calibri"/>
                <w:b/>
              </w:rPr>
            </w:pPr>
            <w:r w:rsidRPr="00B043B4">
              <w:rPr>
                <w:rFonts w:eastAsia="Calibri"/>
                <w:b/>
              </w:rPr>
              <w:t>Vykonávacie predpisy</w:t>
            </w:r>
          </w:p>
        </w:tc>
      </w:tr>
      <w:tr w:rsidR="00E274B7" w:rsidRPr="00B043B4" w14:paraId="3727D05B" w14:textId="77777777" w:rsidTr="00241373">
        <w:tc>
          <w:tcPr>
            <w:tcW w:w="6203" w:type="dxa"/>
            <w:gridSpan w:val="7"/>
            <w:tcBorders>
              <w:top w:val="single" w:sz="4" w:space="0" w:color="FFFFFF"/>
              <w:left w:val="single" w:sz="4" w:space="0" w:color="auto"/>
              <w:bottom w:val="nil"/>
              <w:right w:val="nil"/>
            </w:tcBorders>
            <w:shd w:val="clear" w:color="auto" w:fill="FFFFFF"/>
          </w:tcPr>
          <w:p w14:paraId="42EDFE74" w14:textId="77777777" w:rsidR="00E274B7" w:rsidRPr="00B043B4" w:rsidRDefault="00E274B7" w:rsidP="00241373">
            <w:pPr>
              <w:rPr>
                <w:rFonts w:eastAsia="Times New Roman"/>
                <w:i/>
                <w:sz w:val="20"/>
                <w:szCs w:val="20"/>
              </w:rPr>
            </w:pPr>
            <w:r w:rsidRPr="00B043B4">
              <w:rPr>
                <w:rFonts w:eastAsia="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3F478055" w14:textId="77777777" w:rsidR="00E274B7" w:rsidRPr="00B043B4" w:rsidRDefault="003D76AF" w:rsidP="00241373">
            <w:pPr>
              <w:jc w:val="center"/>
              <w:rPr>
                <w:rFonts w:eastAsia="Times New Roman"/>
                <w:b/>
                <w:sz w:val="20"/>
                <w:szCs w:val="20"/>
              </w:rPr>
            </w:pPr>
            <w:sdt>
              <w:sdtPr>
                <w:rPr>
                  <w:b/>
                  <w:sz w:val="20"/>
                  <w:szCs w:val="20"/>
                </w:rPr>
                <w:id w:val="1929613764"/>
              </w:sdtPr>
              <w:sdtEndPr/>
              <w:sdtContent>
                <w:r w:rsidR="00E274B7">
                  <w:rPr>
                    <w:rFonts w:ascii="MS Gothic" w:eastAsia="MS Gothic" w:hAnsi="MS Gothic" w:hint="eastAsia"/>
                    <w:b/>
                    <w:sz w:val="20"/>
                    <w:szCs w:val="20"/>
                  </w:rPr>
                  <w:t>☐</w:t>
                </w:r>
              </w:sdtContent>
            </w:sdt>
            <w:r w:rsidR="00E274B7" w:rsidRPr="00B043B4">
              <w:rPr>
                <w:rFonts w:eastAsia="Times New Roman"/>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35130EB4" w14:textId="77777777" w:rsidR="00E274B7" w:rsidRPr="00B043B4" w:rsidRDefault="003D76AF" w:rsidP="00241373">
            <w:pPr>
              <w:jc w:val="center"/>
              <w:rPr>
                <w:rFonts w:eastAsia="Times New Roman"/>
                <w:b/>
                <w:sz w:val="20"/>
                <w:szCs w:val="20"/>
              </w:rPr>
            </w:pPr>
            <w:sdt>
              <w:sdtPr>
                <w:rPr>
                  <w:b/>
                  <w:sz w:val="20"/>
                  <w:szCs w:val="20"/>
                </w:rPr>
                <w:id w:val="-1594626508"/>
              </w:sdtPr>
              <w:sdtEndPr/>
              <w:sdtContent>
                <w:r w:rsidR="00E274B7">
                  <w:rPr>
                    <w:rFonts w:ascii="MS Gothic" w:eastAsia="MS Gothic" w:hAnsi="MS Gothic" w:hint="eastAsia"/>
                    <w:b/>
                    <w:sz w:val="20"/>
                    <w:szCs w:val="20"/>
                  </w:rPr>
                  <w:t>☒</w:t>
                </w:r>
              </w:sdtContent>
            </w:sdt>
            <w:r w:rsidR="00E274B7" w:rsidRPr="00B043B4">
              <w:rPr>
                <w:rFonts w:eastAsia="Times New Roman"/>
                <w:b/>
                <w:sz w:val="20"/>
                <w:szCs w:val="20"/>
              </w:rPr>
              <w:t xml:space="preserve">  Nie</w:t>
            </w:r>
          </w:p>
        </w:tc>
      </w:tr>
      <w:tr w:rsidR="00E274B7" w:rsidRPr="00B043B4" w14:paraId="50D3DE6F" w14:textId="77777777" w:rsidTr="00241373">
        <w:tc>
          <w:tcPr>
            <w:tcW w:w="9180" w:type="dxa"/>
            <w:gridSpan w:val="11"/>
            <w:tcBorders>
              <w:top w:val="nil"/>
              <w:left w:val="single" w:sz="4" w:space="0" w:color="auto"/>
              <w:bottom w:val="single" w:sz="4" w:space="0" w:color="auto"/>
              <w:right w:val="single" w:sz="4" w:space="0" w:color="auto"/>
            </w:tcBorders>
            <w:shd w:val="clear" w:color="auto" w:fill="FFFFFF"/>
          </w:tcPr>
          <w:p w14:paraId="0D70F90C" w14:textId="77777777" w:rsidR="00E274B7" w:rsidRPr="00B043B4" w:rsidRDefault="00E274B7" w:rsidP="00241373">
            <w:pPr>
              <w:rPr>
                <w:rFonts w:eastAsia="Times New Roman"/>
                <w:i/>
                <w:sz w:val="20"/>
                <w:szCs w:val="20"/>
              </w:rPr>
            </w:pPr>
            <w:r w:rsidRPr="00B043B4">
              <w:rPr>
                <w:rFonts w:eastAsia="Times New Roman"/>
                <w:i/>
                <w:sz w:val="20"/>
                <w:szCs w:val="20"/>
              </w:rPr>
              <w:t>Ak áno, uveďte ktoré oblasti budú nimi upravené, resp. ktorých vykonávacích predpisov sa zmena dotkne:</w:t>
            </w:r>
          </w:p>
          <w:p w14:paraId="420EE780" w14:textId="77777777" w:rsidR="00E274B7" w:rsidRPr="00B043B4" w:rsidRDefault="00E274B7" w:rsidP="00241373">
            <w:pPr>
              <w:rPr>
                <w:rFonts w:eastAsia="Times New Roman"/>
                <w:sz w:val="20"/>
                <w:szCs w:val="20"/>
              </w:rPr>
            </w:pPr>
          </w:p>
        </w:tc>
      </w:tr>
      <w:tr w:rsidR="00E274B7" w:rsidRPr="00B043B4" w14:paraId="59116FB0" w14:textId="77777777" w:rsidTr="0024137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B09265B" w14:textId="77777777" w:rsidR="00E274B7" w:rsidRPr="00B043B4" w:rsidRDefault="00E274B7" w:rsidP="00241373">
            <w:pPr>
              <w:widowControl/>
              <w:numPr>
                <w:ilvl w:val="0"/>
                <w:numId w:val="1"/>
              </w:numPr>
              <w:adjustRightInd/>
              <w:ind w:left="426"/>
              <w:contextualSpacing/>
              <w:rPr>
                <w:rFonts w:eastAsia="Calibri"/>
                <w:b/>
              </w:rPr>
            </w:pPr>
            <w:r w:rsidRPr="00B043B4">
              <w:rPr>
                <w:rFonts w:eastAsia="Calibri"/>
                <w:b/>
              </w:rPr>
              <w:t xml:space="preserve">Transpozícia práva EÚ </w:t>
            </w:r>
          </w:p>
        </w:tc>
      </w:tr>
      <w:tr w:rsidR="00E274B7" w:rsidRPr="00B043B4" w14:paraId="696AB10D" w14:textId="77777777" w:rsidTr="00241373">
        <w:trPr>
          <w:trHeight w:val="157"/>
        </w:trPr>
        <w:tc>
          <w:tcPr>
            <w:tcW w:w="9180" w:type="dxa"/>
            <w:gridSpan w:val="11"/>
            <w:tcBorders>
              <w:top w:val="nil"/>
              <w:left w:val="single" w:sz="4" w:space="0" w:color="000000"/>
              <w:bottom w:val="nil"/>
              <w:right w:val="single" w:sz="4" w:space="0" w:color="auto"/>
            </w:tcBorders>
            <w:shd w:val="clear" w:color="auto" w:fill="FFFFFF"/>
          </w:tcPr>
          <w:p w14:paraId="0CF68BE1" w14:textId="77777777" w:rsidR="00E274B7" w:rsidRDefault="00E274B7" w:rsidP="00241373">
            <w:pPr>
              <w:jc w:val="both"/>
              <w:rPr>
                <w:rFonts w:eastAsia="Times New Roman"/>
                <w:i/>
                <w:sz w:val="20"/>
                <w:szCs w:val="20"/>
              </w:rPr>
            </w:pPr>
            <w:r w:rsidRPr="00B043B4">
              <w:rPr>
                <w:rFonts w:eastAsia="Times New Roman"/>
                <w:i/>
                <w:sz w:val="20"/>
                <w:szCs w:val="20"/>
              </w:rPr>
              <w:t xml:space="preserve">Uveďte, v ktorých konkrétnych ustanoveniach (paragrafy, články, body, atď.) ide národná právna úprava nad rámec minimálnych požiadaviek EÚ (tzv. </w:t>
            </w:r>
            <w:proofErr w:type="spellStart"/>
            <w:r w:rsidRPr="00B043B4">
              <w:rPr>
                <w:rFonts w:eastAsia="Times New Roman"/>
                <w:i/>
                <w:sz w:val="20"/>
                <w:szCs w:val="20"/>
              </w:rPr>
              <w:t>goldplating</w:t>
            </w:r>
            <w:proofErr w:type="spellEnd"/>
            <w:r w:rsidRPr="00B043B4">
              <w:rPr>
                <w:rFonts w:eastAsia="Times New Roman"/>
                <w:i/>
                <w:sz w:val="20"/>
                <w:szCs w:val="20"/>
              </w:rPr>
              <w:t>) spolu s odôvodnením opodstatnenosti presahu.</w:t>
            </w:r>
          </w:p>
          <w:p w14:paraId="69610184" w14:textId="77777777" w:rsidR="00E274B7" w:rsidRDefault="00E274B7" w:rsidP="00241373">
            <w:pPr>
              <w:jc w:val="both"/>
              <w:rPr>
                <w:rFonts w:eastAsia="Times New Roman"/>
                <w:i/>
                <w:sz w:val="20"/>
                <w:szCs w:val="20"/>
              </w:rPr>
            </w:pPr>
          </w:p>
          <w:p w14:paraId="4984096F" w14:textId="77777777" w:rsidR="00E274B7" w:rsidRPr="008F4007" w:rsidRDefault="00E274B7" w:rsidP="00241373">
            <w:pPr>
              <w:jc w:val="both"/>
              <w:rPr>
                <w:rFonts w:eastAsia="Times New Roman"/>
                <w:sz w:val="20"/>
                <w:szCs w:val="20"/>
              </w:rPr>
            </w:pPr>
            <w:r>
              <w:rPr>
                <w:rFonts w:eastAsia="Times New Roman"/>
                <w:sz w:val="20"/>
                <w:szCs w:val="20"/>
              </w:rPr>
              <w:t>Neuplatňuje sa.</w:t>
            </w:r>
          </w:p>
        </w:tc>
      </w:tr>
      <w:tr w:rsidR="00E274B7" w:rsidRPr="00B043B4" w14:paraId="3E754A5C" w14:textId="77777777" w:rsidTr="00241373">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3D1735BC" w14:textId="77777777" w:rsidR="00E274B7" w:rsidRPr="00B043B4" w:rsidRDefault="00E274B7" w:rsidP="00241373">
            <w:pPr>
              <w:jc w:val="center"/>
              <w:rPr>
                <w:rFonts w:eastAsia="Times New Roman"/>
                <w:sz w:val="20"/>
                <w:szCs w:val="20"/>
              </w:rPr>
            </w:pPr>
          </w:p>
        </w:tc>
      </w:tr>
      <w:tr w:rsidR="00E274B7" w:rsidRPr="00B043B4" w14:paraId="3D5F07A7" w14:textId="77777777" w:rsidTr="0024137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4B275D4" w14:textId="77777777" w:rsidR="00E274B7" w:rsidRPr="00B043B4" w:rsidRDefault="00E274B7" w:rsidP="00241373">
            <w:pPr>
              <w:widowControl/>
              <w:numPr>
                <w:ilvl w:val="0"/>
                <w:numId w:val="1"/>
              </w:numPr>
              <w:adjustRightInd/>
              <w:ind w:left="426"/>
              <w:contextualSpacing/>
              <w:rPr>
                <w:rFonts w:eastAsia="Calibri"/>
                <w:b/>
              </w:rPr>
            </w:pPr>
            <w:r w:rsidRPr="00B043B4">
              <w:rPr>
                <w:rFonts w:eastAsia="Calibri"/>
                <w:b/>
              </w:rPr>
              <w:t>Preskúmanie účelnosti</w:t>
            </w:r>
          </w:p>
        </w:tc>
      </w:tr>
      <w:tr w:rsidR="00E274B7" w:rsidRPr="00B043B4" w14:paraId="7DCF5F87" w14:textId="77777777" w:rsidTr="00241373">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1B57002" w14:textId="77777777" w:rsidR="00E274B7" w:rsidRPr="00BB78FD" w:rsidRDefault="00E274B7" w:rsidP="00241373">
            <w:pPr>
              <w:rPr>
                <w:rFonts w:eastAsia="Times New Roman"/>
                <w:i/>
                <w:sz w:val="20"/>
                <w:szCs w:val="20"/>
              </w:rPr>
            </w:pPr>
            <w:r w:rsidRPr="00BB78FD">
              <w:rPr>
                <w:rFonts w:eastAsia="Times New Roman"/>
                <w:i/>
                <w:sz w:val="20"/>
                <w:szCs w:val="20"/>
              </w:rPr>
              <w:t>Uveďte termín, kedy by malo dôjsť k preskúmaniu účinnosti a účelnosti predkladaného materiálu.</w:t>
            </w:r>
          </w:p>
          <w:p w14:paraId="2896A424" w14:textId="77777777" w:rsidR="00E274B7" w:rsidRPr="00BB78FD" w:rsidRDefault="00E274B7" w:rsidP="00241373">
            <w:pPr>
              <w:rPr>
                <w:rFonts w:eastAsia="Times New Roman"/>
                <w:i/>
                <w:sz w:val="20"/>
                <w:szCs w:val="20"/>
              </w:rPr>
            </w:pPr>
            <w:r w:rsidRPr="00BB78FD">
              <w:rPr>
                <w:rFonts w:eastAsia="Times New Roman"/>
                <w:i/>
                <w:sz w:val="20"/>
                <w:szCs w:val="20"/>
              </w:rPr>
              <w:t>Uveďte kritériá, na základe ktorých bude preskúmanie vykonané.</w:t>
            </w:r>
          </w:p>
          <w:p w14:paraId="3623C163" w14:textId="77777777" w:rsidR="00E274B7" w:rsidRPr="00BB78FD" w:rsidRDefault="00E274B7" w:rsidP="00241373">
            <w:pPr>
              <w:rPr>
                <w:rFonts w:eastAsia="Times New Roman"/>
                <w:i/>
                <w:sz w:val="20"/>
                <w:szCs w:val="20"/>
              </w:rPr>
            </w:pPr>
          </w:p>
          <w:p w14:paraId="14BEC850" w14:textId="77777777" w:rsidR="00E274B7" w:rsidRPr="00BB78FD" w:rsidRDefault="00E274B7" w:rsidP="00241373">
            <w:pPr>
              <w:jc w:val="both"/>
              <w:rPr>
                <w:rFonts w:eastAsia="Times New Roman"/>
                <w:iCs/>
                <w:sz w:val="20"/>
                <w:szCs w:val="20"/>
              </w:rPr>
            </w:pPr>
            <w:r w:rsidRPr="00BB78FD">
              <w:rPr>
                <w:rFonts w:eastAsia="Times New Roman"/>
                <w:iCs/>
                <w:sz w:val="20"/>
                <w:szCs w:val="20"/>
              </w:rPr>
              <w:t xml:space="preserve">Preskúmanie účinnosti a účelnosti návrhu zákona navrhujeme vykonať po troch rokoch od nadobudnutia účinnosti rozhodnutia </w:t>
            </w:r>
            <w:r>
              <w:rPr>
                <w:rFonts w:eastAsia="Times New Roman"/>
                <w:iCs/>
                <w:sz w:val="20"/>
                <w:szCs w:val="20"/>
              </w:rPr>
              <w:t>úradu</w:t>
            </w:r>
            <w:r w:rsidRPr="00BB78FD">
              <w:rPr>
                <w:rFonts w:eastAsia="Times New Roman"/>
                <w:iCs/>
                <w:sz w:val="20"/>
                <w:szCs w:val="20"/>
              </w:rPr>
              <w:t xml:space="preserve"> o poverení právnickej osoby vykonávaním niektorých činností v oblasti technickej normalizácie a taktiež po </w:t>
            </w:r>
            <w:r>
              <w:rPr>
                <w:rFonts w:eastAsia="Times New Roman"/>
                <w:iCs/>
                <w:sz w:val="20"/>
                <w:szCs w:val="20"/>
              </w:rPr>
              <w:t>troch</w:t>
            </w:r>
            <w:r w:rsidRPr="00BB78FD">
              <w:rPr>
                <w:rFonts w:eastAsia="Times New Roman"/>
                <w:iCs/>
                <w:sz w:val="20"/>
                <w:szCs w:val="20"/>
              </w:rPr>
              <w:t xml:space="preserve"> rokoch od </w:t>
            </w:r>
            <w:r>
              <w:rPr>
                <w:rFonts w:eastAsia="Times New Roman"/>
                <w:iCs/>
                <w:sz w:val="20"/>
                <w:szCs w:val="20"/>
              </w:rPr>
              <w:t xml:space="preserve">poverenia poverenej právnickej osoby vykonávaním všetkých činností v oblasti technickej normalizácie a oznámení  </w:t>
            </w:r>
            <w:r w:rsidRPr="00BB78FD">
              <w:rPr>
                <w:rFonts w:eastAsia="Times New Roman"/>
                <w:iCs/>
                <w:sz w:val="20"/>
                <w:szCs w:val="20"/>
              </w:rPr>
              <w:t>o pre</w:t>
            </w:r>
            <w:r>
              <w:rPr>
                <w:rFonts w:eastAsia="Times New Roman"/>
                <w:iCs/>
                <w:sz w:val="20"/>
                <w:szCs w:val="20"/>
              </w:rPr>
              <w:t>nesení</w:t>
            </w:r>
            <w:r w:rsidRPr="00BB78FD">
              <w:rPr>
                <w:rFonts w:eastAsia="Times New Roman"/>
                <w:iCs/>
                <w:sz w:val="20"/>
                <w:szCs w:val="20"/>
              </w:rPr>
              <w:t xml:space="preserve"> postavenia slovenského národného normalizačného orgánu na poverenú právnickú osobu.</w:t>
            </w:r>
            <w:r>
              <w:rPr>
                <w:rFonts w:eastAsia="Times New Roman"/>
                <w:iCs/>
                <w:sz w:val="20"/>
                <w:szCs w:val="20"/>
              </w:rPr>
              <w:t xml:space="preserve"> Troj</w:t>
            </w:r>
            <w:r w:rsidRPr="00BB78FD">
              <w:rPr>
                <w:rFonts w:eastAsia="Times New Roman"/>
                <w:iCs/>
                <w:sz w:val="20"/>
                <w:szCs w:val="20"/>
              </w:rPr>
              <w:t xml:space="preserve">ročná lehota predstavuje dostatočný časový rámec, po uplynutí ktorého bude </w:t>
            </w:r>
            <w:r>
              <w:rPr>
                <w:rFonts w:eastAsia="Times New Roman"/>
                <w:iCs/>
                <w:sz w:val="20"/>
                <w:szCs w:val="20"/>
              </w:rPr>
              <w:t xml:space="preserve">úrad </w:t>
            </w:r>
            <w:r w:rsidRPr="00BB78FD">
              <w:rPr>
                <w:rFonts w:eastAsia="Times New Roman"/>
                <w:iCs/>
                <w:sz w:val="20"/>
                <w:szCs w:val="20"/>
              </w:rPr>
              <w:t>vedieť objektívne zhodnotiť účelnosť</w:t>
            </w:r>
            <w:r>
              <w:rPr>
                <w:rFonts w:eastAsia="Times New Roman"/>
                <w:iCs/>
                <w:sz w:val="20"/>
                <w:szCs w:val="20"/>
              </w:rPr>
              <w:t xml:space="preserve">  </w:t>
            </w:r>
            <w:r w:rsidRPr="00BB78FD">
              <w:rPr>
                <w:rFonts w:eastAsia="Times New Roman"/>
                <w:iCs/>
                <w:sz w:val="20"/>
                <w:szCs w:val="20"/>
              </w:rPr>
              <w:t xml:space="preserve">a účinnosť </w:t>
            </w:r>
            <w:r>
              <w:rPr>
                <w:rFonts w:eastAsia="Times New Roman"/>
                <w:iCs/>
                <w:sz w:val="20"/>
                <w:szCs w:val="20"/>
              </w:rPr>
              <w:t>svojich rozhodnutí</w:t>
            </w:r>
            <w:r w:rsidRPr="00BB78FD">
              <w:rPr>
                <w:rFonts w:eastAsia="Times New Roman"/>
                <w:iCs/>
                <w:sz w:val="20"/>
                <w:szCs w:val="20"/>
              </w:rPr>
              <w:t xml:space="preserve"> vo vzťahu k poverenej právnickej osobe.</w:t>
            </w:r>
          </w:p>
          <w:p w14:paraId="76175444" w14:textId="77777777" w:rsidR="00E274B7" w:rsidRDefault="00E274B7" w:rsidP="00241373">
            <w:pPr>
              <w:jc w:val="both"/>
              <w:rPr>
                <w:rFonts w:eastAsia="Times New Roman"/>
                <w:iCs/>
                <w:sz w:val="20"/>
                <w:szCs w:val="20"/>
              </w:rPr>
            </w:pPr>
          </w:p>
          <w:p w14:paraId="78089F2C" w14:textId="77777777" w:rsidR="00E274B7" w:rsidRPr="00B043B4" w:rsidRDefault="00E274B7" w:rsidP="00241373">
            <w:pPr>
              <w:jc w:val="both"/>
              <w:rPr>
                <w:rFonts w:eastAsia="Times New Roman"/>
                <w:i/>
                <w:sz w:val="20"/>
                <w:szCs w:val="20"/>
              </w:rPr>
            </w:pPr>
            <w:r w:rsidRPr="00BB78FD">
              <w:rPr>
                <w:rFonts w:eastAsia="Times New Roman"/>
                <w:iCs/>
                <w:sz w:val="20"/>
                <w:szCs w:val="20"/>
              </w:rPr>
              <w:t xml:space="preserve">Kritériom, na základe ktorého bude preskúmanie účinnosti a účelnosti vykonané bude zhodnotenie prínosov, resp. zlepšenia stavu technickej normalizácie oproti stavu keď všetky činnosti v oblasti technickej normalizácie vykonával </w:t>
            </w:r>
            <w:r>
              <w:rPr>
                <w:rFonts w:eastAsia="Times New Roman"/>
                <w:iCs/>
                <w:sz w:val="20"/>
                <w:szCs w:val="20"/>
              </w:rPr>
              <w:t>úrad</w:t>
            </w:r>
            <w:r w:rsidRPr="00BB78FD">
              <w:rPr>
                <w:rFonts w:eastAsia="Times New Roman"/>
                <w:iCs/>
                <w:sz w:val="20"/>
                <w:szCs w:val="20"/>
              </w:rPr>
              <w:t xml:space="preserve"> a keď mal </w:t>
            </w:r>
            <w:r>
              <w:rPr>
                <w:rFonts w:eastAsia="Times New Roman"/>
                <w:iCs/>
                <w:sz w:val="20"/>
                <w:szCs w:val="20"/>
              </w:rPr>
              <w:t xml:space="preserve">zároveň </w:t>
            </w:r>
            <w:r w:rsidRPr="00BB78FD">
              <w:rPr>
                <w:rFonts w:eastAsia="Times New Roman"/>
                <w:iCs/>
                <w:sz w:val="20"/>
                <w:szCs w:val="20"/>
              </w:rPr>
              <w:t>aj postavenie slovenského národného normalizačného orgánu.</w:t>
            </w:r>
          </w:p>
        </w:tc>
      </w:tr>
      <w:tr w:rsidR="00E274B7" w:rsidRPr="00B043B4" w14:paraId="3902F097" w14:textId="77777777" w:rsidTr="00241373">
        <w:tc>
          <w:tcPr>
            <w:tcW w:w="9180" w:type="dxa"/>
            <w:gridSpan w:val="11"/>
            <w:tcBorders>
              <w:top w:val="nil"/>
              <w:left w:val="nil"/>
              <w:bottom w:val="single" w:sz="4" w:space="0" w:color="auto"/>
              <w:right w:val="nil"/>
            </w:tcBorders>
            <w:shd w:val="clear" w:color="auto" w:fill="FFFFFF"/>
          </w:tcPr>
          <w:p w14:paraId="1790CAB0" w14:textId="77777777" w:rsidR="00E274B7" w:rsidRPr="00B043B4" w:rsidRDefault="00E274B7" w:rsidP="00241373">
            <w:pPr>
              <w:rPr>
                <w:rFonts w:eastAsia="Times New Roman"/>
                <w:b/>
                <w:sz w:val="20"/>
                <w:szCs w:val="20"/>
              </w:rPr>
            </w:pPr>
          </w:p>
          <w:p w14:paraId="28BC732B" w14:textId="77777777" w:rsidR="00E274B7" w:rsidRPr="00B043B4" w:rsidRDefault="00E274B7" w:rsidP="00241373">
            <w:pPr>
              <w:ind w:left="142" w:hanging="142"/>
              <w:rPr>
                <w:rFonts w:eastAsia="Times New Roman"/>
                <w:sz w:val="20"/>
                <w:szCs w:val="20"/>
              </w:rPr>
            </w:pPr>
            <w:r w:rsidRPr="00B043B4">
              <w:rPr>
                <w:rFonts w:eastAsia="Times New Roman"/>
                <w:sz w:val="20"/>
                <w:szCs w:val="20"/>
              </w:rPr>
              <w:t xml:space="preserve">* vyplniť iba v prípade, ak materiál nie je zahrnutý do Plánu práce vlády Slovenskej republiky alebo Plánu        legislatívnych úloh vlády Slovenskej republiky. </w:t>
            </w:r>
          </w:p>
          <w:p w14:paraId="609AF90F" w14:textId="77777777" w:rsidR="00E274B7" w:rsidRDefault="00E274B7" w:rsidP="00241373">
            <w:pPr>
              <w:rPr>
                <w:rFonts w:eastAsia="Times New Roman"/>
                <w:sz w:val="20"/>
                <w:szCs w:val="20"/>
              </w:rPr>
            </w:pPr>
            <w:r w:rsidRPr="00B043B4">
              <w:rPr>
                <w:rFonts w:eastAsia="Times New Roman"/>
                <w:sz w:val="20"/>
                <w:szCs w:val="20"/>
              </w:rPr>
              <w:t>** vyplniť iba v prípade, ak sa záverečné posúdenie</w:t>
            </w:r>
            <w:r>
              <w:rPr>
                <w:rFonts w:eastAsia="Times New Roman"/>
                <w:sz w:val="20"/>
                <w:szCs w:val="20"/>
              </w:rPr>
              <w:t xml:space="preserve"> vybraných vplyvov</w:t>
            </w:r>
            <w:r w:rsidRPr="00B043B4">
              <w:rPr>
                <w:rFonts w:eastAsia="Times New Roman"/>
                <w:sz w:val="20"/>
                <w:szCs w:val="20"/>
              </w:rPr>
              <w:t xml:space="preserve"> uskutočnilo v zmysle bodu 9.1. </w:t>
            </w:r>
            <w:r>
              <w:rPr>
                <w:rFonts w:eastAsia="Times New Roman"/>
                <w:sz w:val="20"/>
                <w:szCs w:val="20"/>
              </w:rPr>
              <w:t>j</w:t>
            </w:r>
            <w:r w:rsidRPr="00B043B4">
              <w:rPr>
                <w:rFonts w:eastAsia="Times New Roman"/>
                <w:sz w:val="20"/>
                <w:szCs w:val="20"/>
              </w:rPr>
              <w:t>ednotnej metodiky</w:t>
            </w:r>
            <w:r>
              <w:rPr>
                <w:rFonts w:eastAsia="Times New Roman"/>
                <w:sz w:val="20"/>
                <w:szCs w:val="20"/>
              </w:rPr>
              <w:t>.</w:t>
            </w:r>
          </w:p>
          <w:p w14:paraId="34519662" w14:textId="77777777" w:rsidR="00E274B7" w:rsidRPr="00B043B4" w:rsidRDefault="00E274B7" w:rsidP="00241373">
            <w:pPr>
              <w:rPr>
                <w:rFonts w:eastAsia="Times New Roman"/>
                <w:b/>
                <w:sz w:val="20"/>
                <w:szCs w:val="20"/>
              </w:rPr>
            </w:pPr>
          </w:p>
        </w:tc>
      </w:tr>
      <w:tr w:rsidR="00E274B7" w:rsidRPr="00B043B4" w14:paraId="361EA8F2" w14:textId="77777777" w:rsidTr="00241373">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40D4932B" w14:textId="77777777" w:rsidR="00E274B7" w:rsidRPr="00B043B4" w:rsidRDefault="00E274B7" w:rsidP="00241373">
            <w:pPr>
              <w:widowControl/>
              <w:numPr>
                <w:ilvl w:val="0"/>
                <w:numId w:val="1"/>
              </w:numPr>
              <w:adjustRightInd/>
              <w:ind w:left="426"/>
              <w:contextualSpacing/>
              <w:rPr>
                <w:rFonts w:eastAsia="Calibri"/>
                <w:b/>
              </w:rPr>
            </w:pPr>
            <w:r w:rsidRPr="00B043B4">
              <w:rPr>
                <w:rFonts w:eastAsia="Calibri"/>
                <w:b/>
              </w:rPr>
              <w:t>Vybrané vplyvy  materiálu</w:t>
            </w:r>
          </w:p>
        </w:tc>
      </w:tr>
      <w:tr w:rsidR="00E274B7" w:rsidRPr="00B043B4" w14:paraId="0B22FA35" w14:textId="77777777" w:rsidTr="00241373">
        <w:tc>
          <w:tcPr>
            <w:tcW w:w="3812" w:type="dxa"/>
            <w:tcBorders>
              <w:top w:val="single" w:sz="4" w:space="0" w:color="auto"/>
              <w:left w:val="single" w:sz="4" w:space="0" w:color="auto"/>
              <w:bottom w:val="nil"/>
              <w:right w:val="single" w:sz="4" w:space="0" w:color="auto"/>
            </w:tcBorders>
            <w:shd w:val="clear" w:color="auto" w:fill="E2E2E2"/>
          </w:tcPr>
          <w:p w14:paraId="51441AF6" w14:textId="77777777" w:rsidR="00E274B7" w:rsidRPr="00BB78FD" w:rsidRDefault="00E274B7" w:rsidP="00241373">
            <w:pPr>
              <w:rPr>
                <w:rFonts w:eastAsia="Times New Roman"/>
                <w:b/>
                <w:sz w:val="20"/>
                <w:szCs w:val="20"/>
              </w:rPr>
            </w:pPr>
            <w:r w:rsidRPr="00BB78FD">
              <w:rPr>
                <w:rFonts w:eastAsia="Times New Roman"/>
                <w:b/>
                <w:sz w:val="20"/>
                <w:szCs w:val="20"/>
              </w:rPr>
              <w:t>Vplyvy na rozpočet verejnej správy</w:t>
            </w:r>
          </w:p>
        </w:tc>
        <w:sdt>
          <w:sdtPr>
            <w:rPr>
              <w:b/>
              <w:sz w:val="20"/>
              <w:szCs w:val="20"/>
            </w:rPr>
            <w:id w:val="-1066412587"/>
          </w:sdtPr>
          <w:sdtEndPr/>
          <w:sdtContent>
            <w:tc>
              <w:tcPr>
                <w:tcW w:w="541" w:type="dxa"/>
                <w:gridSpan w:val="2"/>
                <w:tcBorders>
                  <w:top w:val="single" w:sz="4" w:space="0" w:color="auto"/>
                  <w:left w:val="single" w:sz="4" w:space="0" w:color="auto"/>
                  <w:bottom w:val="dotted" w:sz="4" w:space="0" w:color="auto"/>
                  <w:right w:val="nil"/>
                </w:tcBorders>
              </w:tcPr>
              <w:p w14:paraId="3CCB4169"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tcPr>
          <w:p w14:paraId="5C991E27" w14:textId="77777777" w:rsidR="00E274B7" w:rsidRPr="00B043B4" w:rsidRDefault="00E274B7" w:rsidP="00241373">
            <w:pPr>
              <w:rPr>
                <w:rFonts w:eastAsia="Times New Roman"/>
                <w:b/>
                <w:sz w:val="20"/>
                <w:szCs w:val="20"/>
              </w:rPr>
            </w:pPr>
            <w:r w:rsidRPr="00B043B4">
              <w:rPr>
                <w:rFonts w:eastAsia="Times New Roman"/>
                <w:b/>
                <w:sz w:val="20"/>
                <w:szCs w:val="20"/>
              </w:rPr>
              <w:t>Pozitívne</w:t>
            </w:r>
          </w:p>
        </w:tc>
        <w:sdt>
          <w:sdtPr>
            <w:rPr>
              <w:b/>
              <w:sz w:val="20"/>
              <w:szCs w:val="20"/>
            </w:rPr>
            <w:id w:val="-1481296198"/>
          </w:sdtPr>
          <w:sdtEndPr/>
          <w:sdtContent>
            <w:tc>
              <w:tcPr>
                <w:tcW w:w="538" w:type="dxa"/>
                <w:gridSpan w:val="2"/>
                <w:tcBorders>
                  <w:top w:val="single" w:sz="4" w:space="0" w:color="auto"/>
                  <w:left w:val="nil"/>
                  <w:bottom w:val="dotted" w:sz="4" w:space="0" w:color="auto"/>
                  <w:right w:val="nil"/>
                </w:tcBorders>
              </w:tcPr>
              <w:p w14:paraId="7926A32B"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14:paraId="5A4EA321" w14:textId="77777777" w:rsidR="00E274B7" w:rsidRPr="00B043B4" w:rsidRDefault="00E274B7" w:rsidP="00241373">
            <w:pPr>
              <w:rPr>
                <w:rFonts w:eastAsia="Times New Roman"/>
                <w:b/>
                <w:sz w:val="20"/>
                <w:szCs w:val="20"/>
              </w:rPr>
            </w:pPr>
            <w:r w:rsidRPr="00B043B4">
              <w:rPr>
                <w:rFonts w:eastAsia="Times New Roman"/>
                <w:b/>
                <w:sz w:val="20"/>
                <w:szCs w:val="20"/>
              </w:rPr>
              <w:t>Žiadne</w:t>
            </w:r>
          </w:p>
        </w:tc>
        <w:sdt>
          <w:sdtPr>
            <w:rPr>
              <w:b/>
              <w:sz w:val="20"/>
              <w:szCs w:val="20"/>
            </w:rPr>
            <w:id w:val="-755052973"/>
          </w:sdtPr>
          <w:sdtEndPr/>
          <w:sdtContent>
            <w:tc>
              <w:tcPr>
                <w:tcW w:w="547" w:type="dxa"/>
                <w:gridSpan w:val="2"/>
                <w:tcBorders>
                  <w:top w:val="single" w:sz="4" w:space="0" w:color="auto"/>
                  <w:left w:val="nil"/>
                  <w:bottom w:val="dotted" w:sz="4" w:space="0" w:color="auto"/>
                  <w:right w:val="nil"/>
                </w:tcBorders>
              </w:tcPr>
              <w:p w14:paraId="15D5023B" w14:textId="77777777" w:rsidR="00E274B7" w:rsidRPr="00B043B4" w:rsidRDefault="00E274B7" w:rsidP="00241373">
                <w:pPr>
                  <w:ind w:left="-107" w:right="-108"/>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14:paraId="27C351B9" w14:textId="77777777" w:rsidR="00E274B7" w:rsidRPr="00B043B4" w:rsidRDefault="00E274B7" w:rsidP="00241373">
            <w:pPr>
              <w:ind w:left="34"/>
              <w:rPr>
                <w:rFonts w:eastAsia="Times New Roman"/>
                <w:b/>
                <w:sz w:val="20"/>
                <w:szCs w:val="20"/>
              </w:rPr>
            </w:pPr>
            <w:r w:rsidRPr="00B043B4">
              <w:rPr>
                <w:rFonts w:eastAsia="Times New Roman"/>
                <w:b/>
                <w:sz w:val="20"/>
                <w:szCs w:val="20"/>
              </w:rPr>
              <w:t>Negatívne</w:t>
            </w:r>
          </w:p>
        </w:tc>
      </w:tr>
      <w:tr w:rsidR="00E274B7" w:rsidRPr="00B043B4" w14:paraId="1F8BAFB5" w14:textId="77777777" w:rsidTr="00241373">
        <w:tc>
          <w:tcPr>
            <w:tcW w:w="3812" w:type="dxa"/>
            <w:tcBorders>
              <w:top w:val="nil"/>
              <w:left w:val="single" w:sz="4" w:space="0" w:color="auto"/>
              <w:bottom w:val="nil"/>
              <w:right w:val="single" w:sz="4" w:space="0" w:color="auto"/>
            </w:tcBorders>
            <w:shd w:val="clear" w:color="auto" w:fill="E2E2E2"/>
          </w:tcPr>
          <w:p w14:paraId="57E5681E" w14:textId="77777777" w:rsidR="00E274B7" w:rsidRPr="00BB78FD" w:rsidRDefault="00E274B7" w:rsidP="00241373">
            <w:pPr>
              <w:rPr>
                <w:rFonts w:eastAsia="Times New Roman"/>
                <w:sz w:val="20"/>
                <w:szCs w:val="20"/>
              </w:rPr>
            </w:pPr>
            <w:r w:rsidRPr="00BB78FD">
              <w:rPr>
                <w:rFonts w:eastAsia="Times New Roman"/>
                <w:sz w:val="20"/>
                <w:szCs w:val="20"/>
              </w:rPr>
              <w:t xml:space="preserve">z toho rozpočtovo zabezpečené vplyvy, </w:t>
            </w:r>
          </w:p>
          <w:p w14:paraId="16D82ED4" w14:textId="77777777" w:rsidR="00E274B7" w:rsidRPr="00BB78FD" w:rsidRDefault="00E274B7" w:rsidP="00241373">
            <w:pPr>
              <w:rPr>
                <w:rFonts w:eastAsia="Times New Roman"/>
                <w:sz w:val="20"/>
                <w:szCs w:val="20"/>
              </w:rPr>
            </w:pPr>
            <w:r w:rsidRPr="00BB78FD">
              <w:rPr>
                <w:rFonts w:eastAsia="Times New Roman"/>
                <w:sz w:val="20"/>
                <w:szCs w:val="20"/>
              </w:rPr>
              <w:t xml:space="preserve">v prípade identifikovaného negatívneho </w:t>
            </w:r>
          </w:p>
          <w:p w14:paraId="7E892C04" w14:textId="77777777" w:rsidR="00E274B7" w:rsidRPr="00BB78FD" w:rsidRDefault="00E274B7" w:rsidP="00241373">
            <w:pPr>
              <w:rPr>
                <w:rFonts w:eastAsia="Times New Roman"/>
                <w:sz w:val="20"/>
                <w:szCs w:val="20"/>
              </w:rPr>
            </w:pPr>
            <w:r w:rsidRPr="00BB78FD">
              <w:rPr>
                <w:rFonts w:eastAsia="Times New Roman"/>
                <w:sz w:val="20"/>
                <w:szCs w:val="20"/>
              </w:rPr>
              <w:t>vplyvu</w:t>
            </w:r>
          </w:p>
        </w:tc>
        <w:sdt>
          <w:sdtPr>
            <w:rPr>
              <w:sz w:val="20"/>
              <w:szCs w:val="20"/>
            </w:rPr>
            <w:id w:val="-1143340457"/>
          </w:sdtPr>
          <w:sdtEndPr/>
          <w:sdtContent>
            <w:tc>
              <w:tcPr>
                <w:tcW w:w="541" w:type="dxa"/>
                <w:gridSpan w:val="2"/>
                <w:tcBorders>
                  <w:top w:val="dotted" w:sz="4" w:space="0" w:color="auto"/>
                  <w:left w:val="single" w:sz="4" w:space="0" w:color="auto"/>
                  <w:bottom w:val="dotted" w:sz="4" w:space="0" w:color="auto"/>
                  <w:right w:val="nil"/>
                </w:tcBorders>
                <w:vAlign w:val="center"/>
              </w:tcPr>
              <w:p w14:paraId="6F6A8DB6" w14:textId="77777777" w:rsidR="00E274B7" w:rsidRPr="00B043B4" w:rsidRDefault="00E274B7" w:rsidP="00241373">
                <w:pPr>
                  <w:jc w:val="center"/>
                  <w:rPr>
                    <w:rFonts w:eastAsia="Times New Roman"/>
                    <w:sz w:val="20"/>
                    <w:szCs w:val="20"/>
                  </w:rPr>
                </w:pPr>
                <w:r>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65CB6D7C" w14:textId="77777777" w:rsidR="00E274B7" w:rsidRPr="00B043B4" w:rsidRDefault="00E274B7" w:rsidP="00241373">
            <w:pPr>
              <w:rPr>
                <w:rFonts w:eastAsia="Times New Roman"/>
                <w:sz w:val="20"/>
                <w:szCs w:val="20"/>
              </w:rPr>
            </w:pPr>
            <w:r w:rsidRPr="00B043B4">
              <w:rPr>
                <w:rFonts w:eastAsia="Times New Roman"/>
                <w:sz w:val="20"/>
                <w:szCs w:val="20"/>
              </w:rPr>
              <w:t>Áno</w:t>
            </w:r>
          </w:p>
        </w:tc>
        <w:sdt>
          <w:sdtPr>
            <w:rPr>
              <w:sz w:val="20"/>
              <w:szCs w:val="20"/>
            </w:rPr>
            <w:id w:val="405798427"/>
          </w:sdtPr>
          <w:sdtEndPr/>
          <w:sdtContent>
            <w:tc>
              <w:tcPr>
                <w:tcW w:w="538" w:type="dxa"/>
                <w:gridSpan w:val="2"/>
                <w:tcBorders>
                  <w:top w:val="dotted" w:sz="4" w:space="0" w:color="auto"/>
                  <w:left w:val="nil"/>
                  <w:bottom w:val="dotted" w:sz="4" w:space="0" w:color="auto"/>
                  <w:right w:val="nil"/>
                </w:tcBorders>
                <w:vAlign w:val="center"/>
              </w:tcPr>
              <w:p w14:paraId="48341D51" w14:textId="77777777" w:rsidR="00E274B7" w:rsidRPr="00B043B4" w:rsidRDefault="00E274B7" w:rsidP="00241373">
                <w:pPr>
                  <w:jc w:val="center"/>
                  <w:rPr>
                    <w:rFonts w:eastAsia="Times New Roman"/>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12557C27" w14:textId="77777777" w:rsidR="00E274B7" w:rsidRPr="00B043B4" w:rsidRDefault="00E274B7" w:rsidP="00241373">
            <w:pPr>
              <w:rPr>
                <w:rFonts w:eastAsia="Times New Roman"/>
                <w:sz w:val="20"/>
                <w:szCs w:val="20"/>
              </w:rPr>
            </w:pPr>
            <w:r w:rsidRPr="00B043B4">
              <w:rPr>
                <w:rFonts w:eastAsia="Times New Roman"/>
                <w:sz w:val="20"/>
                <w:szCs w:val="20"/>
              </w:rPr>
              <w:t>Nie</w:t>
            </w:r>
          </w:p>
        </w:tc>
        <w:sdt>
          <w:sdtPr>
            <w:rPr>
              <w:sz w:val="20"/>
              <w:szCs w:val="20"/>
            </w:rPr>
            <w:id w:val="-1346477702"/>
          </w:sdtPr>
          <w:sdtEndPr/>
          <w:sdtContent>
            <w:tc>
              <w:tcPr>
                <w:tcW w:w="547" w:type="dxa"/>
                <w:gridSpan w:val="2"/>
                <w:tcBorders>
                  <w:top w:val="dotted" w:sz="4" w:space="0" w:color="auto"/>
                  <w:left w:val="nil"/>
                  <w:bottom w:val="dotted" w:sz="4" w:space="0" w:color="auto"/>
                  <w:right w:val="nil"/>
                </w:tcBorders>
                <w:vAlign w:val="center"/>
              </w:tcPr>
              <w:p w14:paraId="7488A1D5" w14:textId="77777777" w:rsidR="00E274B7" w:rsidRPr="00B043B4" w:rsidRDefault="00E274B7" w:rsidP="00241373">
                <w:pPr>
                  <w:ind w:left="-107" w:right="-108"/>
                  <w:jc w:val="center"/>
                  <w:rPr>
                    <w:rFonts w:eastAsia="Times New Roman"/>
                    <w:sz w:val="20"/>
                    <w:szCs w:val="20"/>
                  </w:rPr>
                </w:pPr>
                <w:r>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38B55507" w14:textId="77777777" w:rsidR="00E274B7" w:rsidRPr="00B043B4" w:rsidRDefault="00E274B7" w:rsidP="00241373">
            <w:pPr>
              <w:ind w:left="34"/>
              <w:rPr>
                <w:rFonts w:eastAsia="Times New Roman"/>
                <w:sz w:val="20"/>
                <w:szCs w:val="20"/>
              </w:rPr>
            </w:pPr>
            <w:r w:rsidRPr="00B043B4">
              <w:rPr>
                <w:rFonts w:eastAsia="Times New Roman"/>
                <w:sz w:val="20"/>
                <w:szCs w:val="20"/>
              </w:rPr>
              <w:t>Čiastočne</w:t>
            </w:r>
          </w:p>
        </w:tc>
      </w:tr>
      <w:tr w:rsidR="00E274B7" w:rsidRPr="00B043B4" w14:paraId="10052D61" w14:textId="77777777" w:rsidTr="00241373">
        <w:tc>
          <w:tcPr>
            <w:tcW w:w="3812" w:type="dxa"/>
            <w:tcBorders>
              <w:top w:val="nil"/>
              <w:left w:val="single" w:sz="4" w:space="0" w:color="auto"/>
              <w:bottom w:val="nil"/>
              <w:right w:val="single" w:sz="4" w:space="0" w:color="auto"/>
            </w:tcBorders>
            <w:shd w:val="clear" w:color="auto" w:fill="E2E2E2"/>
          </w:tcPr>
          <w:p w14:paraId="4CE07524" w14:textId="77777777" w:rsidR="00E274B7" w:rsidRPr="003145AE" w:rsidRDefault="00E274B7" w:rsidP="00241373">
            <w:pPr>
              <w:rPr>
                <w:rFonts w:eastAsia="Times New Roman"/>
                <w:b/>
                <w:sz w:val="20"/>
                <w:szCs w:val="20"/>
              </w:rPr>
            </w:pPr>
            <w:r>
              <w:rPr>
                <w:rFonts w:eastAsia="Times New Roman"/>
                <w:b/>
                <w:sz w:val="20"/>
                <w:szCs w:val="20"/>
              </w:rPr>
              <w:t>v tom vplyvy na rozpočty obcí a vyšších územných celkov</w:t>
            </w:r>
          </w:p>
        </w:tc>
        <w:sdt>
          <w:sdtPr>
            <w:rPr>
              <w:b/>
              <w:sz w:val="20"/>
              <w:szCs w:val="20"/>
            </w:rPr>
            <w:id w:val="-1577430931"/>
          </w:sdtPr>
          <w:sdtEndPr/>
          <w:sdtContent>
            <w:tc>
              <w:tcPr>
                <w:tcW w:w="541" w:type="dxa"/>
                <w:gridSpan w:val="2"/>
                <w:tcBorders>
                  <w:top w:val="dotted" w:sz="4" w:space="0" w:color="auto"/>
                  <w:left w:val="single" w:sz="4" w:space="0" w:color="auto"/>
                  <w:bottom w:val="dotted" w:sz="4" w:space="0" w:color="auto"/>
                  <w:right w:val="nil"/>
                </w:tcBorders>
              </w:tcPr>
              <w:p w14:paraId="59FABD5E"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tcPr>
          <w:p w14:paraId="033FB072" w14:textId="77777777" w:rsidR="00E274B7" w:rsidRPr="00B043B4" w:rsidRDefault="00E274B7" w:rsidP="00241373">
            <w:pPr>
              <w:rPr>
                <w:rFonts w:eastAsia="Times New Roman"/>
                <w:b/>
                <w:sz w:val="20"/>
                <w:szCs w:val="20"/>
              </w:rPr>
            </w:pPr>
            <w:r w:rsidRPr="00B043B4">
              <w:rPr>
                <w:rFonts w:eastAsia="Times New Roman"/>
                <w:b/>
                <w:sz w:val="20"/>
                <w:szCs w:val="20"/>
              </w:rPr>
              <w:t>Pozitívne</w:t>
            </w:r>
          </w:p>
        </w:tc>
        <w:sdt>
          <w:sdtPr>
            <w:rPr>
              <w:b/>
              <w:sz w:val="20"/>
              <w:szCs w:val="20"/>
            </w:rPr>
            <w:id w:val="-1035963967"/>
          </w:sdtPr>
          <w:sdtEndPr/>
          <w:sdtContent>
            <w:tc>
              <w:tcPr>
                <w:tcW w:w="538" w:type="dxa"/>
                <w:gridSpan w:val="2"/>
                <w:tcBorders>
                  <w:top w:val="dotted" w:sz="4" w:space="0" w:color="auto"/>
                  <w:left w:val="nil"/>
                  <w:bottom w:val="dotted" w:sz="4" w:space="0" w:color="auto"/>
                  <w:right w:val="nil"/>
                </w:tcBorders>
              </w:tcPr>
              <w:p w14:paraId="3D60AB1A"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14:paraId="4090EC4C" w14:textId="77777777" w:rsidR="00E274B7" w:rsidRPr="00B043B4" w:rsidRDefault="00E274B7" w:rsidP="00241373">
            <w:pPr>
              <w:rPr>
                <w:rFonts w:eastAsia="Times New Roman"/>
                <w:b/>
                <w:sz w:val="20"/>
                <w:szCs w:val="20"/>
              </w:rPr>
            </w:pPr>
            <w:r w:rsidRPr="00B043B4">
              <w:rPr>
                <w:rFonts w:eastAsia="Times New Roman"/>
                <w:b/>
                <w:sz w:val="20"/>
                <w:szCs w:val="20"/>
              </w:rPr>
              <w:t>Žiadne</w:t>
            </w:r>
          </w:p>
        </w:tc>
        <w:sdt>
          <w:sdtPr>
            <w:rPr>
              <w:b/>
              <w:sz w:val="20"/>
              <w:szCs w:val="20"/>
            </w:rPr>
            <w:id w:val="1094750243"/>
          </w:sdtPr>
          <w:sdtEndPr/>
          <w:sdtContent>
            <w:tc>
              <w:tcPr>
                <w:tcW w:w="547" w:type="dxa"/>
                <w:gridSpan w:val="2"/>
                <w:tcBorders>
                  <w:top w:val="dotted" w:sz="4" w:space="0" w:color="auto"/>
                  <w:left w:val="nil"/>
                  <w:bottom w:val="dotted" w:sz="4" w:space="0" w:color="auto"/>
                  <w:right w:val="nil"/>
                </w:tcBorders>
              </w:tcPr>
              <w:p w14:paraId="12C60703" w14:textId="77777777" w:rsidR="00E274B7" w:rsidRPr="00B043B4" w:rsidRDefault="00E274B7" w:rsidP="00241373">
                <w:pPr>
                  <w:ind w:left="-107" w:right="-108"/>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14:paraId="5207CB0A" w14:textId="77777777" w:rsidR="00E274B7" w:rsidRPr="00B043B4" w:rsidRDefault="00E274B7" w:rsidP="00241373">
            <w:pPr>
              <w:ind w:left="34"/>
              <w:rPr>
                <w:rFonts w:eastAsia="Times New Roman"/>
                <w:b/>
                <w:sz w:val="20"/>
                <w:szCs w:val="20"/>
              </w:rPr>
            </w:pPr>
            <w:r w:rsidRPr="00B043B4">
              <w:rPr>
                <w:rFonts w:eastAsia="Times New Roman"/>
                <w:b/>
                <w:sz w:val="20"/>
                <w:szCs w:val="20"/>
              </w:rPr>
              <w:t>Negatívne</w:t>
            </w:r>
          </w:p>
        </w:tc>
      </w:tr>
      <w:tr w:rsidR="00E274B7" w:rsidRPr="00B043B4" w14:paraId="3D083B4E" w14:textId="77777777" w:rsidTr="00241373">
        <w:tc>
          <w:tcPr>
            <w:tcW w:w="3812" w:type="dxa"/>
            <w:tcBorders>
              <w:top w:val="nil"/>
              <w:left w:val="single" w:sz="4" w:space="0" w:color="auto"/>
              <w:bottom w:val="single" w:sz="4" w:space="0" w:color="000000"/>
              <w:right w:val="single" w:sz="4" w:space="0" w:color="auto"/>
            </w:tcBorders>
            <w:shd w:val="clear" w:color="auto" w:fill="E2E2E2"/>
          </w:tcPr>
          <w:p w14:paraId="31AAA78C" w14:textId="77777777" w:rsidR="00E274B7" w:rsidRPr="00BB78FD" w:rsidRDefault="00E274B7" w:rsidP="00241373">
            <w:pPr>
              <w:ind w:left="171"/>
              <w:rPr>
                <w:rFonts w:eastAsia="Times New Roman"/>
                <w:sz w:val="20"/>
                <w:szCs w:val="20"/>
              </w:rPr>
            </w:pPr>
            <w:r w:rsidRPr="00BB78FD">
              <w:rPr>
                <w:rFonts w:eastAsia="Times New Roman"/>
                <w:sz w:val="20"/>
                <w:szCs w:val="20"/>
              </w:rPr>
              <w:t>z toho rozpočtovo zabezpečené vplyvy,</w:t>
            </w:r>
          </w:p>
          <w:p w14:paraId="7AEA805F" w14:textId="77777777" w:rsidR="00E274B7" w:rsidRPr="00BB78FD" w:rsidRDefault="00E274B7" w:rsidP="00241373">
            <w:pPr>
              <w:ind w:left="171"/>
              <w:rPr>
                <w:rFonts w:eastAsia="Times New Roman"/>
                <w:sz w:val="20"/>
                <w:szCs w:val="20"/>
              </w:rPr>
            </w:pPr>
            <w:r w:rsidRPr="00BB78FD">
              <w:rPr>
                <w:rFonts w:eastAsia="Times New Roman"/>
                <w:sz w:val="20"/>
                <w:szCs w:val="20"/>
              </w:rPr>
              <w:lastRenderedPageBreak/>
              <w:t>v prípade identifikovaného negatívneho vplyvu</w:t>
            </w:r>
          </w:p>
        </w:tc>
        <w:sdt>
          <w:sdtPr>
            <w:rPr>
              <w:sz w:val="20"/>
              <w:szCs w:val="20"/>
            </w:rPr>
            <w:id w:val="64164179"/>
          </w:sdtPr>
          <w:sdtEndPr/>
          <w:sdtContent>
            <w:tc>
              <w:tcPr>
                <w:tcW w:w="541" w:type="dxa"/>
                <w:gridSpan w:val="2"/>
                <w:tcBorders>
                  <w:top w:val="dotted" w:sz="4" w:space="0" w:color="auto"/>
                  <w:left w:val="single" w:sz="4" w:space="0" w:color="auto"/>
                  <w:bottom w:val="dotted" w:sz="4" w:space="0" w:color="auto"/>
                  <w:right w:val="nil"/>
                </w:tcBorders>
                <w:vAlign w:val="center"/>
              </w:tcPr>
              <w:p w14:paraId="114BA68A" w14:textId="77777777" w:rsidR="00E274B7" w:rsidRPr="00B043B4" w:rsidRDefault="00E274B7" w:rsidP="00241373">
                <w:pPr>
                  <w:jc w:val="center"/>
                  <w:rPr>
                    <w:rFonts w:eastAsia="Times New Roman"/>
                    <w:sz w:val="20"/>
                    <w:szCs w:val="20"/>
                  </w:rPr>
                </w:pPr>
                <w:r>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1E40B083" w14:textId="77777777" w:rsidR="00E274B7" w:rsidRPr="00B043B4" w:rsidRDefault="00E274B7" w:rsidP="00241373">
            <w:pPr>
              <w:rPr>
                <w:rFonts w:eastAsia="Times New Roman"/>
                <w:sz w:val="20"/>
                <w:szCs w:val="20"/>
              </w:rPr>
            </w:pPr>
            <w:r w:rsidRPr="00B043B4">
              <w:rPr>
                <w:rFonts w:eastAsia="Times New Roman"/>
                <w:sz w:val="20"/>
                <w:szCs w:val="20"/>
              </w:rPr>
              <w:t>Áno</w:t>
            </w:r>
          </w:p>
        </w:tc>
        <w:sdt>
          <w:sdtPr>
            <w:rPr>
              <w:sz w:val="20"/>
              <w:szCs w:val="20"/>
            </w:rPr>
            <w:id w:val="-638265537"/>
          </w:sdtPr>
          <w:sdtEndPr/>
          <w:sdtContent>
            <w:tc>
              <w:tcPr>
                <w:tcW w:w="538" w:type="dxa"/>
                <w:gridSpan w:val="2"/>
                <w:tcBorders>
                  <w:top w:val="dotted" w:sz="4" w:space="0" w:color="auto"/>
                  <w:left w:val="nil"/>
                  <w:bottom w:val="dotted" w:sz="4" w:space="0" w:color="auto"/>
                  <w:right w:val="nil"/>
                </w:tcBorders>
                <w:vAlign w:val="center"/>
              </w:tcPr>
              <w:p w14:paraId="32C043CB" w14:textId="77777777" w:rsidR="00E274B7" w:rsidRPr="00B043B4" w:rsidRDefault="00E274B7" w:rsidP="00241373">
                <w:pPr>
                  <w:jc w:val="center"/>
                  <w:rPr>
                    <w:rFonts w:eastAsia="Times New Roman"/>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14F5910D" w14:textId="77777777" w:rsidR="00E274B7" w:rsidRPr="00B043B4" w:rsidRDefault="00E274B7" w:rsidP="00241373">
            <w:pPr>
              <w:rPr>
                <w:rFonts w:eastAsia="Times New Roman"/>
                <w:sz w:val="20"/>
                <w:szCs w:val="20"/>
              </w:rPr>
            </w:pPr>
            <w:r w:rsidRPr="00B043B4">
              <w:rPr>
                <w:rFonts w:eastAsia="Times New Roman"/>
                <w:sz w:val="20"/>
                <w:szCs w:val="20"/>
              </w:rPr>
              <w:t>Nie</w:t>
            </w:r>
          </w:p>
        </w:tc>
        <w:sdt>
          <w:sdtPr>
            <w:rPr>
              <w:sz w:val="20"/>
              <w:szCs w:val="20"/>
            </w:rPr>
            <w:id w:val="-302770412"/>
          </w:sdtPr>
          <w:sdtEndPr/>
          <w:sdtContent>
            <w:tc>
              <w:tcPr>
                <w:tcW w:w="547" w:type="dxa"/>
                <w:gridSpan w:val="2"/>
                <w:tcBorders>
                  <w:top w:val="dotted" w:sz="4" w:space="0" w:color="auto"/>
                  <w:left w:val="nil"/>
                  <w:bottom w:val="dotted" w:sz="4" w:space="0" w:color="auto"/>
                  <w:right w:val="nil"/>
                </w:tcBorders>
                <w:vAlign w:val="center"/>
              </w:tcPr>
              <w:p w14:paraId="2BCA4C15" w14:textId="77777777" w:rsidR="00E274B7" w:rsidRPr="00B043B4" w:rsidRDefault="00E274B7" w:rsidP="00241373">
                <w:pPr>
                  <w:ind w:left="-107" w:right="-108"/>
                  <w:jc w:val="center"/>
                  <w:rPr>
                    <w:rFonts w:eastAsia="Times New Roman"/>
                    <w:sz w:val="20"/>
                    <w:szCs w:val="20"/>
                  </w:rPr>
                </w:pPr>
                <w:r>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0AD5897D" w14:textId="77777777" w:rsidR="00E274B7" w:rsidRPr="00B043B4" w:rsidRDefault="00E274B7" w:rsidP="00241373">
            <w:pPr>
              <w:ind w:left="34"/>
              <w:rPr>
                <w:rFonts w:eastAsia="Times New Roman"/>
                <w:sz w:val="20"/>
                <w:szCs w:val="20"/>
              </w:rPr>
            </w:pPr>
            <w:r w:rsidRPr="00B043B4">
              <w:rPr>
                <w:rFonts w:eastAsia="Times New Roman"/>
                <w:sz w:val="20"/>
                <w:szCs w:val="20"/>
              </w:rPr>
              <w:t>Čiastočne</w:t>
            </w:r>
          </w:p>
        </w:tc>
      </w:tr>
      <w:tr w:rsidR="00E274B7" w:rsidRPr="00B043B4" w14:paraId="2ED2CC2C" w14:textId="77777777" w:rsidTr="00241373">
        <w:tc>
          <w:tcPr>
            <w:tcW w:w="3812" w:type="dxa"/>
            <w:tcBorders>
              <w:top w:val="single" w:sz="4" w:space="0" w:color="000000"/>
              <w:left w:val="single" w:sz="4" w:space="0" w:color="auto"/>
              <w:bottom w:val="nil"/>
              <w:right w:val="single" w:sz="4" w:space="0" w:color="auto"/>
            </w:tcBorders>
            <w:shd w:val="clear" w:color="auto" w:fill="E2E2E2"/>
          </w:tcPr>
          <w:p w14:paraId="7FD7F054" w14:textId="77777777" w:rsidR="00E274B7" w:rsidRPr="00BB78FD" w:rsidRDefault="00E274B7" w:rsidP="00241373">
            <w:pPr>
              <w:rPr>
                <w:rFonts w:eastAsia="Times New Roman"/>
                <w:b/>
                <w:sz w:val="20"/>
                <w:szCs w:val="20"/>
              </w:rPr>
            </w:pPr>
            <w:r w:rsidRPr="00BB78FD">
              <w:rPr>
                <w:rFonts w:eastAsia="Times New Roman"/>
                <w:b/>
                <w:sz w:val="20"/>
                <w:szCs w:val="20"/>
              </w:rPr>
              <w:t>Vplyvy na podnikateľské prostredie</w:t>
            </w:r>
          </w:p>
        </w:tc>
        <w:sdt>
          <w:sdtPr>
            <w:rPr>
              <w:b/>
              <w:sz w:val="20"/>
              <w:szCs w:val="20"/>
            </w:rPr>
            <w:id w:val="470941242"/>
          </w:sdtPr>
          <w:sdtEndPr/>
          <w:sdtContent>
            <w:tc>
              <w:tcPr>
                <w:tcW w:w="541" w:type="dxa"/>
                <w:gridSpan w:val="2"/>
                <w:tcBorders>
                  <w:top w:val="single" w:sz="4" w:space="0" w:color="auto"/>
                  <w:left w:val="single" w:sz="4" w:space="0" w:color="auto"/>
                  <w:bottom w:val="dotted" w:sz="4" w:space="0" w:color="auto"/>
                  <w:right w:val="nil"/>
                </w:tcBorders>
                <w:vAlign w:val="center"/>
              </w:tcPr>
              <w:p w14:paraId="1A2BD448"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vAlign w:val="center"/>
          </w:tcPr>
          <w:p w14:paraId="1E7B9B1C" w14:textId="77777777" w:rsidR="00E274B7" w:rsidRPr="00B043B4" w:rsidRDefault="00E274B7" w:rsidP="00241373">
            <w:pPr>
              <w:ind w:right="-108"/>
              <w:rPr>
                <w:rFonts w:eastAsia="Times New Roman"/>
                <w:b/>
                <w:sz w:val="20"/>
                <w:szCs w:val="20"/>
              </w:rPr>
            </w:pPr>
            <w:r w:rsidRPr="00B043B4">
              <w:rPr>
                <w:rFonts w:eastAsia="Times New Roman"/>
                <w:b/>
                <w:sz w:val="20"/>
                <w:szCs w:val="20"/>
              </w:rPr>
              <w:t>Pozitívne</w:t>
            </w:r>
          </w:p>
        </w:tc>
        <w:sdt>
          <w:sdtPr>
            <w:rPr>
              <w:b/>
              <w:sz w:val="20"/>
              <w:szCs w:val="20"/>
            </w:rPr>
            <w:id w:val="2038465019"/>
          </w:sdtPr>
          <w:sdtEndPr/>
          <w:sdtContent>
            <w:tc>
              <w:tcPr>
                <w:tcW w:w="538" w:type="dxa"/>
                <w:gridSpan w:val="2"/>
                <w:tcBorders>
                  <w:top w:val="single" w:sz="4" w:space="0" w:color="auto"/>
                  <w:left w:val="nil"/>
                  <w:bottom w:val="dotted" w:sz="4" w:space="0" w:color="auto"/>
                  <w:right w:val="nil"/>
                </w:tcBorders>
                <w:vAlign w:val="center"/>
              </w:tcPr>
              <w:p w14:paraId="06FA498E"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14:paraId="4AE491E5" w14:textId="77777777" w:rsidR="00E274B7" w:rsidRPr="00B043B4" w:rsidRDefault="00E274B7" w:rsidP="00241373">
            <w:pPr>
              <w:rPr>
                <w:rFonts w:eastAsia="Times New Roman"/>
                <w:b/>
                <w:sz w:val="20"/>
                <w:szCs w:val="20"/>
              </w:rPr>
            </w:pPr>
            <w:r w:rsidRPr="00B043B4">
              <w:rPr>
                <w:rFonts w:eastAsia="Times New Roman"/>
                <w:b/>
                <w:sz w:val="20"/>
                <w:szCs w:val="20"/>
              </w:rPr>
              <w:t>Žiadne</w:t>
            </w:r>
          </w:p>
        </w:tc>
        <w:sdt>
          <w:sdtPr>
            <w:rPr>
              <w:b/>
              <w:sz w:val="20"/>
              <w:szCs w:val="20"/>
            </w:rPr>
            <w:id w:val="-558398718"/>
          </w:sdtPr>
          <w:sdtEndPr/>
          <w:sdtContent>
            <w:tc>
              <w:tcPr>
                <w:tcW w:w="547" w:type="dxa"/>
                <w:gridSpan w:val="2"/>
                <w:tcBorders>
                  <w:top w:val="single" w:sz="4" w:space="0" w:color="auto"/>
                  <w:left w:val="nil"/>
                  <w:bottom w:val="dotted" w:sz="4" w:space="0" w:color="auto"/>
                  <w:right w:val="nil"/>
                </w:tcBorders>
                <w:vAlign w:val="center"/>
              </w:tcPr>
              <w:p w14:paraId="3DBDD8B5"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372F5B6A" w14:textId="77777777" w:rsidR="00E274B7" w:rsidRPr="00B043B4" w:rsidRDefault="00E274B7" w:rsidP="00241373">
            <w:pPr>
              <w:ind w:left="54"/>
              <w:rPr>
                <w:rFonts w:eastAsia="Times New Roman"/>
                <w:b/>
                <w:sz w:val="20"/>
                <w:szCs w:val="20"/>
              </w:rPr>
            </w:pPr>
            <w:r w:rsidRPr="00B043B4">
              <w:rPr>
                <w:rFonts w:eastAsia="Times New Roman"/>
                <w:b/>
                <w:sz w:val="20"/>
                <w:szCs w:val="20"/>
              </w:rPr>
              <w:t>Negatívne</w:t>
            </w:r>
          </w:p>
        </w:tc>
      </w:tr>
      <w:tr w:rsidR="00E274B7" w:rsidRPr="00B043B4" w14:paraId="0579ED2A" w14:textId="77777777" w:rsidTr="00241373">
        <w:tc>
          <w:tcPr>
            <w:tcW w:w="3812" w:type="dxa"/>
            <w:tcBorders>
              <w:top w:val="nil"/>
              <w:left w:val="single" w:sz="4" w:space="0" w:color="000000"/>
              <w:bottom w:val="nil"/>
              <w:right w:val="single" w:sz="4" w:space="0" w:color="000000"/>
            </w:tcBorders>
            <w:shd w:val="clear" w:color="auto" w:fill="E2E2E2"/>
          </w:tcPr>
          <w:p w14:paraId="67EF8594" w14:textId="77777777" w:rsidR="00E274B7" w:rsidRPr="00BB78FD" w:rsidRDefault="00E274B7" w:rsidP="00241373">
            <w:pPr>
              <w:rPr>
                <w:rFonts w:eastAsia="Times New Roman"/>
                <w:sz w:val="20"/>
                <w:szCs w:val="20"/>
              </w:rPr>
            </w:pPr>
            <w:r w:rsidRPr="00BB78FD">
              <w:rPr>
                <w:rFonts w:eastAsia="Times New Roman"/>
                <w:sz w:val="20"/>
                <w:szCs w:val="20"/>
              </w:rPr>
              <w:t xml:space="preserve">    z toho vplyvy na MSP</w:t>
            </w:r>
          </w:p>
          <w:p w14:paraId="6AE4778C" w14:textId="77777777" w:rsidR="00E274B7" w:rsidRPr="00BB78FD" w:rsidRDefault="00E274B7" w:rsidP="00241373">
            <w:pPr>
              <w:rPr>
                <w:rFonts w:eastAsia="Times New Roman"/>
                <w:sz w:val="20"/>
                <w:szCs w:val="20"/>
              </w:rPr>
            </w:pPr>
          </w:p>
        </w:tc>
        <w:sdt>
          <w:sdtPr>
            <w:rPr>
              <w:sz w:val="20"/>
              <w:szCs w:val="20"/>
            </w:rPr>
            <w:id w:val="862408102"/>
          </w:sdtPr>
          <w:sdtEndPr/>
          <w:sdtContent>
            <w:tc>
              <w:tcPr>
                <w:tcW w:w="541" w:type="dxa"/>
                <w:gridSpan w:val="2"/>
                <w:tcBorders>
                  <w:top w:val="dotted" w:sz="4" w:space="0" w:color="auto"/>
                  <w:left w:val="single" w:sz="4" w:space="0" w:color="000000"/>
                  <w:bottom w:val="dotted" w:sz="4" w:space="0" w:color="auto"/>
                  <w:right w:val="nil"/>
                </w:tcBorders>
                <w:vAlign w:val="center"/>
              </w:tcPr>
              <w:p w14:paraId="59CB2E91" w14:textId="77777777" w:rsidR="00E274B7" w:rsidRPr="00B043B4" w:rsidRDefault="00E274B7" w:rsidP="00241373">
                <w:pPr>
                  <w:jc w:val="center"/>
                  <w:rPr>
                    <w:rFonts w:eastAsia="Times New Roman"/>
                    <w:sz w:val="20"/>
                    <w:szCs w:val="20"/>
                  </w:rPr>
                </w:pPr>
                <w:r>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62C6627D" w14:textId="77777777" w:rsidR="00E274B7" w:rsidRPr="00B043B4" w:rsidRDefault="00E274B7" w:rsidP="00241373">
            <w:pPr>
              <w:ind w:right="-108"/>
              <w:rPr>
                <w:rFonts w:eastAsia="Times New Roman"/>
                <w:sz w:val="20"/>
                <w:szCs w:val="20"/>
              </w:rPr>
            </w:pPr>
            <w:r w:rsidRPr="00B043B4">
              <w:rPr>
                <w:rFonts w:eastAsia="Times New Roman"/>
                <w:sz w:val="20"/>
                <w:szCs w:val="20"/>
              </w:rPr>
              <w:t>Pozitívne</w:t>
            </w:r>
          </w:p>
        </w:tc>
        <w:sdt>
          <w:sdtPr>
            <w:rPr>
              <w:sz w:val="20"/>
              <w:szCs w:val="20"/>
            </w:rPr>
            <w:id w:val="994611021"/>
          </w:sdtPr>
          <w:sdtEndPr/>
          <w:sdtContent>
            <w:tc>
              <w:tcPr>
                <w:tcW w:w="538" w:type="dxa"/>
                <w:gridSpan w:val="2"/>
                <w:tcBorders>
                  <w:top w:val="dotted" w:sz="4" w:space="0" w:color="auto"/>
                  <w:left w:val="nil"/>
                  <w:bottom w:val="dotted" w:sz="4" w:space="0" w:color="auto"/>
                  <w:right w:val="nil"/>
                </w:tcBorders>
                <w:vAlign w:val="center"/>
              </w:tcPr>
              <w:p w14:paraId="6FBD523D" w14:textId="77777777" w:rsidR="00E274B7" w:rsidRPr="00B043B4" w:rsidRDefault="00E274B7" w:rsidP="00241373">
                <w:pPr>
                  <w:jc w:val="center"/>
                  <w:rPr>
                    <w:rFonts w:eastAsia="Times New Roman"/>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4D08DF87" w14:textId="77777777" w:rsidR="00E274B7" w:rsidRPr="00B043B4" w:rsidRDefault="00E274B7" w:rsidP="00241373">
            <w:pPr>
              <w:rPr>
                <w:rFonts w:eastAsia="Times New Roman"/>
                <w:sz w:val="20"/>
                <w:szCs w:val="20"/>
              </w:rPr>
            </w:pPr>
            <w:r w:rsidRPr="00B043B4">
              <w:rPr>
                <w:rFonts w:eastAsia="Times New Roman"/>
                <w:sz w:val="20"/>
                <w:szCs w:val="20"/>
              </w:rPr>
              <w:t>Žiadne</w:t>
            </w:r>
          </w:p>
        </w:tc>
        <w:sdt>
          <w:sdtPr>
            <w:rPr>
              <w:sz w:val="20"/>
              <w:szCs w:val="20"/>
            </w:rPr>
            <w:id w:val="-386717170"/>
          </w:sdtPr>
          <w:sdtEndPr/>
          <w:sdtContent>
            <w:tc>
              <w:tcPr>
                <w:tcW w:w="547" w:type="dxa"/>
                <w:gridSpan w:val="2"/>
                <w:tcBorders>
                  <w:top w:val="dotted" w:sz="4" w:space="0" w:color="auto"/>
                  <w:left w:val="nil"/>
                  <w:bottom w:val="dotted" w:sz="4" w:space="0" w:color="auto"/>
                  <w:right w:val="nil"/>
                </w:tcBorders>
                <w:vAlign w:val="center"/>
              </w:tcPr>
              <w:p w14:paraId="68741123" w14:textId="77777777" w:rsidR="00E274B7" w:rsidRPr="00B043B4" w:rsidRDefault="00E274B7" w:rsidP="00241373">
                <w:pPr>
                  <w:jc w:val="center"/>
                  <w:rPr>
                    <w:rFonts w:eastAsia="Times New Roman"/>
                    <w:sz w:val="20"/>
                    <w:szCs w:val="20"/>
                  </w:rPr>
                </w:pPr>
                <w:r>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47C2566A" w14:textId="77777777" w:rsidR="00E274B7" w:rsidRPr="00B043B4" w:rsidRDefault="00E274B7" w:rsidP="00241373">
            <w:pPr>
              <w:ind w:left="54"/>
              <w:rPr>
                <w:rFonts w:eastAsia="Times New Roman"/>
                <w:sz w:val="20"/>
                <w:szCs w:val="20"/>
              </w:rPr>
            </w:pPr>
            <w:r w:rsidRPr="00B043B4">
              <w:rPr>
                <w:rFonts w:eastAsia="Times New Roman"/>
                <w:sz w:val="20"/>
                <w:szCs w:val="20"/>
              </w:rPr>
              <w:t>Negatívne</w:t>
            </w:r>
          </w:p>
        </w:tc>
      </w:tr>
      <w:tr w:rsidR="00E274B7" w:rsidRPr="00B043B4" w14:paraId="6DFC67EC" w14:textId="77777777" w:rsidTr="00241373">
        <w:tc>
          <w:tcPr>
            <w:tcW w:w="3812" w:type="dxa"/>
            <w:tcBorders>
              <w:top w:val="nil"/>
              <w:left w:val="single" w:sz="4" w:space="0" w:color="auto"/>
              <w:bottom w:val="single" w:sz="4" w:space="0" w:color="auto"/>
              <w:right w:val="single" w:sz="4" w:space="0" w:color="auto"/>
            </w:tcBorders>
            <w:shd w:val="clear" w:color="auto" w:fill="E2E2E2"/>
          </w:tcPr>
          <w:p w14:paraId="318C10C4" w14:textId="77777777" w:rsidR="00E274B7" w:rsidRDefault="00E274B7" w:rsidP="00241373">
            <w:pPr>
              <w:rPr>
                <w:rFonts w:eastAsia="Times New Roman"/>
                <w:sz w:val="20"/>
                <w:szCs w:val="20"/>
              </w:rPr>
            </w:pPr>
            <w:r w:rsidRPr="00B043B4">
              <w:rPr>
                <w:rFonts w:eastAsia="Times New Roman"/>
                <w:sz w:val="20"/>
                <w:szCs w:val="20"/>
              </w:rPr>
              <w:t xml:space="preserve">Mechanizmus znižovania byrokracie </w:t>
            </w:r>
          </w:p>
          <w:p w14:paraId="656C04FE" w14:textId="77777777" w:rsidR="00E274B7" w:rsidRPr="00B043B4" w:rsidRDefault="00E274B7" w:rsidP="00241373">
            <w:pPr>
              <w:rPr>
                <w:rFonts w:eastAsia="Times New Roman"/>
                <w:b/>
                <w:sz w:val="20"/>
                <w:szCs w:val="20"/>
              </w:rPr>
            </w:pPr>
            <w:r w:rsidRPr="00B043B4">
              <w:rPr>
                <w:rFonts w:eastAsia="Times New Roman"/>
                <w:sz w:val="20"/>
                <w:szCs w:val="20"/>
              </w:rPr>
              <w:t>a nákladov sa uplatňuje:</w:t>
            </w:r>
          </w:p>
        </w:tc>
        <w:sdt>
          <w:sdtPr>
            <w:rPr>
              <w:b/>
              <w:sz w:val="20"/>
              <w:szCs w:val="20"/>
            </w:rPr>
            <w:id w:val="-817577505"/>
          </w:sdtPr>
          <w:sdtEndPr/>
          <w:sdtContent>
            <w:tc>
              <w:tcPr>
                <w:tcW w:w="541" w:type="dxa"/>
                <w:gridSpan w:val="2"/>
                <w:tcBorders>
                  <w:top w:val="dotted" w:sz="4" w:space="0" w:color="auto"/>
                  <w:left w:val="single" w:sz="4" w:space="0" w:color="auto"/>
                  <w:bottom w:val="single" w:sz="4" w:space="0" w:color="auto"/>
                  <w:right w:val="nil"/>
                </w:tcBorders>
                <w:vAlign w:val="center"/>
              </w:tcPr>
              <w:p w14:paraId="7C0883A6"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596" w:type="dxa"/>
            <w:gridSpan w:val="3"/>
            <w:tcBorders>
              <w:top w:val="dotted" w:sz="4" w:space="0" w:color="auto"/>
              <w:left w:val="nil"/>
              <w:bottom w:val="single" w:sz="4" w:space="0" w:color="auto"/>
              <w:right w:val="nil"/>
            </w:tcBorders>
            <w:vAlign w:val="center"/>
          </w:tcPr>
          <w:p w14:paraId="6DAF6F6A" w14:textId="77777777" w:rsidR="00E274B7" w:rsidRPr="00B043B4" w:rsidRDefault="00E274B7" w:rsidP="00241373">
            <w:pPr>
              <w:ind w:right="-108"/>
              <w:rPr>
                <w:rFonts w:eastAsia="Times New Roman"/>
                <w:b/>
                <w:sz w:val="20"/>
                <w:szCs w:val="20"/>
              </w:rPr>
            </w:pPr>
            <w:r w:rsidRPr="00B043B4">
              <w:rPr>
                <w:rFonts w:eastAsia="Times New Roman"/>
                <w:sz w:val="20"/>
                <w:szCs w:val="20"/>
              </w:rPr>
              <w:t>Áno</w:t>
            </w:r>
          </w:p>
        </w:tc>
        <w:tc>
          <w:tcPr>
            <w:tcW w:w="254" w:type="dxa"/>
            <w:tcBorders>
              <w:top w:val="dotted" w:sz="4" w:space="0" w:color="auto"/>
              <w:left w:val="nil"/>
              <w:bottom w:val="single" w:sz="4" w:space="0" w:color="auto"/>
              <w:right w:val="nil"/>
            </w:tcBorders>
            <w:vAlign w:val="center"/>
          </w:tcPr>
          <w:p w14:paraId="7E5215F0" w14:textId="77777777" w:rsidR="00E274B7" w:rsidRPr="00B043B4" w:rsidRDefault="00E274B7" w:rsidP="00241373">
            <w:pPr>
              <w:jc w:val="center"/>
              <w:rPr>
                <w:rFonts w:eastAsia="Times New Roman"/>
                <w:b/>
                <w:sz w:val="20"/>
                <w:szCs w:val="20"/>
              </w:rPr>
            </w:pPr>
          </w:p>
        </w:tc>
        <w:tc>
          <w:tcPr>
            <w:tcW w:w="1133" w:type="dxa"/>
            <w:tcBorders>
              <w:top w:val="dotted" w:sz="4" w:space="0" w:color="auto"/>
              <w:left w:val="nil"/>
              <w:bottom w:val="single" w:sz="4" w:space="0" w:color="auto"/>
              <w:right w:val="nil"/>
            </w:tcBorders>
            <w:vAlign w:val="center"/>
          </w:tcPr>
          <w:p w14:paraId="2E208FB3" w14:textId="77777777" w:rsidR="00E274B7" w:rsidRPr="00B043B4" w:rsidRDefault="00E274B7" w:rsidP="00241373">
            <w:pPr>
              <w:jc w:val="center"/>
              <w:rPr>
                <w:rFonts w:eastAsia="Times New Roman"/>
                <w:b/>
                <w:sz w:val="20"/>
                <w:szCs w:val="20"/>
              </w:rPr>
            </w:pPr>
          </w:p>
        </w:tc>
        <w:sdt>
          <w:sdtPr>
            <w:rPr>
              <w:b/>
              <w:sz w:val="20"/>
              <w:szCs w:val="20"/>
            </w:rPr>
            <w:id w:val="-365677636"/>
          </w:sdtPr>
          <w:sdtEndPr/>
          <w:sdtContent>
            <w:tc>
              <w:tcPr>
                <w:tcW w:w="547" w:type="dxa"/>
                <w:gridSpan w:val="2"/>
                <w:tcBorders>
                  <w:top w:val="dotted" w:sz="4" w:space="0" w:color="auto"/>
                  <w:left w:val="nil"/>
                  <w:bottom w:val="single" w:sz="4" w:space="0" w:color="auto"/>
                  <w:right w:val="nil"/>
                </w:tcBorders>
                <w:vAlign w:val="center"/>
              </w:tcPr>
              <w:p w14:paraId="32359514"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4CA4EBF1" w14:textId="77777777" w:rsidR="00E274B7" w:rsidRPr="00B043B4" w:rsidRDefault="00E274B7" w:rsidP="00241373">
            <w:pPr>
              <w:ind w:left="54"/>
              <w:rPr>
                <w:rFonts w:eastAsia="Times New Roman"/>
                <w:b/>
                <w:sz w:val="20"/>
                <w:szCs w:val="20"/>
              </w:rPr>
            </w:pPr>
            <w:r w:rsidRPr="00B043B4">
              <w:rPr>
                <w:rFonts w:eastAsia="Times New Roman"/>
                <w:sz w:val="20"/>
                <w:szCs w:val="20"/>
              </w:rPr>
              <w:t>Nie</w:t>
            </w:r>
          </w:p>
        </w:tc>
      </w:tr>
      <w:tr w:rsidR="00E274B7" w:rsidRPr="00B043B4" w14:paraId="6C4F8602" w14:textId="77777777" w:rsidTr="00241373">
        <w:tc>
          <w:tcPr>
            <w:tcW w:w="3812" w:type="dxa"/>
            <w:tcBorders>
              <w:top w:val="single" w:sz="4" w:space="0" w:color="000000"/>
              <w:left w:val="single" w:sz="4" w:space="0" w:color="auto"/>
              <w:bottom w:val="single" w:sz="4" w:space="0" w:color="auto"/>
              <w:right w:val="single" w:sz="4" w:space="0" w:color="auto"/>
            </w:tcBorders>
            <w:shd w:val="clear" w:color="auto" w:fill="E2E2E2"/>
          </w:tcPr>
          <w:p w14:paraId="072BADBE" w14:textId="77777777" w:rsidR="00E274B7" w:rsidRPr="00B043B4" w:rsidRDefault="00E274B7" w:rsidP="00241373">
            <w:pPr>
              <w:rPr>
                <w:rFonts w:eastAsia="Times New Roman"/>
                <w:b/>
                <w:sz w:val="20"/>
                <w:szCs w:val="20"/>
              </w:rPr>
            </w:pPr>
            <w:r w:rsidRPr="00B043B4">
              <w:rPr>
                <w:rFonts w:eastAsia="Times New Roman"/>
                <w:b/>
                <w:sz w:val="20"/>
                <w:szCs w:val="20"/>
              </w:rPr>
              <w:t>Sociálne vplyvy</w:t>
            </w:r>
          </w:p>
        </w:tc>
        <w:sdt>
          <w:sdtPr>
            <w:rPr>
              <w:b/>
              <w:sz w:val="20"/>
              <w:szCs w:val="20"/>
            </w:rPr>
            <w:id w:val="-1958945844"/>
          </w:sdtPr>
          <w:sdtEndPr/>
          <w:sdtContent>
            <w:tc>
              <w:tcPr>
                <w:tcW w:w="541" w:type="dxa"/>
                <w:gridSpan w:val="2"/>
                <w:tcBorders>
                  <w:top w:val="single" w:sz="4" w:space="0" w:color="auto"/>
                  <w:left w:val="single" w:sz="4" w:space="0" w:color="auto"/>
                  <w:bottom w:val="single" w:sz="4" w:space="0" w:color="auto"/>
                  <w:right w:val="nil"/>
                </w:tcBorders>
              </w:tcPr>
              <w:p w14:paraId="31B4FFCE"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07C65B01" w14:textId="77777777" w:rsidR="00E274B7" w:rsidRPr="00B043B4" w:rsidRDefault="00E274B7" w:rsidP="00241373">
            <w:pPr>
              <w:ind w:right="-108"/>
              <w:rPr>
                <w:rFonts w:eastAsia="Times New Roman"/>
                <w:b/>
                <w:sz w:val="20"/>
                <w:szCs w:val="20"/>
              </w:rPr>
            </w:pPr>
            <w:r w:rsidRPr="00B043B4">
              <w:rPr>
                <w:rFonts w:eastAsia="Times New Roman"/>
                <w:b/>
                <w:sz w:val="20"/>
                <w:szCs w:val="20"/>
              </w:rPr>
              <w:t>Pozitívne</w:t>
            </w:r>
          </w:p>
        </w:tc>
        <w:sdt>
          <w:sdtPr>
            <w:rPr>
              <w:b/>
              <w:sz w:val="20"/>
              <w:szCs w:val="20"/>
            </w:rPr>
            <w:id w:val="-1872293991"/>
          </w:sdtPr>
          <w:sdtEndPr/>
          <w:sdtContent>
            <w:tc>
              <w:tcPr>
                <w:tcW w:w="538" w:type="dxa"/>
                <w:gridSpan w:val="2"/>
                <w:tcBorders>
                  <w:top w:val="single" w:sz="4" w:space="0" w:color="auto"/>
                  <w:left w:val="nil"/>
                  <w:bottom w:val="single" w:sz="4" w:space="0" w:color="auto"/>
                  <w:right w:val="nil"/>
                </w:tcBorders>
              </w:tcPr>
              <w:p w14:paraId="5F9DEEAF"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48DA87B1" w14:textId="77777777" w:rsidR="00E274B7" w:rsidRPr="00B043B4" w:rsidRDefault="00E274B7" w:rsidP="00241373">
            <w:pPr>
              <w:rPr>
                <w:rFonts w:eastAsia="Times New Roman"/>
                <w:b/>
                <w:sz w:val="20"/>
                <w:szCs w:val="20"/>
              </w:rPr>
            </w:pPr>
            <w:r w:rsidRPr="00B043B4">
              <w:rPr>
                <w:rFonts w:eastAsia="Times New Roman"/>
                <w:b/>
                <w:sz w:val="20"/>
                <w:szCs w:val="20"/>
              </w:rPr>
              <w:t>Žiadne</w:t>
            </w:r>
          </w:p>
        </w:tc>
        <w:sdt>
          <w:sdtPr>
            <w:rPr>
              <w:b/>
              <w:sz w:val="20"/>
              <w:szCs w:val="20"/>
            </w:rPr>
            <w:id w:val="-1692835279"/>
          </w:sdtPr>
          <w:sdtEndPr/>
          <w:sdtContent>
            <w:tc>
              <w:tcPr>
                <w:tcW w:w="547" w:type="dxa"/>
                <w:gridSpan w:val="2"/>
                <w:tcBorders>
                  <w:top w:val="single" w:sz="4" w:space="0" w:color="auto"/>
                  <w:left w:val="nil"/>
                  <w:bottom w:val="single" w:sz="4" w:space="0" w:color="auto"/>
                  <w:right w:val="nil"/>
                </w:tcBorders>
              </w:tcPr>
              <w:p w14:paraId="02945C29"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10A02F9E" w14:textId="77777777" w:rsidR="00E274B7" w:rsidRPr="00B043B4" w:rsidRDefault="00E274B7" w:rsidP="00241373">
            <w:pPr>
              <w:ind w:left="54"/>
              <w:rPr>
                <w:rFonts w:eastAsia="Times New Roman"/>
                <w:b/>
                <w:sz w:val="20"/>
                <w:szCs w:val="20"/>
              </w:rPr>
            </w:pPr>
            <w:r w:rsidRPr="00B043B4">
              <w:rPr>
                <w:rFonts w:eastAsia="Times New Roman"/>
                <w:b/>
                <w:sz w:val="20"/>
                <w:szCs w:val="20"/>
              </w:rPr>
              <w:t>Negatívne</w:t>
            </w:r>
          </w:p>
        </w:tc>
      </w:tr>
      <w:tr w:rsidR="00E274B7" w:rsidRPr="00B043B4" w14:paraId="0559FEED" w14:textId="77777777" w:rsidTr="00241373">
        <w:tc>
          <w:tcPr>
            <w:tcW w:w="3812" w:type="dxa"/>
            <w:tcBorders>
              <w:top w:val="single" w:sz="4" w:space="0" w:color="auto"/>
              <w:left w:val="single" w:sz="4" w:space="0" w:color="auto"/>
              <w:bottom w:val="single" w:sz="4" w:space="0" w:color="auto"/>
              <w:right w:val="single" w:sz="4" w:space="0" w:color="auto"/>
            </w:tcBorders>
            <w:shd w:val="clear" w:color="auto" w:fill="E2E2E2"/>
          </w:tcPr>
          <w:p w14:paraId="41D4E1C1" w14:textId="77777777" w:rsidR="00E274B7" w:rsidRPr="00B043B4" w:rsidRDefault="00E274B7" w:rsidP="00241373">
            <w:pPr>
              <w:rPr>
                <w:rFonts w:eastAsia="Times New Roman"/>
                <w:b/>
                <w:sz w:val="20"/>
                <w:szCs w:val="20"/>
              </w:rPr>
            </w:pPr>
            <w:r w:rsidRPr="00B043B4">
              <w:rPr>
                <w:rFonts w:eastAsia="Times New Roman"/>
                <w:b/>
                <w:sz w:val="20"/>
                <w:szCs w:val="20"/>
              </w:rPr>
              <w:t>Vplyvy na životné prostredie</w:t>
            </w:r>
          </w:p>
        </w:tc>
        <w:sdt>
          <w:sdtPr>
            <w:rPr>
              <w:b/>
              <w:sz w:val="20"/>
              <w:szCs w:val="20"/>
            </w:rPr>
            <w:id w:val="1474483314"/>
          </w:sdtPr>
          <w:sdtEndPr/>
          <w:sdtContent>
            <w:tc>
              <w:tcPr>
                <w:tcW w:w="541" w:type="dxa"/>
                <w:gridSpan w:val="2"/>
                <w:tcBorders>
                  <w:top w:val="single" w:sz="4" w:space="0" w:color="auto"/>
                  <w:left w:val="single" w:sz="4" w:space="0" w:color="auto"/>
                  <w:bottom w:val="single" w:sz="4" w:space="0" w:color="auto"/>
                  <w:right w:val="nil"/>
                </w:tcBorders>
              </w:tcPr>
              <w:p w14:paraId="1EE579AA"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64792C59" w14:textId="77777777" w:rsidR="00E274B7" w:rsidRPr="00B043B4" w:rsidRDefault="00E274B7" w:rsidP="00241373">
            <w:pPr>
              <w:ind w:right="-108"/>
              <w:rPr>
                <w:rFonts w:eastAsia="Times New Roman"/>
                <w:b/>
                <w:sz w:val="20"/>
                <w:szCs w:val="20"/>
              </w:rPr>
            </w:pPr>
            <w:r w:rsidRPr="00B043B4">
              <w:rPr>
                <w:rFonts w:eastAsia="Times New Roman"/>
                <w:b/>
                <w:sz w:val="20"/>
                <w:szCs w:val="20"/>
              </w:rPr>
              <w:t>Pozitívne</w:t>
            </w:r>
          </w:p>
        </w:tc>
        <w:sdt>
          <w:sdtPr>
            <w:rPr>
              <w:b/>
              <w:sz w:val="20"/>
              <w:szCs w:val="20"/>
            </w:rPr>
            <w:id w:val="-2060162118"/>
          </w:sdtPr>
          <w:sdtEndPr/>
          <w:sdtContent>
            <w:tc>
              <w:tcPr>
                <w:tcW w:w="538" w:type="dxa"/>
                <w:gridSpan w:val="2"/>
                <w:tcBorders>
                  <w:top w:val="single" w:sz="4" w:space="0" w:color="auto"/>
                  <w:left w:val="nil"/>
                  <w:bottom w:val="single" w:sz="4" w:space="0" w:color="auto"/>
                  <w:right w:val="nil"/>
                </w:tcBorders>
              </w:tcPr>
              <w:p w14:paraId="17A73803"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051C913A" w14:textId="77777777" w:rsidR="00E274B7" w:rsidRPr="00B043B4" w:rsidRDefault="00E274B7" w:rsidP="00241373">
            <w:pPr>
              <w:rPr>
                <w:rFonts w:eastAsia="Times New Roman"/>
                <w:b/>
                <w:sz w:val="20"/>
                <w:szCs w:val="20"/>
              </w:rPr>
            </w:pPr>
            <w:r w:rsidRPr="00B043B4">
              <w:rPr>
                <w:rFonts w:eastAsia="Times New Roman"/>
                <w:b/>
                <w:sz w:val="20"/>
                <w:szCs w:val="20"/>
              </w:rPr>
              <w:t>Žiadne</w:t>
            </w:r>
          </w:p>
        </w:tc>
        <w:sdt>
          <w:sdtPr>
            <w:rPr>
              <w:b/>
              <w:sz w:val="20"/>
              <w:szCs w:val="20"/>
            </w:rPr>
            <w:id w:val="285088255"/>
          </w:sdtPr>
          <w:sdtEndPr/>
          <w:sdtContent>
            <w:tc>
              <w:tcPr>
                <w:tcW w:w="547" w:type="dxa"/>
                <w:gridSpan w:val="2"/>
                <w:tcBorders>
                  <w:top w:val="single" w:sz="4" w:space="0" w:color="auto"/>
                  <w:left w:val="nil"/>
                  <w:bottom w:val="single" w:sz="4" w:space="0" w:color="auto"/>
                  <w:right w:val="nil"/>
                </w:tcBorders>
              </w:tcPr>
              <w:p w14:paraId="33FC1226"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6850F87F" w14:textId="77777777" w:rsidR="00E274B7" w:rsidRPr="00B043B4" w:rsidRDefault="00E274B7" w:rsidP="00241373">
            <w:pPr>
              <w:ind w:left="54"/>
              <w:rPr>
                <w:rFonts w:eastAsia="Times New Roman"/>
                <w:b/>
                <w:sz w:val="20"/>
                <w:szCs w:val="20"/>
              </w:rPr>
            </w:pPr>
            <w:r w:rsidRPr="00B043B4">
              <w:rPr>
                <w:rFonts w:eastAsia="Times New Roman"/>
                <w:b/>
                <w:sz w:val="20"/>
                <w:szCs w:val="20"/>
              </w:rPr>
              <w:t>Negatívne</w:t>
            </w:r>
          </w:p>
        </w:tc>
      </w:tr>
      <w:tr w:rsidR="00E274B7" w:rsidRPr="00B043B4" w14:paraId="2C6C092E" w14:textId="77777777" w:rsidTr="00241373">
        <w:tc>
          <w:tcPr>
            <w:tcW w:w="3812" w:type="dxa"/>
            <w:tcBorders>
              <w:top w:val="single" w:sz="4" w:space="0" w:color="auto"/>
              <w:left w:val="single" w:sz="4" w:space="0" w:color="auto"/>
              <w:bottom w:val="single" w:sz="4" w:space="0" w:color="auto"/>
              <w:right w:val="single" w:sz="4" w:space="0" w:color="auto"/>
            </w:tcBorders>
            <w:shd w:val="clear" w:color="auto" w:fill="E2E2E2"/>
          </w:tcPr>
          <w:p w14:paraId="689574F4" w14:textId="77777777" w:rsidR="00E274B7" w:rsidRPr="00B043B4" w:rsidRDefault="00E274B7" w:rsidP="00241373">
            <w:pPr>
              <w:rPr>
                <w:rFonts w:eastAsia="Times New Roman"/>
                <w:b/>
                <w:sz w:val="20"/>
                <w:szCs w:val="20"/>
              </w:rPr>
            </w:pPr>
            <w:r w:rsidRPr="00B043B4">
              <w:rPr>
                <w:rFonts w:eastAsia="Times New Roman"/>
                <w:b/>
                <w:sz w:val="20"/>
                <w:szCs w:val="20"/>
              </w:rPr>
              <w:t>Vplyvy na informatizáciu</w:t>
            </w:r>
            <w:r>
              <w:rPr>
                <w:rFonts w:eastAsia="Times New Roman"/>
                <w:b/>
                <w:sz w:val="20"/>
                <w:szCs w:val="20"/>
              </w:rPr>
              <w:t xml:space="preserve"> spoločnosti</w:t>
            </w:r>
          </w:p>
        </w:tc>
        <w:sdt>
          <w:sdtPr>
            <w:rPr>
              <w:b/>
              <w:sz w:val="20"/>
              <w:szCs w:val="20"/>
            </w:rPr>
            <w:id w:val="-1573421395"/>
          </w:sdtPr>
          <w:sdtEndPr/>
          <w:sdtContent>
            <w:tc>
              <w:tcPr>
                <w:tcW w:w="541" w:type="dxa"/>
                <w:gridSpan w:val="2"/>
                <w:tcBorders>
                  <w:top w:val="single" w:sz="4" w:space="0" w:color="auto"/>
                  <w:left w:val="single" w:sz="4" w:space="0" w:color="auto"/>
                  <w:bottom w:val="single" w:sz="4" w:space="0" w:color="auto"/>
                  <w:right w:val="nil"/>
                </w:tcBorders>
              </w:tcPr>
              <w:p w14:paraId="48B4B0F2"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56F51ADD" w14:textId="77777777" w:rsidR="00E274B7" w:rsidRPr="00B043B4" w:rsidRDefault="00E274B7" w:rsidP="00241373">
            <w:pPr>
              <w:ind w:right="-108"/>
              <w:rPr>
                <w:rFonts w:eastAsia="Times New Roman"/>
                <w:b/>
                <w:sz w:val="20"/>
                <w:szCs w:val="20"/>
              </w:rPr>
            </w:pPr>
            <w:r w:rsidRPr="00B043B4">
              <w:rPr>
                <w:rFonts w:eastAsia="Times New Roman"/>
                <w:b/>
                <w:sz w:val="20"/>
                <w:szCs w:val="20"/>
              </w:rPr>
              <w:t>Pozitívne</w:t>
            </w:r>
          </w:p>
        </w:tc>
        <w:sdt>
          <w:sdtPr>
            <w:rPr>
              <w:b/>
              <w:sz w:val="20"/>
              <w:szCs w:val="20"/>
            </w:rPr>
            <w:id w:val="169603435"/>
          </w:sdtPr>
          <w:sdtEndPr/>
          <w:sdtContent>
            <w:tc>
              <w:tcPr>
                <w:tcW w:w="538" w:type="dxa"/>
                <w:gridSpan w:val="2"/>
                <w:tcBorders>
                  <w:top w:val="single" w:sz="4" w:space="0" w:color="auto"/>
                  <w:left w:val="nil"/>
                  <w:bottom w:val="single" w:sz="4" w:space="0" w:color="auto"/>
                  <w:right w:val="nil"/>
                </w:tcBorders>
              </w:tcPr>
              <w:p w14:paraId="14148028"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71853946" w14:textId="77777777" w:rsidR="00E274B7" w:rsidRPr="00B043B4" w:rsidRDefault="00E274B7" w:rsidP="00241373">
            <w:pPr>
              <w:rPr>
                <w:rFonts w:eastAsia="Times New Roman"/>
                <w:b/>
                <w:sz w:val="20"/>
                <w:szCs w:val="20"/>
              </w:rPr>
            </w:pPr>
            <w:r w:rsidRPr="00B043B4">
              <w:rPr>
                <w:rFonts w:eastAsia="Times New Roman"/>
                <w:b/>
                <w:sz w:val="20"/>
                <w:szCs w:val="20"/>
              </w:rPr>
              <w:t>Žiadne</w:t>
            </w:r>
          </w:p>
        </w:tc>
        <w:sdt>
          <w:sdtPr>
            <w:rPr>
              <w:b/>
              <w:sz w:val="20"/>
              <w:szCs w:val="20"/>
            </w:rPr>
            <w:id w:val="169528927"/>
          </w:sdtPr>
          <w:sdtEndPr/>
          <w:sdtContent>
            <w:tc>
              <w:tcPr>
                <w:tcW w:w="547" w:type="dxa"/>
                <w:gridSpan w:val="2"/>
                <w:tcBorders>
                  <w:top w:val="single" w:sz="4" w:space="0" w:color="auto"/>
                  <w:left w:val="nil"/>
                  <w:bottom w:val="single" w:sz="4" w:space="0" w:color="auto"/>
                  <w:right w:val="nil"/>
                </w:tcBorders>
              </w:tcPr>
              <w:p w14:paraId="1EF31BDB"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6F8069E9" w14:textId="77777777" w:rsidR="00E274B7" w:rsidRPr="00B043B4" w:rsidRDefault="00E274B7" w:rsidP="00241373">
            <w:pPr>
              <w:ind w:left="54"/>
              <w:rPr>
                <w:rFonts w:eastAsia="Times New Roman"/>
                <w:b/>
                <w:sz w:val="20"/>
                <w:szCs w:val="20"/>
              </w:rPr>
            </w:pPr>
            <w:r w:rsidRPr="00B043B4">
              <w:rPr>
                <w:rFonts w:eastAsia="Times New Roman"/>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E274B7" w:rsidRPr="00B043B4" w14:paraId="72A449BC" w14:textId="77777777" w:rsidTr="00241373">
        <w:tc>
          <w:tcPr>
            <w:tcW w:w="3812" w:type="dxa"/>
            <w:tcBorders>
              <w:top w:val="single" w:sz="4" w:space="0" w:color="auto"/>
              <w:left w:val="single" w:sz="4" w:space="0" w:color="auto"/>
              <w:bottom w:val="nil"/>
              <w:right w:val="single" w:sz="4" w:space="0" w:color="auto"/>
            </w:tcBorders>
            <w:shd w:val="clear" w:color="auto" w:fill="E2E2E2"/>
          </w:tcPr>
          <w:p w14:paraId="47A8F52A" w14:textId="77777777" w:rsidR="00E274B7" w:rsidRPr="00B043B4" w:rsidRDefault="00E274B7" w:rsidP="00241373">
            <w:pPr>
              <w:rPr>
                <w:b/>
                <w:sz w:val="20"/>
                <w:szCs w:val="20"/>
              </w:rPr>
            </w:pPr>
            <w:r w:rsidRPr="00B043B4">
              <w:rPr>
                <w:rFonts w:eastAsia="Calibri"/>
                <w:b/>
                <w:sz w:val="20"/>
                <w:szCs w:val="20"/>
              </w:rPr>
              <w:t>Vplyvy na služby verejnej správy pre občana, z</w:t>
            </w:r>
            <w:r>
              <w:rPr>
                <w:rFonts w:eastAsia="Calibri"/>
                <w:b/>
                <w:sz w:val="20"/>
                <w:szCs w:val="20"/>
              </w:rPr>
              <w:t> </w:t>
            </w:r>
            <w:r w:rsidRPr="00B043B4">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14:paraId="37D222BA" w14:textId="77777777" w:rsidR="00E274B7" w:rsidRPr="00B043B4" w:rsidRDefault="00E274B7" w:rsidP="00241373">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14:paraId="138B0494" w14:textId="77777777" w:rsidR="00E274B7" w:rsidRPr="00B043B4" w:rsidRDefault="00E274B7" w:rsidP="00241373">
            <w:pPr>
              <w:ind w:right="-108"/>
              <w:rPr>
                <w:b/>
                <w:sz w:val="20"/>
                <w:szCs w:val="20"/>
              </w:rPr>
            </w:pPr>
          </w:p>
        </w:tc>
        <w:tc>
          <w:tcPr>
            <w:tcW w:w="569" w:type="dxa"/>
            <w:gridSpan w:val="2"/>
            <w:tcBorders>
              <w:top w:val="single" w:sz="4" w:space="0" w:color="auto"/>
              <w:left w:val="nil"/>
              <w:bottom w:val="nil"/>
              <w:right w:val="nil"/>
            </w:tcBorders>
            <w:shd w:val="clear" w:color="auto" w:fill="auto"/>
          </w:tcPr>
          <w:p w14:paraId="573B4E6C" w14:textId="77777777" w:rsidR="00E274B7" w:rsidRPr="00B043B4" w:rsidRDefault="00E274B7" w:rsidP="00241373">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14:paraId="193C68F7" w14:textId="77777777" w:rsidR="00E274B7" w:rsidRPr="00B043B4" w:rsidRDefault="00E274B7" w:rsidP="00241373">
            <w:pPr>
              <w:rPr>
                <w:b/>
                <w:sz w:val="20"/>
                <w:szCs w:val="20"/>
              </w:rPr>
            </w:pPr>
          </w:p>
        </w:tc>
        <w:tc>
          <w:tcPr>
            <w:tcW w:w="547" w:type="dxa"/>
            <w:tcBorders>
              <w:top w:val="single" w:sz="4" w:space="0" w:color="auto"/>
              <w:left w:val="nil"/>
              <w:bottom w:val="nil"/>
              <w:right w:val="nil"/>
            </w:tcBorders>
            <w:shd w:val="clear" w:color="auto" w:fill="auto"/>
          </w:tcPr>
          <w:p w14:paraId="3D939C81" w14:textId="77777777" w:rsidR="00E274B7" w:rsidRPr="00B043B4" w:rsidRDefault="00E274B7" w:rsidP="00241373">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14:paraId="62E7D35C" w14:textId="77777777" w:rsidR="00E274B7" w:rsidRPr="00B043B4" w:rsidRDefault="00E274B7" w:rsidP="00241373">
            <w:pPr>
              <w:ind w:left="54"/>
              <w:rPr>
                <w:b/>
                <w:sz w:val="20"/>
                <w:szCs w:val="20"/>
              </w:rPr>
            </w:pPr>
          </w:p>
        </w:tc>
      </w:tr>
      <w:tr w:rsidR="00E274B7" w:rsidRPr="00B043B4" w14:paraId="64DB7847" w14:textId="77777777" w:rsidTr="00241373">
        <w:tc>
          <w:tcPr>
            <w:tcW w:w="3812" w:type="dxa"/>
            <w:tcBorders>
              <w:top w:val="nil"/>
              <w:left w:val="single" w:sz="4" w:space="0" w:color="auto"/>
              <w:bottom w:val="nil"/>
              <w:right w:val="single" w:sz="4" w:space="0" w:color="auto"/>
            </w:tcBorders>
            <w:shd w:val="clear" w:color="auto" w:fill="E2E2E2"/>
          </w:tcPr>
          <w:p w14:paraId="23AD9EEB" w14:textId="77777777" w:rsidR="00E274B7" w:rsidRPr="00B043B4" w:rsidRDefault="00E274B7" w:rsidP="00241373">
            <w:pPr>
              <w:ind w:left="196" w:hanging="196"/>
              <w:rPr>
                <w:rFonts w:eastAsia="Calibri"/>
                <w:b/>
                <w:sz w:val="20"/>
                <w:szCs w:val="20"/>
              </w:rPr>
            </w:pPr>
            <w:r w:rsidRPr="00B043B4">
              <w:rPr>
                <w:rFonts w:eastAsia="Calibri"/>
                <w:b/>
                <w:sz w:val="20"/>
                <w:szCs w:val="20"/>
              </w:rPr>
              <w:t xml:space="preserve">    vplyvy služieb verejnej správy na občana</w:t>
            </w:r>
          </w:p>
        </w:tc>
        <w:sdt>
          <w:sdtPr>
            <w:rPr>
              <w:b/>
              <w:sz w:val="20"/>
              <w:szCs w:val="20"/>
            </w:rPr>
            <w:id w:val="2031215792"/>
          </w:sdtPr>
          <w:sdtEndPr/>
          <w:sdtContent>
            <w:tc>
              <w:tcPr>
                <w:tcW w:w="541" w:type="dxa"/>
                <w:tcBorders>
                  <w:top w:val="nil"/>
                  <w:left w:val="single" w:sz="4" w:space="0" w:color="auto"/>
                  <w:bottom w:val="dotted" w:sz="4" w:space="0" w:color="auto"/>
                  <w:right w:val="nil"/>
                </w:tcBorders>
                <w:shd w:val="clear" w:color="auto" w:fill="auto"/>
              </w:tcPr>
              <w:p w14:paraId="56B66D52" w14:textId="77777777" w:rsidR="00E274B7" w:rsidRPr="00B043B4" w:rsidRDefault="00E274B7" w:rsidP="00241373">
                <w:pPr>
                  <w:jc w:val="center"/>
                  <w:rPr>
                    <w:b/>
                    <w:sz w:val="20"/>
                    <w:szCs w:val="20"/>
                  </w:rPr>
                </w:pPr>
                <w:r>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14:paraId="2F8CB55D" w14:textId="77777777" w:rsidR="00E274B7" w:rsidRPr="00B043B4" w:rsidRDefault="00E274B7" w:rsidP="00241373">
            <w:pPr>
              <w:ind w:right="-108"/>
              <w:rPr>
                <w:b/>
                <w:sz w:val="20"/>
                <w:szCs w:val="20"/>
              </w:rPr>
            </w:pPr>
            <w:r w:rsidRPr="00B043B4">
              <w:rPr>
                <w:b/>
                <w:sz w:val="20"/>
                <w:szCs w:val="20"/>
              </w:rPr>
              <w:t>Pozitívne</w:t>
            </w:r>
          </w:p>
        </w:tc>
        <w:sdt>
          <w:sdtPr>
            <w:rPr>
              <w:b/>
              <w:sz w:val="20"/>
              <w:szCs w:val="20"/>
            </w:rPr>
            <w:id w:val="-1752193863"/>
          </w:sdtPr>
          <w:sdtEndPr/>
          <w:sdtContent>
            <w:tc>
              <w:tcPr>
                <w:tcW w:w="538" w:type="dxa"/>
                <w:tcBorders>
                  <w:top w:val="nil"/>
                  <w:left w:val="nil"/>
                  <w:bottom w:val="dotted" w:sz="4" w:space="0" w:color="auto"/>
                  <w:right w:val="nil"/>
                </w:tcBorders>
                <w:shd w:val="clear" w:color="auto" w:fill="auto"/>
              </w:tcPr>
              <w:p w14:paraId="44166AB4" w14:textId="77777777" w:rsidR="00E274B7" w:rsidRPr="00B043B4" w:rsidRDefault="00E274B7" w:rsidP="00241373">
                <w:pPr>
                  <w:jc w:val="center"/>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14:paraId="2B0864E4" w14:textId="77777777" w:rsidR="00E274B7" w:rsidRPr="00B043B4" w:rsidRDefault="00E274B7" w:rsidP="00241373">
            <w:pPr>
              <w:rPr>
                <w:b/>
                <w:sz w:val="20"/>
                <w:szCs w:val="20"/>
              </w:rPr>
            </w:pPr>
            <w:r w:rsidRPr="00B043B4">
              <w:rPr>
                <w:b/>
                <w:sz w:val="20"/>
                <w:szCs w:val="20"/>
              </w:rPr>
              <w:t>Žiadne</w:t>
            </w:r>
          </w:p>
        </w:tc>
        <w:sdt>
          <w:sdtPr>
            <w:rPr>
              <w:b/>
              <w:sz w:val="20"/>
              <w:szCs w:val="20"/>
            </w:rPr>
            <w:id w:val="-1282867047"/>
          </w:sdtPr>
          <w:sdtEndPr/>
          <w:sdtContent>
            <w:tc>
              <w:tcPr>
                <w:tcW w:w="547" w:type="dxa"/>
                <w:tcBorders>
                  <w:top w:val="nil"/>
                  <w:left w:val="nil"/>
                  <w:bottom w:val="dotted" w:sz="4" w:space="0" w:color="auto"/>
                  <w:right w:val="nil"/>
                </w:tcBorders>
                <w:shd w:val="clear" w:color="auto" w:fill="auto"/>
              </w:tcPr>
              <w:p w14:paraId="7C134F13" w14:textId="77777777" w:rsidR="00E274B7" w:rsidRPr="00B043B4" w:rsidRDefault="00E274B7" w:rsidP="00241373">
                <w:pPr>
                  <w:jc w:val="center"/>
                  <w:rPr>
                    <w:b/>
                    <w:sz w:val="20"/>
                    <w:szCs w:val="20"/>
                  </w:rPr>
                </w:pPr>
                <w:r>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0BCD7A5A" w14:textId="77777777" w:rsidR="00E274B7" w:rsidRPr="00B043B4" w:rsidRDefault="00E274B7" w:rsidP="00241373">
            <w:pPr>
              <w:ind w:left="54"/>
              <w:rPr>
                <w:b/>
                <w:sz w:val="20"/>
                <w:szCs w:val="20"/>
              </w:rPr>
            </w:pPr>
            <w:r w:rsidRPr="00B043B4">
              <w:rPr>
                <w:b/>
                <w:sz w:val="20"/>
                <w:szCs w:val="20"/>
              </w:rPr>
              <w:t>Negatívne</w:t>
            </w:r>
          </w:p>
        </w:tc>
      </w:tr>
      <w:tr w:rsidR="00E274B7" w:rsidRPr="00B043B4" w14:paraId="1A9E94FD" w14:textId="77777777" w:rsidTr="00241373">
        <w:tc>
          <w:tcPr>
            <w:tcW w:w="3812" w:type="dxa"/>
            <w:tcBorders>
              <w:top w:val="nil"/>
              <w:left w:val="single" w:sz="4" w:space="0" w:color="auto"/>
              <w:bottom w:val="nil"/>
              <w:right w:val="single" w:sz="4" w:space="0" w:color="auto"/>
            </w:tcBorders>
            <w:shd w:val="clear" w:color="auto" w:fill="E2E2E2"/>
          </w:tcPr>
          <w:p w14:paraId="52A234BA" w14:textId="77777777" w:rsidR="00E274B7" w:rsidRPr="00B043B4" w:rsidRDefault="00E274B7" w:rsidP="00241373">
            <w:pPr>
              <w:ind w:left="168" w:hanging="168"/>
              <w:rPr>
                <w:rFonts w:eastAsia="Calibri"/>
                <w:b/>
                <w:sz w:val="20"/>
                <w:szCs w:val="20"/>
              </w:rPr>
            </w:pPr>
            <w:r w:rsidRPr="00B043B4">
              <w:rPr>
                <w:rFonts w:eastAsia="Calibri"/>
                <w:b/>
                <w:sz w:val="20"/>
                <w:szCs w:val="20"/>
              </w:rPr>
              <w:t xml:space="preserve">    vplyvy na procesy služieb vo verejnej správe</w:t>
            </w:r>
          </w:p>
        </w:tc>
        <w:sdt>
          <w:sdtPr>
            <w:rPr>
              <w:b/>
              <w:sz w:val="20"/>
              <w:szCs w:val="20"/>
            </w:rPr>
            <w:id w:val="1017204256"/>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33CDA3DB" w14:textId="77777777" w:rsidR="00E274B7" w:rsidRPr="00B043B4" w:rsidRDefault="00E274B7" w:rsidP="00241373">
                <w:pPr>
                  <w:jc w:val="center"/>
                  <w:rPr>
                    <w:b/>
                    <w:sz w:val="20"/>
                    <w:szCs w:val="20"/>
                  </w:rPr>
                </w:pPr>
                <w:r>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7313CBB1" w14:textId="77777777" w:rsidR="00E274B7" w:rsidRPr="00B043B4" w:rsidRDefault="00E274B7" w:rsidP="00241373">
            <w:pPr>
              <w:ind w:right="-108"/>
              <w:rPr>
                <w:b/>
                <w:sz w:val="20"/>
                <w:szCs w:val="20"/>
              </w:rPr>
            </w:pPr>
            <w:r w:rsidRPr="00B043B4">
              <w:rPr>
                <w:b/>
                <w:sz w:val="20"/>
                <w:szCs w:val="20"/>
              </w:rPr>
              <w:t>Pozitívne</w:t>
            </w:r>
          </w:p>
        </w:tc>
        <w:sdt>
          <w:sdtPr>
            <w:rPr>
              <w:b/>
              <w:sz w:val="20"/>
              <w:szCs w:val="20"/>
            </w:rPr>
            <w:id w:val="1993677602"/>
          </w:sdtPr>
          <w:sdtEndPr/>
          <w:sdtContent>
            <w:tc>
              <w:tcPr>
                <w:tcW w:w="538" w:type="dxa"/>
                <w:tcBorders>
                  <w:top w:val="dotted" w:sz="4" w:space="0" w:color="auto"/>
                  <w:left w:val="nil"/>
                  <w:bottom w:val="dotted" w:sz="4" w:space="0" w:color="auto"/>
                  <w:right w:val="nil"/>
                </w:tcBorders>
                <w:shd w:val="clear" w:color="auto" w:fill="auto"/>
                <w:vAlign w:val="center"/>
              </w:tcPr>
              <w:p w14:paraId="597A3BE9" w14:textId="77777777" w:rsidR="00E274B7" w:rsidRPr="00B043B4" w:rsidRDefault="00E274B7" w:rsidP="00241373">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14:paraId="4159482A" w14:textId="77777777" w:rsidR="00E274B7" w:rsidRPr="00B043B4" w:rsidRDefault="00E274B7" w:rsidP="00241373">
            <w:pPr>
              <w:rPr>
                <w:b/>
                <w:sz w:val="20"/>
                <w:szCs w:val="20"/>
              </w:rPr>
            </w:pPr>
            <w:r w:rsidRPr="00B043B4">
              <w:rPr>
                <w:b/>
                <w:sz w:val="20"/>
                <w:szCs w:val="20"/>
              </w:rPr>
              <w:t>Žiadne</w:t>
            </w:r>
          </w:p>
        </w:tc>
        <w:sdt>
          <w:sdtPr>
            <w:rPr>
              <w:b/>
              <w:sz w:val="20"/>
              <w:szCs w:val="20"/>
            </w:rPr>
            <w:id w:val="578477896"/>
          </w:sdtPr>
          <w:sdtEndPr/>
          <w:sdtContent>
            <w:tc>
              <w:tcPr>
                <w:tcW w:w="547" w:type="dxa"/>
                <w:tcBorders>
                  <w:top w:val="dotted" w:sz="4" w:space="0" w:color="auto"/>
                  <w:left w:val="nil"/>
                  <w:bottom w:val="dotted" w:sz="4" w:space="0" w:color="auto"/>
                  <w:right w:val="nil"/>
                </w:tcBorders>
                <w:shd w:val="clear" w:color="auto" w:fill="auto"/>
                <w:vAlign w:val="center"/>
              </w:tcPr>
              <w:p w14:paraId="19324A07" w14:textId="77777777" w:rsidR="00E274B7" w:rsidRPr="00B043B4" w:rsidRDefault="00E274B7" w:rsidP="00241373">
                <w:pPr>
                  <w:jc w:val="center"/>
                  <w:rPr>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394EAF0F" w14:textId="77777777" w:rsidR="00E274B7" w:rsidRPr="00B043B4" w:rsidRDefault="00E274B7" w:rsidP="00241373">
            <w:pPr>
              <w:ind w:left="54"/>
              <w:rPr>
                <w:b/>
                <w:sz w:val="20"/>
                <w:szCs w:val="20"/>
              </w:rPr>
            </w:pPr>
            <w:r w:rsidRPr="00B043B4">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E274B7" w:rsidRPr="00B043B4" w14:paraId="50182394" w14:textId="77777777" w:rsidTr="00241373">
        <w:tc>
          <w:tcPr>
            <w:tcW w:w="3812" w:type="dxa"/>
            <w:tcBorders>
              <w:top w:val="single" w:sz="4" w:space="0" w:color="000000"/>
              <w:left w:val="single" w:sz="4" w:space="0" w:color="auto"/>
              <w:bottom w:val="single" w:sz="4" w:space="0" w:color="auto"/>
              <w:right w:val="single" w:sz="4" w:space="0" w:color="auto"/>
            </w:tcBorders>
            <w:shd w:val="clear" w:color="auto" w:fill="E2E2E2"/>
          </w:tcPr>
          <w:p w14:paraId="50C66CC6" w14:textId="77777777" w:rsidR="00E274B7" w:rsidRPr="00B043B4" w:rsidRDefault="00E274B7" w:rsidP="00241373">
            <w:pPr>
              <w:rPr>
                <w:rFonts w:eastAsia="Times New Roman"/>
                <w:b/>
                <w:sz w:val="20"/>
                <w:szCs w:val="20"/>
              </w:rPr>
            </w:pPr>
            <w:r w:rsidRPr="00F87681">
              <w:rPr>
                <w:rFonts w:eastAsia="Times New Roman"/>
                <w:b/>
                <w:sz w:val="20"/>
                <w:szCs w:val="20"/>
              </w:rPr>
              <w:t>Vplyvy na manželstvo</w:t>
            </w:r>
            <w:r>
              <w:rPr>
                <w:rFonts w:eastAsia="Times New Roman"/>
                <w:b/>
                <w:sz w:val="20"/>
                <w:szCs w:val="20"/>
              </w:rPr>
              <w:t>,</w:t>
            </w:r>
            <w:r w:rsidRPr="00F87681">
              <w:rPr>
                <w:rFonts w:eastAsia="Times New Roman"/>
                <w:b/>
                <w:sz w:val="20"/>
                <w:szCs w:val="20"/>
              </w:rPr>
              <w:t xml:space="preserve"> rodičovstvo a</w:t>
            </w:r>
            <w:r>
              <w:rPr>
                <w:rFonts w:eastAsia="Times New Roman"/>
                <w:b/>
                <w:sz w:val="20"/>
                <w:szCs w:val="20"/>
              </w:rPr>
              <w:t> </w:t>
            </w:r>
            <w:r w:rsidRPr="00F87681">
              <w:rPr>
                <w:rFonts w:eastAsia="Times New Roman"/>
                <w:b/>
                <w:sz w:val="20"/>
                <w:szCs w:val="20"/>
              </w:rPr>
              <w:t>rodinu</w:t>
            </w:r>
          </w:p>
        </w:tc>
        <w:sdt>
          <w:sdtPr>
            <w:rPr>
              <w:b/>
              <w:sz w:val="20"/>
              <w:szCs w:val="20"/>
            </w:rPr>
            <w:id w:val="1977256156"/>
          </w:sdtPr>
          <w:sdtEndPr/>
          <w:sdtContent>
            <w:tc>
              <w:tcPr>
                <w:tcW w:w="541" w:type="dxa"/>
                <w:tcBorders>
                  <w:top w:val="single" w:sz="4" w:space="0" w:color="auto"/>
                  <w:left w:val="single" w:sz="4" w:space="0" w:color="auto"/>
                  <w:bottom w:val="single" w:sz="4" w:space="0" w:color="auto"/>
                  <w:right w:val="nil"/>
                </w:tcBorders>
                <w:vAlign w:val="center"/>
              </w:tcPr>
              <w:p w14:paraId="6747D0FA"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14:paraId="4928F9FC" w14:textId="77777777" w:rsidR="00E274B7" w:rsidRPr="00B043B4" w:rsidRDefault="00E274B7" w:rsidP="00241373">
            <w:pPr>
              <w:ind w:right="-108"/>
              <w:rPr>
                <w:rFonts w:eastAsia="Times New Roman"/>
                <w:b/>
                <w:sz w:val="20"/>
                <w:szCs w:val="20"/>
              </w:rPr>
            </w:pPr>
            <w:r w:rsidRPr="00B043B4">
              <w:rPr>
                <w:rFonts w:eastAsia="Times New Roman"/>
                <w:b/>
                <w:sz w:val="20"/>
                <w:szCs w:val="20"/>
              </w:rPr>
              <w:t>Pozitívne</w:t>
            </w:r>
          </w:p>
        </w:tc>
        <w:sdt>
          <w:sdtPr>
            <w:rPr>
              <w:b/>
              <w:sz w:val="20"/>
              <w:szCs w:val="20"/>
            </w:rPr>
            <w:id w:val="-1025549405"/>
          </w:sdtPr>
          <w:sdtEndPr/>
          <w:sdtContent>
            <w:tc>
              <w:tcPr>
                <w:tcW w:w="538" w:type="dxa"/>
                <w:tcBorders>
                  <w:top w:val="single" w:sz="4" w:space="0" w:color="auto"/>
                  <w:left w:val="nil"/>
                  <w:bottom w:val="single" w:sz="4" w:space="0" w:color="auto"/>
                  <w:right w:val="nil"/>
                </w:tcBorders>
                <w:vAlign w:val="center"/>
              </w:tcPr>
              <w:p w14:paraId="440B195B"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78D8859B" w14:textId="77777777" w:rsidR="00E274B7" w:rsidRPr="00B043B4" w:rsidRDefault="00E274B7" w:rsidP="00241373">
            <w:pPr>
              <w:rPr>
                <w:rFonts w:eastAsia="Times New Roman"/>
                <w:b/>
                <w:sz w:val="20"/>
                <w:szCs w:val="20"/>
              </w:rPr>
            </w:pPr>
            <w:r w:rsidRPr="00B043B4">
              <w:rPr>
                <w:rFonts w:eastAsia="Times New Roman"/>
                <w:b/>
                <w:sz w:val="20"/>
                <w:szCs w:val="20"/>
              </w:rPr>
              <w:t>Žiadne</w:t>
            </w:r>
          </w:p>
        </w:tc>
        <w:sdt>
          <w:sdtPr>
            <w:rPr>
              <w:b/>
              <w:sz w:val="20"/>
              <w:szCs w:val="20"/>
            </w:rPr>
            <w:id w:val="-710956538"/>
          </w:sdtPr>
          <w:sdtEndPr/>
          <w:sdtContent>
            <w:tc>
              <w:tcPr>
                <w:tcW w:w="547" w:type="dxa"/>
                <w:tcBorders>
                  <w:top w:val="single" w:sz="4" w:space="0" w:color="auto"/>
                  <w:left w:val="nil"/>
                  <w:bottom w:val="single" w:sz="4" w:space="0" w:color="auto"/>
                  <w:right w:val="nil"/>
                </w:tcBorders>
                <w:vAlign w:val="center"/>
              </w:tcPr>
              <w:p w14:paraId="258A8B70" w14:textId="77777777" w:rsidR="00E274B7" w:rsidRPr="00B043B4" w:rsidRDefault="00E274B7" w:rsidP="00241373">
                <w:pPr>
                  <w:jc w:val="center"/>
                  <w:rPr>
                    <w:rFonts w:eastAsia="Times New Roman"/>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4F14128A" w14:textId="77777777" w:rsidR="00E274B7" w:rsidRPr="00B043B4" w:rsidRDefault="00E274B7" w:rsidP="00241373">
            <w:pPr>
              <w:ind w:left="54"/>
              <w:rPr>
                <w:rFonts w:eastAsia="Times New Roman"/>
                <w:b/>
                <w:sz w:val="20"/>
                <w:szCs w:val="20"/>
              </w:rPr>
            </w:pPr>
            <w:r w:rsidRPr="00B043B4">
              <w:rPr>
                <w:rFonts w:eastAsia="Times New Roman"/>
                <w:b/>
                <w:sz w:val="20"/>
                <w:szCs w:val="20"/>
              </w:rPr>
              <w:t>Negatívne</w:t>
            </w:r>
          </w:p>
        </w:tc>
      </w:tr>
    </w:tbl>
    <w:p w14:paraId="4919D0BD" w14:textId="77777777" w:rsidR="00E274B7" w:rsidRPr="00B043B4" w:rsidRDefault="00E274B7" w:rsidP="00E274B7">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E274B7" w:rsidRPr="00B043B4" w14:paraId="37F8BD1D" w14:textId="77777777" w:rsidTr="00241373">
        <w:tc>
          <w:tcPr>
            <w:tcW w:w="9176" w:type="dxa"/>
            <w:tcBorders>
              <w:top w:val="single" w:sz="4" w:space="0" w:color="auto"/>
              <w:left w:val="single" w:sz="4" w:space="0" w:color="auto"/>
              <w:bottom w:val="nil"/>
              <w:right w:val="single" w:sz="4" w:space="0" w:color="auto"/>
            </w:tcBorders>
            <w:shd w:val="clear" w:color="auto" w:fill="E2E2E2"/>
          </w:tcPr>
          <w:p w14:paraId="7E69B2AE" w14:textId="77777777" w:rsidR="00E274B7" w:rsidRPr="00B043B4" w:rsidRDefault="00E274B7" w:rsidP="00241373">
            <w:pPr>
              <w:widowControl/>
              <w:numPr>
                <w:ilvl w:val="0"/>
                <w:numId w:val="1"/>
              </w:numPr>
              <w:adjustRightInd/>
              <w:ind w:left="426"/>
              <w:contextualSpacing/>
              <w:rPr>
                <w:rFonts w:eastAsia="Calibri"/>
                <w:b/>
              </w:rPr>
            </w:pPr>
            <w:r w:rsidRPr="00B043B4">
              <w:rPr>
                <w:rFonts w:eastAsia="Calibri"/>
                <w:b/>
              </w:rPr>
              <w:t>Poznámky</w:t>
            </w:r>
          </w:p>
        </w:tc>
      </w:tr>
      <w:tr w:rsidR="00E274B7" w:rsidRPr="00B043B4" w14:paraId="1AC169E6" w14:textId="77777777" w:rsidTr="00241373">
        <w:trPr>
          <w:trHeight w:val="713"/>
        </w:trPr>
        <w:tc>
          <w:tcPr>
            <w:tcW w:w="9176" w:type="dxa"/>
            <w:tcBorders>
              <w:top w:val="nil"/>
              <w:left w:val="single" w:sz="4" w:space="0" w:color="auto"/>
              <w:bottom w:val="single" w:sz="4" w:space="0" w:color="FFFFFF"/>
              <w:right w:val="single" w:sz="4" w:space="0" w:color="auto"/>
            </w:tcBorders>
            <w:shd w:val="clear" w:color="auto" w:fill="auto"/>
          </w:tcPr>
          <w:p w14:paraId="5C7BDDC5" w14:textId="77777777" w:rsidR="00E274B7" w:rsidRDefault="00E274B7" w:rsidP="00241373">
            <w:pPr>
              <w:jc w:val="both"/>
              <w:rPr>
                <w:rFonts w:eastAsia="Times New Roman"/>
                <w:i/>
                <w:sz w:val="20"/>
                <w:szCs w:val="20"/>
              </w:rPr>
            </w:pPr>
            <w:r w:rsidRPr="00B043B4">
              <w:rPr>
                <w:rFonts w:eastAsia="Times New Roman"/>
                <w:i/>
                <w:sz w:val="20"/>
                <w:szCs w:val="20"/>
              </w:rPr>
              <w:t xml:space="preserve">V prípade potreby uveďte doplňujúce informácie k identifikovaným vplyvom a ich analýzam. </w:t>
            </w:r>
          </w:p>
          <w:p w14:paraId="16F7BF69" w14:textId="77777777" w:rsidR="00E274B7" w:rsidRDefault="00E274B7" w:rsidP="00241373">
            <w:pPr>
              <w:jc w:val="both"/>
              <w:rPr>
                <w:rFonts w:eastAsia="Times New Roman"/>
                <w:i/>
                <w:sz w:val="20"/>
                <w:szCs w:val="20"/>
              </w:rPr>
            </w:pPr>
          </w:p>
          <w:p w14:paraId="3976E7C0" w14:textId="77777777" w:rsidR="00E274B7" w:rsidRDefault="00E274B7" w:rsidP="00241373">
            <w:pPr>
              <w:jc w:val="both"/>
              <w:rPr>
                <w:rFonts w:eastAsia="Times New Roman"/>
                <w:i/>
                <w:sz w:val="20"/>
                <w:szCs w:val="20"/>
              </w:rPr>
            </w:pPr>
            <w:r>
              <w:rPr>
                <w:rFonts w:eastAsia="Times New Roman"/>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21A58AF7" w14:textId="77777777" w:rsidR="00E274B7" w:rsidRDefault="00E274B7" w:rsidP="00241373">
            <w:pPr>
              <w:jc w:val="both"/>
              <w:rPr>
                <w:rFonts w:eastAsia="Times New Roman"/>
                <w:i/>
                <w:sz w:val="20"/>
                <w:szCs w:val="20"/>
              </w:rPr>
            </w:pPr>
          </w:p>
          <w:p w14:paraId="66D0F3E1" w14:textId="77777777" w:rsidR="00E274B7" w:rsidRPr="00B043B4" w:rsidRDefault="00E274B7" w:rsidP="00241373">
            <w:pPr>
              <w:jc w:val="both"/>
              <w:rPr>
                <w:rFonts w:eastAsia="Times New Roman"/>
                <w:i/>
                <w:sz w:val="20"/>
                <w:szCs w:val="20"/>
              </w:rPr>
            </w:pPr>
            <w:r>
              <w:rPr>
                <w:rFonts w:eastAsia="Times New Roman"/>
                <w:i/>
                <w:sz w:val="20"/>
                <w:szCs w:val="20"/>
              </w:rPr>
              <w:t>Informácie v tejto časti slúžia na zhrnutie vplyvov alebo aj na vyjadrenie sa k marginálnym vplyvom a nie ako náhrada za vypracovanie príslušných analýz vybraných vplyvov.</w:t>
            </w:r>
          </w:p>
          <w:p w14:paraId="7928E9E2" w14:textId="77777777" w:rsidR="00E274B7" w:rsidRDefault="00E274B7" w:rsidP="00241373">
            <w:pPr>
              <w:rPr>
                <w:rFonts w:eastAsia="Calibri"/>
                <w:b/>
              </w:rPr>
            </w:pPr>
          </w:p>
          <w:p w14:paraId="31A17990" w14:textId="77777777" w:rsidR="00E274B7" w:rsidRPr="00BA7BEF" w:rsidRDefault="00E274B7" w:rsidP="00241373">
            <w:pPr>
              <w:jc w:val="both"/>
              <w:rPr>
                <w:rFonts w:eastAsia="Calibri"/>
              </w:rPr>
            </w:pPr>
            <w:r>
              <w:rPr>
                <w:rFonts w:eastAsia="Calibri"/>
              </w:rPr>
              <w:t>Prípadné vplyvy vyplývajúce z predloženého materiálu budú zabezpečené v rámci schválených limitov výdavkov kapitoly úradu na príslušné roky bez dodatočných požiadaviek na rozpočet verejnej správy.</w:t>
            </w:r>
          </w:p>
        </w:tc>
      </w:tr>
      <w:tr w:rsidR="00E274B7" w:rsidRPr="00B043B4" w14:paraId="1FB96BA8" w14:textId="77777777" w:rsidTr="00241373">
        <w:tc>
          <w:tcPr>
            <w:tcW w:w="9176" w:type="dxa"/>
            <w:tcBorders>
              <w:top w:val="single" w:sz="4" w:space="0" w:color="auto"/>
              <w:left w:val="single" w:sz="4" w:space="0" w:color="auto"/>
              <w:bottom w:val="single" w:sz="4" w:space="0" w:color="FFFFFF"/>
              <w:right w:val="single" w:sz="4" w:space="0" w:color="auto"/>
            </w:tcBorders>
            <w:shd w:val="clear" w:color="auto" w:fill="E2E2E2"/>
          </w:tcPr>
          <w:p w14:paraId="09085534" w14:textId="77777777" w:rsidR="00E274B7" w:rsidRPr="00B043B4" w:rsidRDefault="00E274B7" w:rsidP="00241373">
            <w:pPr>
              <w:widowControl/>
              <w:numPr>
                <w:ilvl w:val="0"/>
                <w:numId w:val="1"/>
              </w:numPr>
              <w:adjustRightInd/>
              <w:ind w:left="426"/>
              <w:contextualSpacing/>
              <w:rPr>
                <w:rFonts w:eastAsia="Calibri"/>
                <w:b/>
              </w:rPr>
            </w:pPr>
            <w:r w:rsidRPr="00B043B4">
              <w:rPr>
                <w:rFonts w:eastAsia="Calibri"/>
                <w:b/>
              </w:rPr>
              <w:t>Kontakt na spracovateľa</w:t>
            </w:r>
          </w:p>
        </w:tc>
      </w:tr>
      <w:tr w:rsidR="00E274B7" w:rsidRPr="00B043B4" w14:paraId="6F6923AF" w14:textId="77777777" w:rsidTr="00241373">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2763D59D" w14:textId="77777777" w:rsidR="00E274B7" w:rsidRDefault="00E274B7" w:rsidP="00241373">
            <w:pPr>
              <w:rPr>
                <w:rFonts w:eastAsia="Times New Roman"/>
                <w:sz w:val="20"/>
                <w:szCs w:val="20"/>
              </w:rPr>
            </w:pPr>
            <w:r>
              <w:rPr>
                <w:rFonts w:eastAsia="Times New Roman"/>
                <w:sz w:val="20"/>
                <w:szCs w:val="20"/>
              </w:rPr>
              <w:t>Mgr. Jana Mikušová</w:t>
            </w:r>
          </w:p>
          <w:p w14:paraId="3C06A9BF" w14:textId="77777777" w:rsidR="00E274B7" w:rsidRDefault="00E274B7" w:rsidP="00241373">
            <w:pPr>
              <w:rPr>
                <w:rFonts w:eastAsia="Times New Roman"/>
                <w:sz w:val="20"/>
                <w:szCs w:val="20"/>
              </w:rPr>
            </w:pPr>
            <w:r>
              <w:rPr>
                <w:rFonts w:eastAsia="Times New Roman"/>
                <w:sz w:val="20"/>
                <w:szCs w:val="20"/>
              </w:rPr>
              <w:t>vedúca oddelenia podpory pre technickú normalizáciu</w:t>
            </w:r>
          </w:p>
          <w:p w14:paraId="66AAE9B0" w14:textId="77777777" w:rsidR="00E274B7" w:rsidRDefault="00E274B7" w:rsidP="00241373">
            <w:pPr>
              <w:rPr>
                <w:rFonts w:eastAsia="Times New Roman"/>
                <w:sz w:val="20"/>
                <w:szCs w:val="20"/>
              </w:rPr>
            </w:pPr>
            <w:r>
              <w:rPr>
                <w:rFonts w:eastAsia="Times New Roman"/>
                <w:sz w:val="20"/>
                <w:szCs w:val="20"/>
              </w:rPr>
              <w:t>Tel. č.: 02/20 907 340</w:t>
            </w:r>
          </w:p>
          <w:p w14:paraId="45D3F4F5" w14:textId="77777777" w:rsidR="00E274B7" w:rsidRPr="008F4007" w:rsidRDefault="00E274B7" w:rsidP="00241373">
            <w:pPr>
              <w:rPr>
                <w:rFonts w:eastAsia="Times New Roman"/>
                <w:sz w:val="20"/>
                <w:szCs w:val="20"/>
              </w:rPr>
            </w:pPr>
            <w:r>
              <w:rPr>
                <w:rFonts w:eastAsia="Times New Roman"/>
                <w:sz w:val="20"/>
                <w:szCs w:val="20"/>
              </w:rPr>
              <w:t>e-mail: jana.mikusova@normoff.gov.sk</w:t>
            </w:r>
          </w:p>
        </w:tc>
      </w:tr>
      <w:tr w:rsidR="00E274B7" w:rsidRPr="00B043B4" w14:paraId="7B9DC994" w14:textId="77777777" w:rsidTr="00241373">
        <w:tc>
          <w:tcPr>
            <w:tcW w:w="9176" w:type="dxa"/>
            <w:tcBorders>
              <w:top w:val="single" w:sz="4" w:space="0" w:color="auto"/>
              <w:left w:val="single" w:sz="4" w:space="0" w:color="auto"/>
              <w:bottom w:val="single" w:sz="4" w:space="0" w:color="FFFFFF"/>
              <w:right w:val="single" w:sz="4" w:space="0" w:color="auto"/>
            </w:tcBorders>
            <w:shd w:val="clear" w:color="auto" w:fill="E2E2E2"/>
          </w:tcPr>
          <w:p w14:paraId="2F8AD1C2" w14:textId="77777777" w:rsidR="00E274B7" w:rsidRPr="00B043B4" w:rsidRDefault="00E274B7" w:rsidP="00241373">
            <w:pPr>
              <w:widowControl/>
              <w:numPr>
                <w:ilvl w:val="0"/>
                <w:numId w:val="1"/>
              </w:numPr>
              <w:adjustRightInd/>
              <w:ind w:left="426"/>
              <w:contextualSpacing/>
              <w:rPr>
                <w:rFonts w:eastAsia="Calibri"/>
                <w:b/>
              </w:rPr>
            </w:pPr>
            <w:r w:rsidRPr="00B043B4">
              <w:rPr>
                <w:rFonts w:eastAsia="Calibri"/>
                <w:b/>
              </w:rPr>
              <w:t>Zdroje</w:t>
            </w:r>
          </w:p>
        </w:tc>
      </w:tr>
      <w:tr w:rsidR="00E274B7" w:rsidRPr="00B043B4" w14:paraId="09548536" w14:textId="77777777" w:rsidTr="00241373">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F4B2541" w14:textId="77777777" w:rsidR="00E274B7" w:rsidRPr="00B043B4" w:rsidRDefault="00E274B7" w:rsidP="00241373">
            <w:pPr>
              <w:jc w:val="both"/>
              <w:rPr>
                <w:rFonts w:eastAsia="Times New Roman"/>
                <w:i/>
                <w:sz w:val="20"/>
                <w:szCs w:val="20"/>
              </w:rPr>
            </w:pPr>
            <w:r w:rsidRPr="00BB78FD">
              <w:rPr>
                <w:rFonts w:eastAsia="Times New Roman"/>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p>
          <w:p w14:paraId="30E11D6F" w14:textId="77777777" w:rsidR="00E274B7" w:rsidRPr="00B043B4" w:rsidRDefault="00E274B7" w:rsidP="00241373">
            <w:pPr>
              <w:rPr>
                <w:rFonts w:eastAsia="Times New Roman"/>
                <w:i/>
                <w:sz w:val="20"/>
                <w:szCs w:val="20"/>
              </w:rPr>
            </w:pPr>
          </w:p>
          <w:p w14:paraId="4732F7AD" w14:textId="77777777" w:rsidR="00E274B7" w:rsidRPr="00B043B4" w:rsidRDefault="00E274B7" w:rsidP="00241373">
            <w:pPr>
              <w:rPr>
                <w:rFonts w:eastAsia="Times New Roman"/>
                <w:b/>
                <w:sz w:val="20"/>
                <w:szCs w:val="20"/>
              </w:rPr>
            </w:pPr>
          </w:p>
        </w:tc>
      </w:tr>
      <w:tr w:rsidR="00E274B7" w:rsidRPr="00B043B4" w14:paraId="4937FD91" w14:textId="77777777" w:rsidTr="00241373">
        <w:tc>
          <w:tcPr>
            <w:tcW w:w="9176" w:type="dxa"/>
            <w:tcBorders>
              <w:top w:val="single" w:sz="4" w:space="0" w:color="auto"/>
              <w:left w:val="single" w:sz="4" w:space="0" w:color="auto"/>
              <w:bottom w:val="single" w:sz="4" w:space="0" w:color="FFFFFF"/>
              <w:right w:val="single" w:sz="4" w:space="0" w:color="auto"/>
            </w:tcBorders>
            <w:shd w:val="clear" w:color="auto" w:fill="E2E2E2"/>
          </w:tcPr>
          <w:p w14:paraId="0A872889" w14:textId="77777777" w:rsidR="00E274B7" w:rsidRPr="00B043B4" w:rsidRDefault="00E274B7" w:rsidP="00241373">
            <w:pPr>
              <w:widowControl/>
              <w:numPr>
                <w:ilvl w:val="0"/>
                <w:numId w:val="1"/>
              </w:numPr>
              <w:adjustRightInd/>
              <w:ind w:left="447" w:hanging="425"/>
              <w:contextualSpacing/>
              <w:rPr>
                <w:rFonts w:eastAsia="Calibri"/>
                <w:b/>
              </w:rPr>
            </w:pPr>
            <w:r w:rsidRPr="00B043B4">
              <w:rPr>
                <w:rFonts w:eastAsia="Calibri"/>
                <w:b/>
              </w:rPr>
              <w:t>Stanovisko Komisie na posudzovanie vybraných vplyvov z PPK č. ..........</w:t>
            </w:r>
          </w:p>
          <w:p w14:paraId="7E2AC0EB" w14:textId="77777777" w:rsidR="00E274B7" w:rsidRPr="00B043B4" w:rsidRDefault="00E274B7" w:rsidP="00241373">
            <w:pPr>
              <w:ind w:left="502"/>
              <w:rPr>
                <w:rFonts w:eastAsia="Times New Roman"/>
                <w:b/>
                <w:sz w:val="20"/>
                <w:szCs w:val="20"/>
              </w:rPr>
            </w:pPr>
            <w:r w:rsidRPr="00B043B4">
              <w:rPr>
                <w:rFonts w:eastAsia="Calibri"/>
              </w:rPr>
              <w:t>(v prípade, ak sa uskutočnilo v zmysle bodu 8.1 Jednotnej metodiky)</w:t>
            </w:r>
          </w:p>
        </w:tc>
      </w:tr>
      <w:tr w:rsidR="00E274B7" w:rsidRPr="00B043B4" w14:paraId="5F9C1F10" w14:textId="77777777" w:rsidTr="00241373">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40789CF" w14:textId="77777777" w:rsidR="00E274B7" w:rsidRPr="00B043B4" w:rsidRDefault="00E274B7" w:rsidP="00241373">
            <w:pPr>
              <w:rPr>
                <w:rFonts w:eastAsia="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274B7" w:rsidRPr="00B043B4" w14:paraId="7F7BDBFA" w14:textId="77777777" w:rsidTr="00241373">
              <w:trPr>
                <w:trHeight w:val="396"/>
              </w:trPr>
              <w:tc>
                <w:tcPr>
                  <w:tcW w:w="2552" w:type="dxa"/>
                </w:tcPr>
                <w:p w14:paraId="303E6D6B" w14:textId="77777777" w:rsidR="00E274B7" w:rsidRPr="00B043B4" w:rsidRDefault="003D76AF" w:rsidP="00241373">
                  <w:pPr>
                    <w:rPr>
                      <w:rFonts w:eastAsia="Times New Roman"/>
                      <w:b/>
                      <w:sz w:val="20"/>
                      <w:szCs w:val="20"/>
                    </w:rPr>
                  </w:pPr>
                  <w:sdt>
                    <w:sdtPr>
                      <w:rPr>
                        <w:b/>
                        <w:sz w:val="20"/>
                        <w:szCs w:val="20"/>
                      </w:rPr>
                      <w:id w:val="-1874910888"/>
                    </w:sdtPr>
                    <w:sdtEndPr/>
                    <w:sdtContent>
                      <w:r w:rsidR="00E274B7">
                        <w:rPr>
                          <w:rFonts w:ascii="MS Gothic" w:eastAsia="MS Gothic" w:hAnsi="MS Gothic" w:hint="eastAsia"/>
                          <w:b/>
                          <w:sz w:val="20"/>
                          <w:szCs w:val="20"/>
                        </w:rPr>
                        <w:t>☐</w:t>
                      </w:r>
                    </w:sdtContent>
                  </w:sdt>
                  <w:r w:rsidR="00E274B7" w:rsidRPr="00B043B4">
                    <w:rPr>
                      <w:rFonts w:eastAsia="Times New Roman"/>
                      <w:b/>
                      <w:sz w:val="20"/>
                      <w:szCs w:val="20"/>
                    </w:rPr>
                    <w:t xml:space="preserve">Súhlasné </w:t>
                  </w:r>
                </w:p>
              </w:tc>
              <w:tc>
                <w:tcPr>
                  <w:tcW w:w="3827" w:type="dxa"/>
                </w:tcPr>
                <w:p w14:paraId="65F86395" w14:textId="77777777" w:rsidR="00E274B7" w:rsidRPr="00B043B4" w:rsidRDefault="003D76AF" w:rsidP="00241373">
                  <w:pPr>
                    <w:rPr>
                      <w:rFonts w:eastAsia="Times New Roman"/>
                      <w:b/>
                      <w:sz w:val="20"/>
                      <w:szCs w:val="20"/>
                    </w:rPr>
                  </w:pPr>
                  <w:sdt>
                    <w:sdtPr>
                      <w:rPr>
                        <w:b/>
                        <w:sz w:val="20"/>
                        <w:szCs w:val="20"/>
                      </w:rPr>
                      <w:id w:val="1697888127"/>
                    </w:sdtPr>
                    <w:sdtEndPr/>
                    <w:sdtContent>
                      <w:r w:rsidR="00E274B7">
                        <w:rPr>
                          <w:rFonts w:ascii="MS Gothic" w:eastAsia="MS Gothic" w:hAnsi="MS Gothic" w:hint="eastAsia"/>
                          <w:b/>
                          <w:sz w:val="20"/>
                          <w:szCs w:val="20"/>
                        </w:rPr>
                        <w:t>☐</w:t>
                      </w:r>
                    </w:sdtContent>
                  </w:sdt>
                  <w:r w:rsidR="00E274B7" w:rsidRPr="00B043B4">
                    <w:rPr>
                      <w:rFonts w:eastAsia="Times New Roman"/>
                      <w:b/>
                      <w:sz w:val="20"/>
                      <w:szCs w:val="20"/>
                    </w:rPr>
                    <w:t>Súhlasné s návrhom na dopracovanie</w:t>
                  </w:r>
                </w:p>
              </w:tc>
              <w:tc>
                <w:tcPr>
                  <w:tcW w:w="2534" w:type="dxa"/>
                </w:tcPr>
                <w:p w14:paraId="05113070" w14:textId="77777777" w:rsidR="00E274B7" w:rsidRPr="00B043B4" w:rsidRDefault="003D76AF" w:rsidP="00241373">
                  <w:pPr>
                    <w:ind w:right="459"/>
                    <w:rPr>
                      <w:rFonts w:eastAsia="Times New Roman"/>
                      <w:b/>
                      <w:sz w:val="20"/>
                      <w:szCs w:val="20"/>
                    </w:rPr>
                  </w:pPr>
                  <w:sdt>
                    <w:sdtPr>
                      <w:rPr>
                        <w:b/>
                        <w:sz w:val="20"/>
                        <w:szCs w:val="20"/>
                      </w:rPr>
                      <w:id w:val="-647822913"/>
                    </w:sdtPr>
                    <w:sdtEndPr/>
                    <w:sdtContent>
                      <w:r w:rsidR="00E274B7">
                        <w:rPr>
                          <w:rFonts w:ascii="MS Gothic" w:eastAsia="MS Gothic" w:hAnsi="MS Gothic" w:hint="eastAsia"/>
                          <w:b/>
                          <w:sz w:val="20"/>
                          <w:szCs w:val="20"/>
                        </w:rPr>
                        <w:t>☐</w:t>
                      </w:r>
                    </w:sdtContent>
                  </w:sdt>
                  <w:r w:rsidR="00E274B7" w:rsidRPr="00B043B4">
                    <w:rPr>
                      <w:rFonts w:eastAsia="Times New Roman"/>
                      <w:b/>
                      <w:sz w:val="20"/>
                      <w:szCs w:val="20"/>
                    </w:rPr>
                    <w:t>Nesúhlasné</w:t>
                  </w:r>
                </w:p>
              </w:tc>
            </w:tr>
          </w:tbl>
          <w:p w14:paraId="4DB2F4DD" w14:textId="77777777" w:rsidR="00E274B7" w:rsidRPr="00B043B4" w:rsidRDefault="00E274B7" w:rsidP="00241373">
            <w:pPr>
              <w:jc w:val="both"/>
              <w:rPr>
                <w:rFonts w:eastAsia="Times New Roman"/>
                <w:b/>
                <w:sz w:val="20"/>
                <w:szCs w:val="20"/>
              </w:rPr>
            </w:pPr>
            <w:r w:rsidRPr="00B043B4">
              <w:rPr>
                <w:rFonts w:eastAsia="Times New Roman"/>
                <w:b/>
                <w:sz w:val="20"/>
                <w:szCs w:val="20"/>
              </w:rPr>
              <w:t>Uveďte pripomienky zo stanoviska Komisie z časti II. spolu s Vaším vyhodnotením:</w:t>
            </w:r>
          </w:p>
          <w:p w14:paraId="6568A39D" w14:textId="77777777" w:rsidR="00E274B7" w:rsidRDefault="00E274B7" w:rsidP="00241373">
            <w:pPr>
              <w:rPr>
                <w:rFonts w:eastAsia="Times New Roman"/>
                <w:b/>
                <w:sz w:val="20"/>
                <w:szCs w:val="20"/>
              </w:rPr>
            </w:pPr>
          </w:p>
          <w:p w14:paraId="7A59BC5C" w14:textId="77777777" w:rsidR="00E274B7" w:rsidRPr="00B043B4" w:rsidRDefault="00E274B7" w:rsidP="00241373">
            <w:pPr>
              <w:rPr>
                <w:rFonts w:eastAsia="Times New Roman"/>
                <w:b/>
                <w:sz w:val="20"/>
                <w:szCs w:val="20"/>
              </w:rPr>
            </w:pPr>
          </w:p>
        </w:tc>
      </w:tr>
      <w:tr w:rsidR="00E274B7" w:rsidRPr="00B043B4" w14:paraId="2C63A598" w14:textId="77777777" w:rsidTr="00241373">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03609C95" w14:textId="77777777" w:rsidR="00E274B7" w:rsidRPr="00B043B4" w:rsidRDefault="00E274B7" w:rsidP="00241373">
            <w:pPr>
              <w:widowControl/>
              <w:numPr>
                <w:ilvl w:val="0"/>
                <w:numId w:val="1"/>
              </w:numPr>
              <w:adjustRightInd/>
              <w:ind w:left="450" w:hanging="425"/>
              <w:contextualSpacing/>
              <w:jc w:val="both"/>
              <w:rPr>
                <w:rFonts w:eastAsia="Calibri"/>
                <w:b/>
              </w:rPr>
            </w:pPr>
            <w:r w:rsidRPr="00B043B4">
              <w:rPr>
                <w:rFonts w:eastAsia="Calibri"/>
                <w:b/>
              </w:rPr>
              <w:t>Stanovisko Komisie na posudzovanie vybraných vplyvov zo záverečného posúdenia č. ..........</w:t>
            </w:r>
            <w:r w:rsidRPr="00B043B4">
              <w:rPr>
                <w:rFonts w:eastAsia="Calibri"/>
              </w:rPr>
              <w:t xml:space="preserve"> (v prípade, ak sa uskutočnilo v zmysle bodu 9.1. Jednotnej metodiky) </w:t>
            </w:r>
          </w:p>
        </w:tc>
      </w:tr>
      <w:tr w:rsidR="00E274B7" w:rsidRPr="00B043B4" w14:paraId="0E9A4D60" w14:textId="77777777" w:rsidTr="00241373">
        <w:tblPrEx>
          <w:tblBorders>
            <w:insideH w:val="single" w:sz="4" w:space="0" w:color="FFFFFF"/>
            <w:insideV w:val="single" w:sz="4" w:space="0" w:color="FFFFFF"/>
          </w:tblBorders>
        </w:tblPrEx>
        <w:tc>
          <w:tcPr>
            <w:tcW w:w="9176" w:type="dxa"/>
            <w:shd w:val="clear" w:color="auto" w:fill="FFFFFF"/>
          </w:tcPr>
          <w:p w14:paraId="05D48B2B" w14:textId="77777777" w:rsidR="00E274B7" w:rsidRPr="00B043B4" w:rsidRDefault="00E274B7" w:rsidP="00241373">
            <w:pPr>
              <w:rPr>
                <w:rFonts w:eastAsia="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E274B7" w:rsidRPr="00B043B4" w14:paraId="39362FFF" w14:textId="77777777" w:rsidTr="00241373">
              <w:trPr>
                <w:trHeight w:val="396"/>
              </w:trPr>
              <w:tc>
                <w:tcPr>
                  <w:tcW w:w="2552" w:type="dxa"/>
                </w:tcPr>
                <w:p w14:paraId="45EBA705" w14:textId="77777777" w:rsidR="00E274B7" w:rsidRPr="00B043B4" w:rsidRDefault="003D76AF" w:rsidP="00241373">
                  <w:pPr>
                    <w:rPr>
                      <w:rFonts w:eastAsia="Times New Roman"/>
                      <w:b/>
                      <w:sz w:val="20"/>
                      <w:szCs w:val="20"/>
                    </w:rPr>
                  </w:pPr>
                  <w:sdt>
                    <w:sdtPr>
                      <w:rPr>
                        <w:b/>
                        <w:sz w:val="20"/>
                        <w:szCs w:val="20"/>
                      </w:rPr>
                      <w:id w:val="888232876"/>
                    </w:sdtPr>
                    <w:sdtEndPr/>
                    <w:sdtContent>
                      <w:r w:rsidR="00E274B7">
                        <w:rPr>
                          <w:rFonts w:ascii="MS Gothic" w:eastAsia="MS Gothic" w:hAnsi="MS Gothic" w:hint="eastAsia"/>
                          <w:b/>
                          <w:sz w:val="20"/>
                          <w:szCs w:val="20"/>
                        </w:rPr>
                        <w:t>☐</w:t>
                      </w:r>
                    </w:sdtContent>
                  </w:sdt>
                  <w:r w:rsidR="00E274B7" w:rsidRPr="00B043B4">
                    <w:rPr>
                      <w:rFonts w:eastAsia="Times New Roman"/>
                      <w:b/>
                      <w:sz w:val="20"/>
                      <w:szCs w:val="20"/>
                    </w:rPr>
                    <w:t xml:space="preserve">Súhlasné </w:t>
                  </w:r>
                </w:p>
              </w:tc>
              <w:tc>
                <w:tcPr>
                  <w:tcW w:w="3827" w:type="dxa"/>
                </w:tcPr>
                <w:p w14:paraId="7C733FB5" w14:textId="77777777" w:rsidR="00E274B7" w:rsidRPr="00B043B4" w:rsidRDefault="003D76AF" w:rsidP="00241373">
                  <w:pPr>
                    <w:rPr>
                      <w:rFonts w:eastAsia="Times New Roman"/>
                      <w:b/>
                      <w:sz w:val="20"/>
                      <w:szCs w:val="20"/>
                    </w:rPr>
                  </w:pPr>
                  <w:sdt>
                    <w:sdtPr>
                      <w:rPr>
                        <w:b/>
                        <w:sz w:val="20"/>
                        <w:szCs w:val="20"/>
                      </w:rPr>
                      <w:id w:val="953831761"/>
                    </w:sdtPr>
                    <w:sdtEndPr/>
                    <w:sdtContent>
                      <w:r w:rsidR="00E274B7">
                        <w:rPr>
                          <w:rFonts w:ascii="MS Gothic" w:eastAsia="MS Gothic" w:hAnsi="MS Gothic" w:hint="eastAsia"/>
                          <w:b/>
                          <w:sz w:val="20"/>
                          <w:szCs w:val="20"/>
                        </w:rPr>
                        <w:t>☐</w:t>
                      </w:r>
                    </w:sdtContent>
                  </w:sdt>
                  <w:r w:rsidR="00E274B7" w:rsidRPr="00B043B4">
                    <w:rPr>
                      <w:rFonts w:eastAsia="Times New Roman"/>
                      <w:b/>
                      <w:sz w:val="20"/>
                      <w:szCs w:val="20"/>
                    </w:rPr>
                    <w:t>Súhlasné s  návrhom na dopracovanie</w:t>
                  </w:r>
                </w:p>
              </w:tc>
              <w:tc>
                <w:tcPr>
                  <w:tcW w:w="2534" w:type="dxa"/>
                </w:tcPr>
                <w:p w14:paraId="6C5FFB3C" w14:textId="77777777" w:rsidR="00E274B7" w:rsidRPr="00B043B4" w:rsidRDefault="003D76AF" w:rsidP="00241373">
                  <w:pPr>
                    <w:ind w:right="459"/>
                    <w:rPr>
                      <w:rFonts w:eastAsia="Times New Roman"/>
                      <w:b/>
                      <w:sz w:val="20"/>
                      <w:szCs w:val="20"/>
                    </w:rPr>
                  </w:pPr>
                  <w:sdt>
                    <w:sdtPr>
                      <w:rPr>
                        <w:b/>
                        <w:sz w:val="20"/>
                        <w:szCs w:val="20"/>
                      </w:rPr>
                      <w:id w:val="-361740452"/>
                    </w:sdtPr>
                    <w:sdtEndPr/>
                    <w:sdtContent>
                      <w:r w:rsidR="00E274B7">
                        <w:rPr>
                          <w:rFonts w:ascii="MS Gothic" w:eastAsia="MS Gothic" w:hAnsi="MS Gothic" w:hint="eastAsia"/>
                          <w:b/>
                          <w:sz w:val="20"/>
                          <w:szCs w:val="20"/>
                        </w:rPr>
                        <w:t>☐</w:t>
                      </w:r>
                    </w:sdtContent>
                  </w:sdt>
                  <w:r w:rsidR="00E274B7" w:rsidRPr="00B043B4">
                    <w:rPr>
                      <w:rFonts w:eastAsia="Times New Roman"/>
                      <w:b/>
                      <w:sz w:val="20"/>
                      <w:szCs w:val="20"/>
                    </w:rPr>
                    <w:t>Nesúhlasné</w:t>
                  </w:r>
                </w:p>
              </w:tc>
            </w:tr>
          </w:tbl>
          <w:p w14:paraId="6EDC2592" w14:textId="77777777" w:rsidR="00E274B7" w:rsidRPr="00B043B4" w:rsidRDefault="00E274B7" w:rsidP="00241373">
            <w:pPr>
              <w:jc w:val="both"/>
              <w:rPr>
                <w:rFonts w:eastAsia="Times New Roman"/>
                <w:b/>
                <w:sz w:val="20"/>
                <w:szCs w:val="20"/>
              </w:rPr>
            </w:pPr>
            <w:r w:rsidRPr="00B043B4">
              <w:rPr>
                <w:rFonts w:eastAsia="Times New Roman"/>
                <w:b/>
                <w:sz w:val="20"/>
                <w:szCs w:val="20"/>
              </w:rPr>
              <w:t>Uveďte</w:t>
            </w:r>
            <w:r>
              <w:rPr>
                <w:rFonts w:eastAsia="Times New Roman"/>
                <w:b/>
                <w:sz w:val="20"/>
                <w:szCs w:val="20"/>
              </w:rPr>
              <w:t xml:space="preserve"> </w:t>
            </w:r>
            <w:r w:rsidRPr="00B043B4">
              <w:rPr>
                <w:rFonts w:eastAsia="Times New Roman"/>
                <w:b/>
                <w:sz w:val="20"/>
                <w:szCs w:val="20"/>
              </w:rPr>
              <w:t>pripomienky zo stanoviska Komisie z časti II. spolu s Vaším vyhodnotením:</w:t>
            </w:r>
          </w:p>
        </w:tc>
      </w:tr>
    </w:tbl>
    <w:p w14:paraId="50970EC0" w14:textId="77777777" w:rsidR="00E274B7" w:rsidRPr="0071749D" w:rsidRDefault="00E274B7" w:rsidP="00E274B7">
      <w:pPr>
        <w:autoSpaceDE w:val="0"/>
        <w:autoSpaceDN w:val="0"/>
        <w:jc w:val="center"/>
        <w:rPr>
          <w:b/>
          <w:caps/>
          <w:spacing w:val="30"/>
        </w:rPr>
      </w:pPr>
      <w:r w:rsidRPr="0071749D">
        <w:rPr>
          <w:b/>
          <w:caps/>
          <w:spacing w:val="30"/>
        </w:rPr>
        <w:lastRenderedPageBreak/>
        <w:t>Doložka zlučiteľnosti</w:t>
      </w:r>
    </w:p>
    <w:p w14:paraId="4E1DC267" w14:textId="77777777" w:rsidR="00E274B7" w:rsidRPr="0071749D" w:rsidRDefault="00E274B7" w:rsidP="00E274B7">
      <w:pPr>
        <w:autoSpaceDE w:val="0"/>
        <w:autoSpaceDN w:val="0"/>
        <w:jc w:val="center"/>
        <w:rPr>
          <w:b/>
        </w:rPr>
      </w:pPr>
      <w:r w:rsidRPr="0071749D">
        <w:rPr>
          <w:b/>
        </w:rPr>
        <w:t>návrhu zákona s právom Európskej únie</w:t>
      </w:r>
    </w:p>
    <w:p w14:paraId="66B7BD69" w14:textId="77777777" w:rsidR="00E274B7" w:rsidRPr="0071749D" w:rsidRDefault="00E274B7" w:rsidP="00E274B7">
      <w:pPr>
        <w:autoSpaceDE w:val="0"/>
        <w:autoSpaceDN w:val="0"/>
        <w:jc w:val="both"/>
        <w:rPr>
          <w:b/>
        </w:rPr>
      </w:pPr>
    </w:p>
    <w:tbl>
      <w:tblPr>
        <w:tblStyle w:val="Mriekatabuky3"/>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191"/>
      </w:tblGrid>
      <w:tr w:rsidR="00E274B7" w:rsidRPr="0071749D" w14:paraId="6E752C12" w14:textId="77777777" w:rsidTr="00241373">
        <w:trPr>
          <w:trHeight w:val="562"/>
        </w:trPr>
        <w:tc>
          <w:tcPr>
            <w:tcW w:w="396" w:type="dxa"/>
          </w:tcPr>
          <w:p w14:paraId="31EA56BD" w14:textId="77777777" w:rsidR="00E274B7" w:rsidRPr="0071749D" w:rsidRDefault="00E274B7" w:rsidP="00241373">
            <w:pPr>
              <w:tabs>
                <w:tab w:val="left" w:pos="360"/>
              </w:tabs>
              <w:jc w:val="both"/>
              <w:rPr>
                <w:b/>
              </w:rPr>
            </w:pPr>
            <w:r w:rsidRPr="0071749D">
              <w:rPr>
                <w:b/>
              </w:rPr>
              <w:t>1.</w:t>
            </w:r>
          </w:p>
        </w:tc>
        <w:tc>
          <w:tcPr>
            <w:tcW w:w="9191" w:type="dxa"/>
          </w:tcPr>
          <w:p w14:paraId="060E523A" w14:textId="77777777" w:rsidR="00E274B7" w:rsidRPr="0071749D" w:rsidRDefault="00E274B7" w:rsidP="00241373">
            <w:pPr>
              <w:tabs>
                <w:tab w:val="left" w:pos="360"/>
              </w:tabs>
              <w:jc w:val="both"/>
            </w:pPr>
            <w:r w:rsidRPr="0071749D">
              <w:rPr>
                <w:b/>
              </w:rPr>
              <w:t>Navrhovateľ návrhu zákona:</w:t>
            </w:r>
            <w:r w:rsidRPr="0071749D">
              <w:t xml:space="preserve"> </w:t>
            </w:r>
            <w:r w:rsidR="003D76AF">
              <w:fldChar w:fldCharType="begin"/>
            </w:r>
            <w:r w:rsidR="003D76AF">
              <w:instrText xml:space="preserve"> DOCPROPERTY  FSC#SKEDITIONSLOVLEX@103.510:zodpinstitucia  \* MERGEFORMAT </w:instrText>
            </w:r>
            <w:r w:rsidR="003D76AF">
              <w:fldChar w:fldCharType="separate"/>
            </w:r>
            <w:r w:rsidRPr="0071749D">
              <w:t>Úrad pre normalizáciu, metrológiu a skúšobníctvo Slovenskej republiky</w:t>
            </w:r>
            <w:r w:rsidR="003D76AF">
              <w:fldChar w:fldCharType="end"/>
            </w:r>
            <w:r w:rsidRPr="0071749D">
              <w:t xml:space="preserve"> </w:t>
            </w:r>
          </w:p>
        </w:tc>
      </w:tr>
      <w:tr w:rsidR="00E274B7" w:rsidRPr="0071749D" w14:paraId="0B650D84" w14:textId="77777777" w:rsidTr="00241373">
        <w:trPr>
          <w:trHeight w:val="289"/>
        </w:trPr>
        <w:tc>
          <w:tcPr>
            <w:tcW w:w="396" w:type="dxa"/>
          </w:tcPr>
          <w:p w14:paraId="2028A6CD" w14:textId="77777777" w:rsidR="00E274B7" w:rsidRPr="0071749D" w:rsidRDefault="00E274B7" w:rsidP="00241373">
            <w:pPr>
              <w:tabs>
                <w:tab w:val="left" w:pos="360"/>
              </w:tabs>
              <w:jc w:val="both"/>
            </w:pPr>
          </w:p>
        </w:tc>
        <w:tc>
          <w:tcPr>
            <w:tcW w:w="9191" w:type="dxa"/>
          </w:tcPr>
          <w:p w14:paraId="5293CE7A" w14:textId="77777777" w:rsidR="00E274B7" w:rsidRPr="0071749D" w:rsidRDefault="00E274B7" w:rsidP="00241373">
            <w:pPr>
              <w:tabs>
                <w:tab w:val="left" w:pos="360"/>
              </w:tabs>
              <w:jc w:val="both"/>
            </w:pPr>
          </w:p>
        </w:tc>
      </w:tr>
      <w:tr w:rsidR="00E274B7" w:rsidRPr="0071749D" w14:paraId="12C66631" w14:textId="77777777" w:rsidTr="00241373">
        <w:trPr>
          <w:trHeight w:val="562"/>
        </w:trPr>
        <w:tc>
          <w:tcPr>
            <w:tcW w:w="396" w:type="dxa"/>
          </w:tcPr>
          <w:p w14:paraId="3EC449B5" w14:textId="77777777" w:rsidR="00E274B7" w:rsidRPr="0071749D" w:rsidRDefault="00E274B7" w:rsidP="00241373">
            <w:pPr>
              <w:tabs>
                <w:tab w:val="left" w:pos="360"/>
              </w:tabs>
              <w:jc w:val="both"/>
              <w:rPr>
                <w:b/>
              </w:rPr>
            </w:pPr>
            <w:r w:rsidRPr="0071749D">
              <w:rPr>
                <w:b/>
              </w:rPr>
              <w:t>2.</w:t>
            </w:r>
          </w:p>
        </w:tc>
        <w:tc>
          <w:tcPr>
            <w:tcW w:w="9191" w:type="dxa"/>
          </w:tcPr>
          <w:p w14:paraId="0B4C8CE8" w14:textId="77777777" w:rsidR="00E274B7" w:rsidRPr="0071749D" w:rsidRDefault="00E274B7" w:rsidP="00241373">
            <w:pPr>
              <w:tabs>
                <w:tab w:val="left" w:pos="360"/>
              </w:tabs>
              <w:jc w:val="both"/>
            </w:pPr>
            <w:r w:rsidRPr="0071749D">
              <w:rPr>
                <w:b/>
              </w:rPr>
              <w:t>Názov návrhu zákona:</w:t>
            </w:r>
            <w:r w:rsidRPr="0071749D">
              <w:t xml:space="preserve"> Návrh zákona, ktorým sa mení a dopĺňa zákon č. 60/2018 Z. z. o technickej normalizácii v znení neskorších predpisov</w:t>
            </w:r>
          </w:p>
        </w:tc>
      </w:tr>
      <w:tr w:rsidR="00E274B7" w:rsidRPr="0071749D" w14:paraId="71B78044" w14:textId="77777777" w:rsidTr="00241373">
        <w:trPr>
          <w:trHeight w:val="289"/>
        </w:trPr>
        <w:tc>
          <w:tcPr>
            <w:tcW w:w="396" w:type="dxa"/>
          </w:tcPr>
          <w:p w14:paraId="604B2B55" w14:textId="77777777" w:rsidR="00E274B7" w:rsidRPr="0071749D" w:rsidRDefault="00E274B7" w:rsidP="00241373">
            <w:pPr>
              <w:tabs>
                <w:tab w:val="left" w:pos="360"/>
              </w:tabs>
              <w:jc w:val="both"/>
            </w:pPr>
          </w:p>
        </w:tc>
        <w:tc>
          <w:tcPr>
            <w:tcW w:w="9191" w:type="dxa"/>
          </w:tcPr>
          <w:p w14:paraId="3ECA4B4C" w14:textId="77777777" w:rsidR="00E274B7" w:rsidRPr="0071749D" w:rsidRDefault="00E274B7" w:rsidP="00241373">
            <w:pPr>
              <w:tabs>
                <w:tab w:val="left" w:pos="360"/>
              </w:tabs>
              <w:jc w:val="both"/>
            </w:pPr>
          </w:p>
        </w:tc>
      </w:tr>
      <w:tr w:rsidR="00E274B7" w:rsidRPr="0071749D" w14:paraId="1A647F4C" w14:textId="77777777" w:rsidTr="00241373">
        <w:trPr>
          <w:trHeight w:val="273"/>
        </w:trPr>
        <w:tc>
          <w:tcPr>
            <w:tcW w:w="396" w:type="dxa"/>
          </w:tcPr>
          <w:p w14:paraId="27C0B2DB" w14:textId="77777777" w:rsidR="00E274B7" w:rsidRPr="0071749D" w:rsidRDefault="00E274B7" w:rsidP="00241373">
            <w:pPr>
              <w:tabs>
                <w:tab w:val="left" w:pos="360"/>
              </w:tabs>
              <w:jc w:val="both"/>
              <w:rPr>
                <w:b/>
              </w:rPr>
            </w:pPr>
            <w:r w:rsidRPr="0071749D">
              <w:rPr>
                <w:b/>
              </w:rPr>
              <w:t>3.</w:t>
            </w:r>
          </w:p>
        </w:tc>
        <w:tc>
          <w:tcPr>
            <w:tcW w:w="9191" w:type="dxa"/>
          </w:tcPr>
          <w:p w14:paraId="269A42AB" w14:textId="77777777" w:rsidR="00E274B7" w:rsidRPr="0071749D" w:rsidRDefault="00E274B7" w:rsidP="00241373">
            <w:pPr>
              <w:tabs>
                <w:tab w:val="left" w:pos="360"/>
              </w:tabs>
              <w:jc w:val="both"/>
              <w:rPr>
                <w:b/>
              </w:rPr>
            </w:pPr>
            <w:r w:rsidRPr="0071749D">
              <w:rPr>
                <w:b/>
              </w:rPr>
              <w:t>Predmet návrhu zákona je upravený v práve Európskej únie:</w:t>
            </w:r>
          </w:p>
          <w:p w14:paraId="06FC5C10" w14:textId="77777777" w:rsidR="00E274B7" w:rsidRPr="0071749D" w:rsidRDefault="00E274B7" w:rsidP="00241373">
            <w:pPr>
              <w:tabs>
                <w:tab w:val="left" w:pos="360"/>
              </w:tabs>
              <w:jc w:val="both"/>
            </w:pPr>
            <w:r w:rsidRPr="0071749D">
              <w:rPr>
                <w:b/>
              </w:rPr>
              <w:t xml:space="preserve"> </w:t>
            </w:r>
          </w:p>
        </w:tc>
      </w:tr>
      <w:tr w:rsidR="00E274B7" w:rsidRPr="0071749D" w14:paraId="6253269E" w14:textId="77777777" w:rsidTr="00241373">
        <w:trPr>
          <w:trHeight w:val="562"/>
        </w:trPr>
        <w:tc>
          <w:tcPr>
            <w:tcW w:w="396" w:type="dxa"/>
          </w:tcPr>
          <w:p w14:paraId="1C7443E7" w14:textId="77777777" w:rsidR="00E274B7" w:rsidRPr="0071749D" w:rsidRDefault="00E274B7" w:rsidP="00241373">
            <w:pPr>
              <w:tabs>
                <w:tab w:val="left" w:pos="360"/>
              </w:tabs>
              <w:jc w:val="both"/>
            </w:pPr>
            <w:r w:rsidRPr="0071749D">
              <w:t xml:space="preserve"> </w:t>
            </w:r>
          </w:p>
        </w:tc>
        <w:tc>
          <w:tcPr>
            <w:tcW w:w="9191" w:type="dxa"/>
          </w:tcPr>
          <w:p w14:paraId="335DBEB9" w14:textId="77777777" w:rsidR="00E274B7" w:rsidRPr="0071749D" w:rsidRDefault="00E274B7" w:rsidP="00241373">
            <w:pPr>
              <w:numPr>
                <w:ilvl w:val="0"/>
                <w:numId w:val="7"/>
              </w:numPr>
              <w:tabs>
                <w:tab w:val="left" w:pos="360"/>
              </w:tabs>
              <w:contextualSpacing/>
              <w:jc w:val="both"/>
            </w:pPr>
            <w:r w:rsidRPr="0071749D">
              <w:t>v primárnom práve</w:t>
            </w:r>
          </w:p>
          <w:p w14:paraId="2E6A95D3" w14:textId="77777777" w:rsidR="00E274B7" w:rsidRPr="0071749D" w:rsidRDefault="00E274B7" w:rsidP="00241373">
            <w:pPr>
              <w:tabs>
                <w:tab w:val="left" w:pos="360"/>
              </w:tabs>
              <w:ind w:left="360"/>
              <w:contextualSpacing/>
              <w:jc w:val="both"/>
            </w:pPr>
          </w:p>
          <w:p w14:paraId="4A029898" w14:textId="77777777" w:rsidR="00E274B7" w:rsidRPr="0071749D" w:rsidRDefault="00E274B7" w:rsidP="00241373">
            <w:pPr>
              <w:tabs>
                <w:tab w:val="left" w:pos="360"/>
              </w:tabs>
              <w:ind w:left="360"/>
              <w:contextualSpacing/>
              <w:jc w:val="both"/>
              <w:rPr>
                <w:i/>
              </w:rPr>
            </w:pPr>
            <w:r w:rsidRPr="0071749D">
              <w:rPr>
                <w:i/>
              </w:rPr>
              <w:t>čl. 114 Zmluvy o fungovaní Európskej únie</w:t>
            </w:r>
          </w:p>
          <w:p w14:paraId="60A4C9FF" w14:textId="77777777" w:rsidR="00E274B7" w:rsidRPr="0071749D" w:rsidRDefault="00E274B7" w:rsidP="00241373">
            <w:pPr>
              <w:tabs>
                <w:tab w:val="left" w:pos="360"/>
              </w:tabs>
              <w:ind w:left="360"/>
              <w:contextualSpacing/>
              <w:jc w:val="both"/>
            </w:pPr>
          </w:p>
          <w:p w14:paraId="2CE6201E" w14:textId="77777777" w:rsidR="00E274B7" w:rsidRPr="0071749D" w:rsidRDefault="00E274B7" w:rsidP="00241373">
            <w:pPr>
              <w:numPr>
                <w:ilvl w:val="0"/>
                <w:numId w:val="7"/>
              </w:numPr>
              <w:tabs>
                <w:tab w:val="left" w:pos="360"/>
              </w:tabs>
              <w:contextualSpacing/>
              <w:jc w:val="both"/>
            </w:pPr>
            <w:r w:rsidRPr="0071749D">
              <w:t>v sekundárnom práve</w:t>
            </w:r>
          </w:p>
          <w:p w14:paraId="136AE8A2" w14:textId="77777777" w:rsidR="00E274B7" w:rsidRPr="0071749D" w:rsidRDefault="00E274B7" w:rsidP="00241373">
            <w:pPr>
              <w:tabs>
                <w:tab w:val="left" w:pos="360"/>
              </w:tabs>
              <w:jc w:val="both"/>
            </w:pPr>
          </w:p>
          <w:p w14:paraId="076B3824" w14:textId="77777777" w:rsidR="00E274B7" w:rsidRPr="0071749D" w:rsidRDefault="00E274B7" w:rsidP="00241373">
            <w:pPr>
              <w:tabs>
                <w:tab w:val="left" w:pos="360"/>
              </w:tabs>
              <w:ind w:left="313"/>
              <w:jc w:val="both"/>
              <w:rPr>
                <w:i/>
              </w:rPr>
            </w:pPr>
            <w:r w:rsidRPr="0071749D">
              <w:rPr>
                <w:i/>
              </w:rPr>
              <w:t>nariadenie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14.11.2012) v platnom znení (ďalej len „nariadenie (EÚ) č. 1025 /2012“)</w:t>
            </w:r>
          </w:p>
          <w:p w14:paraId="375573C7" w14:textId="77777777" w:rsidR="00E274B7" w:rsidRPr="0071749D" w:rsidRDefault="00E274B7" w:rsidP="00241373">
            <w:pPr>
              <w:tabs>
                <w:tab w:val="left" w:pos="766"/>
              </w:tabs>
            </w:pPr>
            <w:r w:rsidRPr="0071749D">
              <w:t xml:space="preserve">     Gestor: ÚNMS SR</w:t>
            </w:r>
          </w:p>
          <w:p w14:paraId="644763B2" w14:textId="77777777" w:rsidR="00E274B7" w:rsidRPr="0071749D" w:rsidRDefault="00E274B7" w:rsidP="00241373">
            <w:pPr>
              <w:tabs>
                <w:tab w:val="left" w:pos="360"/>
              </w:tabs>
              <w:ind w:left="313"/>
              <w:jc w:val="both"/>
              <w:rPr>
                <w:i/>
              </w:rPr>
            </w:pPr>
          </w:p>
          <w:p w14:paraId="21C88BAB" w14:textId="77777777" w:rsidR="00E274B7" w:rsidRPr="0071749D" w:rsidRDefault="00E274B7" w:rsidP="00241373">
            <w:pPr>
              <w:tabs>
                <w:tab w:val="left" w:pos="360"/>
              </w:tabs>
              <w:ind w:left="313"/>
              <w:jc w:val="both"/>
              <w:rPr>
                <w:i/>
              </w:rPr>
            </w:pPr>
            <w:r w:rsidRPr="0071749D">
              <w:rPr>
                <w:i/>
              </w:rPr>
              <w:t>nariadenie Európskeho parlamentu a Rady (EÚ) 2018/1724 z 2. októbra 2018 o zriadení jednotnej digitálnej brány na poskytovanie prístupu k informáciám, postupom a asistenčným službám riešenia problémov a o zmene nariadenia (EÚ) č. 1024/2012 (ďalej ako „nariadenie (EÚ) 2018/1724“).</w:t>
            </w:r>
          </w:p>
          <w:p w14:paraId="25A2D718" w14:textId="77777777" w:rsidR="00E274B7" w:rsidRPr="0071749D" w:rsidRDefault="00E274B7" w:rsidP="00241373">
            <w:pPr>
              <w:tabs>
                <w:tab w:val="left" w:pos="360"/>
              </w:tabs>
              <w:ind w:left="313"/>
              <w:jc w:val="both"/>
            </w:pPr>
            <w:r w:rsidRPr="0071749D">
              <w:t>Gestor: MIRRI SR</w:t>
            </w:r>
          </w:p>
          <w:p w14:paraId="7322817E" w14:textId="77777777" w:rsidR="00E274B7" w:rsidRPr="0071749D" w:rsidRDefault="00E274B7" w:rsidP="00241373">
            <w:pPr>
              <w:tabs>
                <w:tab w:val="left" w:pos="360"/>
              </w:tabs>
              <w:ind w:left="313"/>
              <w:jc w:val="both"/>
            </w:pPr>
          </w:p>
          <w:p w14:paraId="0DCEAD72" w14:textId="77777777" w:rsidR="00E274B7" w:rsidRPr="0071749D" w:rsidRDefault="00E274B7" w:rsidP="00241373">
            <w:pPr>
              <w:numPr>
                <w:ilvl w:val="0"/>
                <w:numId w:val="7"/>
              </w:numPr>
              <w:tabs>
                <w:tab w:val="left" w:pos="360"/>
              </w:tabs>
              <w:contextualSpacing/>
              <w:jc w:val="both"/>
            </w:pPr>
            <w:r w:rsidRPr="0071749D">
              <w:t>v judikatúre Súdneho dvora Európskej únie</w:t>
            </w:r>
          </w:p>
          <w:p w14:paraId="4CE0ACD4" w14:textId="77777777" w:rsidR="00E274B7" w:rsidRPr="0071749D" w:rsidRDefault="00E274B7" w:rsidP="00241373">
            <w:pPr>
              <w:tabs>
                <w:tab w:val="left" w:pos="360"/>
              </w:tabs>
              <w:ind w:left="360"/>
              <w:contextualSpacing/>
              <w:jc w:val="both"/>
            </w:pPr>
          </w:p>
        </w:tc>
      </w:tr>
      <w:tr w:rsidR="00E274B7" w:rsidRPr="0071749D" w14:paraId="377F6D6D" w14:textId="77777777" w:rsidTr="00241373">
        <w:trPr>
          <w:trHeight w:val="562"/>
        </w:trPr>
        <w:tc>
          <w:tcPr>
            <w:tcW w:w="396" w:type="dxa"/>
          </w:tcPr>
          <w:p w14:paraId="2AFD60EE" w14:textId="77777777" w:rsidR="00E274B7" w:rsidRPr="0071749D" w:rsidRDefault="00E274B7" w:rsidP="00241373">
            <w:pPr>
              <w:tabs>
                <w:tab w:val="left" w:pos="360"/>
              </w:tabs>
              <w:jc w:val="both"/>
            </w:pPr>
            <w:r w:rsidRPr="0071749D">
              <w:t xml:space="preserve">                 </w:t>
            </w:r>
          </w:p>
        </w:tc>
        <w:tc>
          <w:tcPr>
            <w:tcW w:w="9191" w:type="dxa"/>
          </w:tcPr>
          <w:p w14:paraId="557C42A8" w14:textId="77777777" w:rsidR="00E274B7" w:rsidRPr="0071749D" w:rsidRDefault="00E274B7" w:rsidP="00241373">
            <w:pPr>
              <w:tabs>
                <w:tab w:val="left" w:pos="360"/>
              </w:tabs>
              <w:ind w:left="360"/>
              <w:contextualSpacing/>
              <w:jc w:val="both"/>
              <w:rPr>
                <w:i/>
              </w:rPr>
            </w:pPr>
            <w:r w:rsidRPr="0071749D">
              <w:rPr>
                <w:i/>
              </w:rPr>
              <w:t>nie je upravený.</w:t>
            </w:r>
          </w:p>
          <w:p w14:paraId="1B1609B7" w14:textId="77777777" w:rsidR="00E274B7" w:rsidRPr="0071749D" w:rsidRDefault="00E274B7" w:rsidP="00241373">
            <w:pPr>
              <w:tabs>
                <w:tab w:val="left" w:pos="360"/>
              </w:tabs>
              <w:ind w:left="360"/>
              <w:contextualSpacing/>
              <w:jc w:val="both"/>
              <w:rPr>
                <w:rFonts w:ascii="Times" w:hAnsi="Times" w:cs="Times"/>
                <w:i/>
              </w:rPr>
            </w:pPr>
          </w:p>
        </w:tc>
      </w:tr>
    </w:tbl>
    <w:p w14:paraId="2E95AE10" w14:textId="77777777" w:rsidR="00E274B7" w:rsidRPr="0071749D" w:rsidRDefault="00E274B7" w:rsidP="00E274B7">
      <w:pPr>
        <w:tabs>
          <w:tab w:val="left" w:pos="360"/>
        </w:tabs>
        <w:autoSpaceDE w:val="0"/>
        <w:autoSpaceDN w:val="0"/>
        <w:jc w:val="both"/>
        <w:rPr>
          <w:b/>
        </w:rPr>
      </w:pPr>
      <w:r w:rsidRPr="0071749D">
        <w:rPr>
          <w:b/>
        </w:rPr>
        <w:t xml:space="preserve">4. </w:t>
      </w:r>
      <w:r w:rsidRPr="0071749D">
        <w:rPr>
          <w:b/>
        </w:rPr>
        <w:tab/>
        <w:t>Záväzky Slovenskej republiky vo vzťahu k Európskej únii:</w:t>
      </w:r>
    </w:p>
    <w:p w14:paraId="3F436FE2" w14:textId="77777777" w:rsidR="00E274B7" w:rsidRPr="0071749D" w:rsidRDefault="00E274B7" w:rsidP="00E274B7">
      <w:pPr>
        <w:numPr>
          <w:ilvl w:val="0"/>
          <w:numId w:val="12"/>
        </w:numPr>
        <w:tabs>
          <w:tab w:val="left" w:pos="360"/>
        </w:tabs>
        <w:autoSpaceDE w:val="0"/>
        <w:autoSpaceDN w:val="0"/>
        <w:contextualSpacing/>
        <w:jc w:val="both"/>
        <w:rPr>
          <w:b/>
        </w:rPr>
      </w:pPr>
      <w:r w:rsidRPr="0071749D">
        <w:t>uviesť lehotu na prebranie príslušného právneho aktu Európskej únie, príp. aj osobitnú lehotu účinnosti jeho ustanovení:</w:t>
      </w:r>
    </w:p>
    <w:p w14:paraId="1928034D" w14:textId="77777777" w:rsidR="00E274B7" w:rsidRPr="0071749D" w:rsidRDefault="00E274B7" w:rsidP="00E274B7">
      <w:pPr>
        <w:tabs>
          <w:tab w:val="left" w:pos="360"/>
        </w:tabs>
        <w:autoSpaceDE w:val="0"/>
        <w:autoSpaceDN w:val="0"/>
        <w:ind w:left="644"/>
        <w:contextualSpacing/>
        <w:jc w:val="both"/>
        <w:rPr>
          <w:i/>
        </w:rPr>
      </w:pPr>
    </w:p>
    <w:p w14:paraId="2F135E6A" w14:textId="77777777" w:rsidR="00E274B7" w:rsidRPr="0071749D" w:rsidRDefault="00E274B7" w:rsidP="00E274B7">
      <w:pPr>
        <w:tabs>
          <w:tab w:val="left" w:pos="360"/>
        </w:tabs>
        <w:autoSpaceDE w:val="0"/>
        <w:autoSpaceDN w:val="0"/>
        <w:jc w:val="both"/>
        <w:rPr>
          <w:i/>
        </w:rPr>
      </w:pPr>
      <w:r w:rsidRPr="0071749D">
        <w:rPr>
          <w:i/>
        </w:rPr>
        <w:tab/>
      </w:r>
      <w:r w:rsidRPr="0071749D">
        <w:rPr>
          <w:i/>
        </w:rPr>
        <w:tab/>
        <w:t>do 1. januára 2013 pri nariadení (EÚ) č. 1025 /2012</w:t>
      </w:r>
    </w:p>
    <w:p w14:paraId="1519E040" w14:textId="77777777" w:rsidR="00E274B7" w:rsidRPr="0071749D" w:rsidRDefault="00E274B7" w:rsidP="00E274B7">
      <w:pPr>
        <w:tabs>
          <w:tab w:val="left" w:pos="360"/>
        </w:tabs>
        <w:autoSpaceDE w:val="0"/>
        <w:autoSpaceDN w:val="0"/>
        <w:jc w:val="both"/>
        <w:rPr>
          <w:i/>
        </w:rPr>
      </w:pPr>
    </w:p>
    <w:p w14:paraId="1CBCC5A1" w14:textId="77777777" w:rsidR="00E274B7" w:rsidRPr="0071749D" w:rsidRDefault="00E274B7" w:rsidP="00E274B7">
      <w:pPr>
        <w:numPr>
          <w:ilvl w:val="0"/>
          <w:numId w:val="12"/>
        </w:numPr>
        <w:tabs>
          <w:tab w:val="left" w:pos="360"/>
        </w:tabs>
        <w:autoSpaceDE w:val="0"/>
        <w:autoSpaceDN w:val="0"/>
        <w:contextualSpacing/>
        <w:jc w:val="both"/>
        <w:rPr>
          <w:b/>
        </w:rPr>
      </w:pPr>
      <w:r w:rsidRPr="0071749D">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10F664D1" w14:textId="77777777" w:rsidR="00E274B7" w:rsidRPr="0071749D" w:rsidRDefault="00E274B7" w:rsidP="00E274B7">
      <w:pPr>
        <w:tabs>
          <w:tab w:val="left" w:pos="360"/>
        </w:tabs>
        <w:autoSpaceDE w:val="0"/>
        <w:autoSpaceDN w:val="0"/>
        <w:ind w:left="644"/>
        <w:contextualSpacing/>
        <w:jc w:val="both"/>
        <w:rPr>
          <w:i/>
        </w:rPr>
      </w:pPr>
    </w:p>
    <w:p w14:paraId="578669A9" w14:textId="77777777" w:rsidR="00E274B7" w:rsidRPr="0071749D" w:rsidRDefault="00E274B7" w:rsidP="00E274B7">
      <w:pPr>
        <w:tabs>
          <w:tab w:val="left" w:pos="360"/>
        </w:tabs>
        <w:autoSpaceDE w:val="0"/>
        <w:autoSpaceDN w:val="0"/>
        <w:ind w:left="644"/>
        <w:contextualSpacing/>
        <w:rPr>
          <w:i/>
        </w:rPr>
      </w:pPr>
      <w:r w:rsidRPr="0071749D">
        <w:rPr>
          <w:i/>
        </w:rPr>
        <w:t>Konanie nebolo začaté.</w:t>
      </w:r>
      <w:r w:rsidRPr="0071749D">
        <w:rPr>
          <w:i/>
        </w:rPr>
        <w:br/>
      </w:r>
    </w:p>
    <w:p w14:paraId="5A905A06" w14:textId="77777777" w:rsidR="00E274B7" w:rsidRPr="0071749D" w:rsidRDefault="00E274B7" w:rsidP="00E274B7">
      <w:pPr>
        <w:numPr>
          <w:ilvl w:val="0"/>
          <w:numId w:val="12"/>
        </w:numPr>
        <w:tabs>
          <w:tab w:val="left" w:pos="360"/>
        </w:tabs>
        <w:autoSpaceDE w:val="0"/>
        <w:autoSpaceDN w:val="0"/>
        <w:contextualSpacing/>
        <w:jc w:val="both"/>
        <w:rPr>
          <w:b/>
        </w:rPr>
      </w:pPr>
      <w:r w:rsidRPr="0071749D">
        <w:t>uviesť informáciu o právnych predpisoch, v ktorých sú uvádzané právne akty Európskej únie už prebrané, spolu s uvedením rozsahu ich prebrania, príp. potreby prijatia ďalších úprav:</w:t>
      </w:r>
    </w:p>
    <w:p w14:paraId="6EDA8C04" w14:textId="77777777" w:rsidR="00E274B7" w:rsidRPr="0071749D" w:rsidRDefault="00E274B7" w:rsidP="00E274B7">
      <w:pPr>
        <w:tabs>
          <w:tab w:val="left" w:pos="360"/>
        </w:tabs>
        <w:autoSpaceDE w:val="0"/>
        <w:autoSpaceDN w:val="0"/>
        <w:ind w:left="644"/>
        <w:contextualSpacing/>
        <w:jc w:val="both"/>
        <w:rPr>
          <w:b/>
        </w:rPr>
      </w:pPr>
    </w:p>
    <w:p w14:paraId="513A6E9D" w14:textId="77777777" w:rsidR="00E274B7" w:rsidRPr="0071749D" w:rsidRDefault="00E274B7" w:rsidP="00E274B7">
      <w:pPr>
        <w:tabs>
          <w:tab w:val="left" w:pos="360"/>
        </w:tabs>
        <w:autoSpaceDE w:val="0"/>
        <w:autoSpaceDN w:val="0"/>
        <w:ind w:left="644"/>
        <w:contextualSpacing/>
        <w:jc w:val="both"/>
        <w:rPr>
          <w:i/>
        </w:rPr>
      </w:pPr>
      <w:r w:rsidRPr="0071749D">
        <w:rPr>
          <w:i/>
        </w:rPr>
        <w:t>Aktuálne znenie zákona č. 60/2018 Z. z. o technickej normalizácii v znení neskorších predpisov zabezpečuje úplnú implementáciu ustanovení týkajúcich sa</w:t>
      </w:r>
      <w:r w:rsidRPr="0071749D">
        <w:t> </w:t>
      </w:r>
      <w:r w:rsidRPr="0071749D">
        <w:rPr>
          <w:i/>
        </w:rPr>
        <w:t>technickej normalizácie podľa nariadenia (EÚ) č. 1025 /2012; predložená novela predmetného zákona nemá vplyv na implementáciu ustanovení nariadenia (EÚ) č. 1025/2012 ani na implementáciu ustanovení nariadenia (EÚ) 2018/1724.</w:t>
      </w:r>
    </w:p>
    <w:p w14:paraId="49B24BEF" w14:textId="77777777" w:rsidR="00E274B7" w:rsidRPr="0071749D" w:rsidRDefault="00E274B7" w:rsidP="00E274B7">
      <w:pPr>
        <w:tabs>
          <w:tab w:val="left" w:pos="360"/>
        </w:tabs>
        <w:autoSpaceDE w:val="0"/>
        <w:autoSpaceDN w:val="0"/>
        <w:jc w:val="both"/>
        <w:rPr>
          <w:i/>
        </w:rPr>
      </w:pPr>
    </w:p>
    <w:p w14:paraId="5817F3ED" w14:textId="77777777" w:rsidR="00E274B7" w:rsidRPr="0071749D" w:rsidRDefault="00E274B7" w:rsidP="00E274B7">
      <w:pPr>
        <w:tabs>
          <w:tab w:val="left" w:pos="360"/>
        </w:tabs>
        <w:autoSpaceDE w:val="0"/>
        <w:autoSpaceDN w:val="0"/>
        <w:jc w:val="both"/>
        <w:rPr>
          <w:b/>
        </w:rPr>
      </w:pPr>
      <w:r w:rsidRPr="0071749D">
        <w:rPr>
          <w:b/>
        </w:rPr>
        <w:t>5. Návrh zákona je zlučiteľný s právom Európskej únie:</w:t>
      </w:r>
    </w:p>
    <w:p w14:paraId="29F5BEB7" w14:textId="77777777" w:rsidR="00E274B7" w:rsidRPr="0071749D" w:rsidRDefault="00E274B7" w:rsidP="00E274B7">
      <w:pPr>
        <w:numPr>
          <w:ilvl w:val="0"/>
          <w:numId w:val="13"/>
        </w:numPr>
        <w:tabs>
          <w:tab w:val="left" w:pos="360"/>
        </w:tabs>
        <w:autoSpaceDE w:val="0"/>
        <w:autoSpaceDN w:val="0"/>
        <w:contextualSpacing/>
        <w:jc w:val="both"/>
      </w:pPr>
      <w:r w:rsidRPr="0071749D">
        <w:t>úplne.</w:t>
      </w:r>
    </w:p>
    <w:p w14:paraId="53A2305F" w14:textId="77777777" w:rsidR="00E274B7" w:rsidRPr="0071749D" w:rsidRDefault="00E274B7" w:rsidP="00E274B7">
      <w:pPr>
        <w:autoSpaceDE w:val="0"/>
        <w:autoSpaceDN w:val="0"/>
      </w:pPr>
    </w:p>
    <w:p w14:paraId="102687B4" w14:textId="77777777" w:rsidR="00E274B7" w:rsidRDefault="00E274B7" w:rsidP="00E274B7">
      <w:pPr>
        <w:widowControl/>
        <w:spacing w:line="276" w:lineRule="auto"/>
        <w:rPr>
          <w:b/>
        </w:rPr>
      </w:pPr>
    </w:p>
    <w:p w14:paraId="3130BA0A" w14:textId="77777777" w:rsidR="00E274B7" w:rsidRDefault="00E274B7" w:rsidP="00E274B7">
      <w:pPr>
        <w:widowControl/>
        <w:spacing w:line="276" w:lineRule="auto"/>
        <w:rPr>
          <w:b/>
        </w:rPr>
      </w:pPr>
    </w:p>
    <w:p w14:paraId="355DED92" w14:textId="77777777" w:rsidR="00E274B7" w:rsidRDefault="00E274B7" w:rsidP="00E274B7">
      <w:pPr>
        <w:widowControl/>
        <w:spacing w:line="276" w:lineRule="auto"/>
        <w:rPr>
          <w:b/>
        </w:rPr>
      </w:pPr>
    </w:p>
    <w:p w14:paraId="6F6FCF01" w14:textId="77777777" w:rsidR="00E274B7" w:rsidRDefault="00E274B7" w:rsidP="00E274B7">
      <w:pPr>
        <w:widowControl/>
        <w:spacing w:line="276" w:lineRule="auto"/>
        <w:rPr>
          <w:b/>
        </w:rPr>
      </w:pPr>
    </w:p>
    <w:p w14:paraId="2F6558D1" w14:textId="77777777" w:rsidR="00E274B7" w:rsidRDefault="00E274B7" w:rsidP="00E274B7">
      <w:pPr>
        <w:widowControl/>
        <w:spacing w:line="276" w:lineRule="auto"/>
        <w:rPr>
          <w:b/>
        </w:rPr>
      </w:pPr>
    </w:p>
    <w:p w14:paraId="5E0D22B7" w14:textId="77777777" w:rsidR="00E274B7" w:rsidRDefault="00E274B7" w:rsidP="00E274B7">
      <w:pPr>
        <w:widowControl/>
        <w:spacing w:line="276" w:lineRule="auto"/>
        <w:rPr>
          <w:b/>
        </w:rPr>
      </w:pPr>
    </w:p>
    <w:p w14:paraId="38F9A9B0" w14:textId="77777777" w:rsidR="00E274B7" w:rsidRDefault="00E274B7" w:rsidP="00E274B7">
      <w:pPr>
        <w:widowControl/>
        <w:spacing w:line="276" w:lineRule="auto"/>
        <w:rPr>
          <w:b/>
        </w:rPr>
      </w:pPr>
    </w:p>
    <w:p w14:paraId="5CEF8B4B" w14:textId="77777777" w:rsidR="00E274B7" w:rsidRDefault="00E274B7" w:rsidP="00E274B7">
      <w:pPr>
        <w:widowControl/>
        <w:spacing w:line="276" w:lineRule="auto"/>
        <w:rPr>
          <w:b/>
        </w:rPr>
      </w:pPr>
    </w:p>
    <w:p w14:paraId="6CBFAB96" w14:textId="77777777" w:rsidR="00E274B7" w:rsidRDefault="00E274B7" w:rsidP="00E274B7">
      <w:pPr>
        <w:widowControl/>
        <w:spacing w:line="276" w:lineRule="auto"/>
        <w:rPr>
          <w:b/>
        </w:rPr>
      </w:pPr>
    </w:p>
    <w:p w14:paraId="1026968D" w14:textId="77777777" w:rsidR="00E274B7" w:rsidRDefault="00E274B7" w:rsidP="00E274B7">
      <w:pPr>
        <w:widowControl/>
        <w:spacing w:line="276" w:lineRule="auto"/>
        <w:rPr>
          <w:b/>
        </w:rPr>
      </w:pPr>
    </w:p>
    <w:p w14:paraId="336A58D8" w14:textId="77777777" w:rsidR="00E274B7" w:rsidRDefault="00E274B7" w:rsidP="00E274B7">
      <w:pPr>
        <w:widowControl/>
        <w:spacing w:line="276" w:lineRule="auto"/>
        <w:rPr>
          <w:b/>
        </w:rPr>
      </w:pPr>
    </w:p>
    <w:p w14:paraId="11DF2419" w14:textId="77777777" w:rsidR="00E274B7" w:rsidRDefault="00E274B7" w:rsidP="00E274B7">
      <w:pPr>
        <w:widowControl/>
        <w:spacing w:line="276" w:lineRule="auto"/>
        <w:rPr>
          <w:b/>
        </w:rPr>
      </w:pPr>
    </w:p>
    <w:p w14:paraId="38788D74" w14:textId="77777777" w:rsidR="00E274B7" w:rsidRDefault="00E274B7" w:rsidP="00E274B7">
      <w:pPr>
        <w:widowControl/>
        <w:spacing w:line="276" w:lineRule="auto"/>
        <w:rPr>
          <w:b/>
        </w:rPr>
      </w:pPr>
    </w:p>
    <w:p w14:paraId="03D761BA" w14:textId="77777777" w:rsidR="00E274B7" w:rsidRDefault="00E274B7" w:rsidP="00E274B7">
      <w:pPr>
        <w:widowControl/>
        <w:spacing w:line="276" w:lineRule="auto"/>
        <w:rPr>
          <w:b/>
        </w:rPr>
      </w:pPr>
    </w:p>
    <w:p w14:paraId="78CCD417" w14:textId="77777777" w:rsidR="00E274B7" w:rsidRDefault="00E274B7" w:rsidP="00E274B7">
      <w:pPr>
        <w:widowControl/>
        <w:spacing w:line="276" w:lineRule="auto"/>
        <w:rPr>
          <w:b/>
        </w:rPr>
      </w:pPr>
    </w:p>
    <w:p w14:paraId="64F1670C" w14:textId="77777777" w:rsidR="00E274B7" w:rsidRDefault="00E274B7" w:rsidP="00E274B7">
      <w:pPr>
        <w:widowControl/>
        <w:spacing w:line="276" w:lineRule="auto"/>
        <w:rPr>
          <w:b/>
        </w:rPr>
      </w:pPr>
    </w:p>
    <w:p w14:paraId="1C0B1865" w14:textId="77777777" w:rsidR="00E274B7" w:rsidRDefault="00E274B7" w:rsidP="00E274B7">
      <w:pPr>
        <w:widowControl/>
        <w:spacing w:line="276" w:lineRule="auto"/>
        <w:rPr>
          <w:b/>
        </w:rPr>
      </w:pPr>
    </w:p>
    <w:p w14:paraId="70B396C8" w14:textId="77777777" w:rsidR="00E274B7" w:rsidRDefault="00E274B7" w:rsidP="00E274B7">
      <w:pPr>
        <w:widowControl/>
        <w:spacing w:line="276" w:lineRule="auto"/>
        <w:rPr>
          <w:b/>
        </w:rPr>
      </w:pPr>
    </w:p>
    <w:p w14:paraId="34AC6A6C" w14:textId="77777777" w:rsidR="00E274B7" w:rsidRDefault="00E274B7" w:rsidP="00E274B7">
      <w:pPr>
        <w:widowControl/>
        <w:spacing w:line="276" w:lineRule="auto"/>
        <w:rPr>
          <w:b/>
        </w:rPr>
      </w:pPr>
    </w:p>
    <w:p w14:paraId="557B7D23" w14:textId="77777777" w:rsidR="00E274B7" w:rsidRDefault="00E274B7" w:rsidP="00E274B7">
      <w:pPr>
        <w:widowControl/>
        <w:spacing w:line="276" w:lineRule="auto"/>
        <w:rPr>
          <w:b/>
        </w:rPr>
      </w:pPr>
    </w:p>
    <w:p w14:paraId="7D7C81A0" w14:textId="77777777" w:rsidR="00E274B7" w:rsidRDefault="00E274B7" w:rsidP="00E274B7">
      <w:pPr>
        <w:widowControl/>
        <w:spacing w:line="276" w:lineRule="auto"/>
        <w:rPr>
          <w:b/>
        </w:rPr>
      </w:pPr>
    </w:p>
    <w:p w14:paraId="2C85D621" w14:textId="77777777" w:rsidR="00E274B7" w:rsidRDefault="00E274B7" w:rsidP="00E274B7">
      <w:pPr>
        <w:widowControl/>
        <w:spacing w:line="276" w:lineRule="auto"/>
        <w:rPr>
          <w:b/>
        </w:rPr>
      </w:pPr>
    </w:p>
    <w:p w14:paraId="25748555" w14:textId="77777777" w:rsidR="00E274B7" w:rsidRDefault="00E274B7" w:rsidP="00E274B7">
      <w:pPr>
        <w:widowControl/>
        <w:spacing w:line="276" w:lineRule="auto"/>
        <w:rPr>
          <w:b/>
        </w:rPr>
      </w:pPr>
    </w:p>
    <w:p w14:paraId="022BE373" w14:textId="77777777" w:rsidR="00E274B7" w:rsidRDefault="00E274B7" w:rsidP="00E274B7">
      <w:pPr>
        <w:widowControl/>
        <w:spacing w:line="276" w:lineRule="auto"/>
        <w:rPr>
          <w:b/>
        </w:rPr>
      </w:pPr>
    </w:p>
    <w:p w14:paraId="68C176E3" w14:textId="77777777" w:rsidR="00E274B7" w:rsidRDefault="00E274B7" w:rsidP="00E274B7">
      <w:pPr>
        <w:widowControl/>
        <w:spacing w:line="276" w:lineRule="auto"/>
        <w:rPr>
          <w:b/>
        </w:rPr>
      </w:pPr>
    </w:p>
    <w:p w14:paraId="60FAC093" w14:textId="77777777" w:rsidR="00E274B7" w:rsidRDefault="00E274B7" w:rsidP="00E274B7">
      <w:pPr>
        <w:widowControl/>
        <w:spacing w:line="276" w:lineRule="auto"/>
        <w:rPr>
          <w:b/>
        </w:rPr>
      </w:pPr>
    </w:p>
    <w:p w14:paraId="0EBABDA4" w14:textId="77777777" w:rsidR="00E274B7" w:rsidRDefault="00E274B7" w:rsidP="00E274B7">
      <w:pPr>
        <w:widowControl/>
        <w:spacing w:line="276" w:lineRule="auto"/>
        <w:rPr>
          <w:b/>
        </w:rPr>
      </w:pPr>
    </w:p>
    <w:p w14:paraId="2D0A082F" w14:textId="77777777" w:rsidR="00E274B7" w:rsidRDefault="00E274B7" w:rsidP="00E274B7">
      <w:pPr>
        <w:widowControl/>
        <w:spacing w:line="276" w:lineRule="auto"/>
        <w:rPr>
          <w:b/>
        </w:rPr>
      </w:pPr>
    </w:p>
    <w:p w14:paraId="74E8B11D" w14:textId="77777777" w:rsidR="00E274B7" w:rsidRDefault="00E274B7" w:rsidP="00E274B7">
      <w:pPr>
        <w:widowControl/>
        <w:spacing w:line="276" w:lineRule="auto"/>
        <w:rPr>
          <w:b/>
        </w:rPr>
      </w:pPr>
    </w:p>
    <w:p w14:paraId="1DDF8EA9" w14:textId="77777777" w:rsidR="00E274B7" w:rsidRDefault="00E274B7" w:rsidP="00E274B7">
      <w:pPr>
        <w:widowControl/>
        <w:spacing w:line="276" w:lineRule="auto"/>
        <w:rPr>
          <w:b/>
        </w:rPr>
      </w:pPr>
    </w:p>
    <w:p w14:paraId="2470BD3E" w14:textId="77777777" w:rsidR="00E274B7" w:rsidRDefault="00E274B7" w:rsidP="00E274B7">
      <w:pPr>
        <w:widowControl/>
        <w:spacing w:line="276" w:lineRule="auto"/>
        <w:rPr>
          <w:b/>
        </w:rPr>
      </w:pPr>
    </w:p>
    <w:p w14:paraId="1418B0D1" w14:textId="77777777" w:rsidR="00E274B7" w:rsidRDefault="00E274B7" w:rsidP="00E274B7">
      <w:pPr>
        <w:widowControl/>
        <w:spacing w:line="276" w:lineRule="auto"/>
        <w:rPr>
          <w:b/>
        </w:rPr>
      </w:pPr>
    </w:p>
    <w:p w14:paraId="12440BBC" w14:textId="77777777" w:rsidR="00E274B7" w:rsidRPr="00400B50" w:rsidRDefault="00E274B7" w:rsidP="00E274B7">
      <w:pPr>
        <w:pStyle w:val="Odsekzoznamu"/>
        <w:numPr>
          <w:ilvl w:val="0"/>
          <w:numId w:val="11"/>
        </w:numPr>
        <w:spacing w:after="0"/>
        <w:ind w:left="284" w:hanging="284"/>
        <w:jc w:val="both"/>
        <w:rPr>
          <w:rFonts w:ascii="Times New Roman" w:hAnsi="Times New Roman" w:cs="Times New Roman"/>
          <w:b/>
          <w:sz w:val="24"/>
          <w:szCs w:val="24"/>
        </w:rPr>
      </w:pPr>
      <w:r w:rsidRPr="00400B50">
        <w:rPr>
          <w:rFonts w:ascii="Times New Roman" w:hAnsi="Times New Roman" w:cs="Times New Roman"/>
          <w:b/>
          <w:sz w:val="24"/>
          <w:szCs w:val="24"/>
        </w:rPr>
        <w:lastRenderedPageBreak/>
        <w:t>Osobitná časť</w:t>
      </w:r>
    </w:p>
    <w:p w14:paraId="5782DB8D" w14:textId="77777777" w:rsidR="00E274B7" w:rsidRDefault="00E274B7" w:rsidP="00E274B7">
      <w:pPr>
        <w:rPr>
          <w:b/>
          <w:bCs/>
          <w:sz w:val="26"/>
          <w:szCs w:val="26"/>
        </w:rPr>
      </w:pPr>
    </w:p>
    <w:p w14:paraId="522D8929" w14:textId="77777777" w:rsidR="00E274B7" w:rsidRPr="004A13C1" w:rsidRDefault="00E274B7" w:rsidP="00E274B7">
      <w:pPr>
        <w:rPr>
          <w:b/>
          <w:bCs/>
        </w:rPr>
      </w:pPr>
      <w:r w:rsidRPr="004A13C1">
        <w:rPr>
          <w:b/>
          <w:bCs/>
        </w:rPr>
        <w:t>K Čl. I</w:t>
      </w:r>
    </w:p>
    <w:p w14:paraId="37F3DB09" w14:textId="77777777" w:rsidR="00E274B7" w:rsidRDefault="00E274B7" w:rsidP="00E274B7">
      <w:pPr>
        <w:jc w:val="both"/>
        <w:rPr>
          <w:b/>
          <w:bCs/>
        </w:rPr>
      </w:pPr>
    </w:p>
    <w:p w14:paraId="2126CCC0" w14:textId="77777777" w:rsidR="00E274B7" w:rsidRPr="00000467" w:rsidRDefault="00E274B7" w:rsidP="00E274B7">
      <w:pPr>
        <w:jc w:val="both"/>
        <w:rPr>
          <w:b/>
          <w:bCs/>
        </w:rPr>
      </w:pPr>
      <w:r w:rsidRPr="00000467">
        <w:rPr>
          <w:b/>
          <w:bCs/>
        </w:rPr>
        <w:t xml:space="preserve">K bodu </w:t>
      </w:r>
      <w:r>
        <w:rPr>
          <w:b/>
          <w:bCs/>
        </w:rPr>
        <w:t>1</w:t>
      </w:r>
    </w:p>
    <w:p w14:paraId="6889AB7A" w14:textId="77777777" w:rsidR="00E274B7" w:rsidRDefault="00E274B7" w:rsidP="00E274B7">
      <w:pPr>
        <w:jc w:val="both"/>
      </w:pPr>
      <w:r>
        <w:t xml:space="preserve">Vo vzťahu k § 3 ods. 1 zákona ide o precizovanie existujúceho pojmu „technická norma“, </w:t>
      </w:r>
      <w:r>
        <w:br/>
        <w:t xml:space="preserve">tak aby bolo zrejmé, že technickou normou je medzinárodná norma, európska norma, harmonizovaná norma a národná norma, ktoré sú prijímané do sústavy slovenských technických noriem so značkou STN. Ďalej sa navrhuje doplnenie </w:t>
      </w:r>
      <w:r w:rsidRPr="0044757C">
        <w:t>základ</w:t>
      </w:r>
      <w:r>
        <w:t>ných</w:t>
      </w:r>
      <w:r w:rsidRPr="0044757C">
        <w:t xml:space="preserve"> princíp</w:t>
      </w:r>
      <w:r>
        <w:t>ov tvorby technickej normy</w:t>
      </w:r>
      <w:r w:rsidRPr="0044757C">
        <w:t xml:space="preserve"> ustanovené v nariadení.</w:t>
      </w:r>
      <w:r>
        <w:t xml:space="preserve"> Navrhuje sa doplnenie aj odkazov na nariadenie</w:t>
      </w:r>
      <w:r w:rsidRPr="00EB5F38">
        <w:t xml:space="preserve">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w:t>
      </w:r>
      <w:r>
        <w:br/>
      </w:r>
      <w:r w:rsidRPr="00EB5F38">
        <w:t>a rozhodnutie Európskeho parlamentu a Rady č. 1673/2006/ES (Ú. v. EÚ L 316, 14. 11. 2012) v platnom znení</w:t>
      </w:r>
      <w:r>
        <w:t xml:space="preserve"> (ďalej len „nariadenie“), kde sú bližšie definované predmetné pojmy. Zároveň sa ustanovuje, tak ako doteraz, že technická norma nie je technickým predpisom.</w:t>
      </w:r>
    </w:p>
    <w:p w14:paraId="04845D56" w14:textId="77777777" w:rsidR="00E274B7" w:rsidRDefault="00E274B7" w:rsidP="00E274B7">
      <w:pPr>
        <w:jc w:val="both"/>
        <w:rPr>
          <w:b/>
          <w:bCs/>
        </w:rPr>
      </w:pPr>
    </w:p>
    <w:p w14:paraId="64FD62F0" w14:textId="77777777" w:rsidR="00E274B7" w:rsidRDefault="00E274B7" w:rsidP="00E274B7">
      <w:pPr>
        <w:jc w:val="both"/>
        <w:rPr>
          <w:b/>
          <w:bCs/>
        </w:rPr>
      </w:pPr>
      <w:r w:rsidRPr="00797589">
        <w:rPr>
          <w:b/>
          <w:bCs/>
        </w:rPr>
        <w:t xml:space="preserve">K bodu </w:t>
      </w:r>
      <w:r>
        <w:rPr>
          <w:b/>
          <w:bCs/>
        </w:rPr>
        <w:t>2</w:t>
      </w:r>
    </w:p>
    <w:p w14:paraId="67C981F4" w14:textId="77777777" w:rsidR="00E274B7" w:rsidRPr="007E3771" w:rsidRDefault="00E274B7" w:rsidP="00E274B7">
      <w:pPr>
        <w:jc w:val="both"/>
        <w:rPr>
          <w:bCs/>
        </w:rPr>
      </w:pPr>
      <w:r w:rsidRPr="007E3771">
        <w:rPr>
          <w:bCs/>
        </w:rPr>
        <w:t>Ide o legislatívno-technickú</w:t>
      </w:r>
      <w:r>
        <w:rPr>
          <w:bCs/>
        </w:rPr>
        <w:t xml:space="preserve"> úpravu v nadväznosti na bod 1.</w:t>
      </w:r>
    </w:p>
    <w:p w14:paraId="388B55A4" w14:textId="77777777" w:rsidR="00E274B7" w:rsidRDefault="00E274B7" w:rsidP="00E274B7">
      <w:pPr>
        <w:jc w:val="both"/>
        <w:rPr>
          <w:b/>
          <w:bCs/>
        </w:rPr>
      </w:pPr>
    </w:p>
    <w:p w14:paraId="546152E9" w14:textId="77777777" w:rsidR="00E274B7" w:rsidRDefault="00E274B7" w:rsidP="00E274B7">
      <w:pPr>
        <w:jc w:val="both"/>
        <w:rPr>
          <w:b/>
          <w:bCs/>
        </w:rPr>
      </w:pPr>
      <w:r>
        <w:rPr>
          <w:b/>
          <w:bCs/>
        </w:rPr>
        <w:t>K bodu 3</w:t>
      </w:r>
    </w:p>
    <w:p w14:paraId="34B6A8C9" w14:textId="77777777" w:rsidR="00E274B7" w:rsidRDefault="00E274B7" w:rsidP="00E274B7">
      <w:pPr>
        <w:jc w:val="both"/>
      </w:pPr>
      <w:r w:rsidRPr="00723F85">
        <w:t xml:space="preserve">Navrhuje sa doplnenie nového pojmu „preverovanie slovenskej technickej normy </w:t>
      </w:r>
      <w:r>
        <w:br/>
      </w:r>
      <w:r w:rsidRPr="00723F85">
        <w:t>alebo technickej normalizačnej informácie“, ktorý bol síce v zákone č. 60/2018 Z. z. o technickej normalizácii v znení neskorších predpisov (ďalej len „zákon“) použitý, avšak nebol definovaný. Cieľom preverovania slovenskej technickej normy (ďalej len „STN“) alebo technickej normalizačnej informácie (ďalej len „TNI“) je zistenie, či je STN alebo TNI aktuálna alebo je potrebné zabezpečiť jej revíziu alebo pre jej neaktuálnosť a nemožnosť aktualizovania, jej zrušenie. Prax pravidelných preverovaní vyplýva z vnútorných pokynov medzinárodných normalizačných orgánov a európskych normalizačných organizácií a metodických postupov úradu.</w:t>
      </w:r>
    </w:p>
    <w:p w14:paraId="5E75EF53" w14:textId="77777777" w:rsidR="00E274B7" w:rsidRDefault="00E274B7" w:rsidP="00E274B7">
      <w:pPr>
        <w:jc w:val="both"/>
        <w:rPr>
          <w:b/>
          <w:bCs/>
        </w:rPr>
      </w:pPr>
    </w:p>
    <w:p w14:paraId="6D6B27DB" w14:textId="77777777" w:rsidR="00E274B7" w:rsidRPr="002512C9" w:rsidRDefault="00E274B7" w:rsidP="00E274B7">
      <w:pPr>
        <w:jc w:val="both"/>
        <w:rPr>
          <w:b/>
          <w:bCs/>
        </w:rPr>
      </w:pPr>
      <w:r w:rsidRPr="002512C9">
        <w:rPr>
          <w:b/>
          <w:bCs/>
        </w:rPr>
        <w:t xml:space="preserve">K bodu </w:t>
      </w:r>
      <w:r>
        <w:rPr>
          <w:b/>
          <w:bCs/>
        </w:rPr>
        <w:t>4</w:t>
      </w:r>
    </w:p>
    <w:p w14:paraId="42E4DB31" w14:textId="77777777" w:rsidR="00E274B7" w:rsidRDefault="00E274B7" w:rsidP="00E274B7">
      <w:pPr>
        <w:jc w:val="both"/>
      </w:pPr>
      <w:r>
        <w:t>Uvedená zmena sa navrhuje z dôvodu, že v praxi úrad upravil ď</w:t>
      </w:r>
      <w:r w:rsidRPr="002512C9">
        <w:t>alšie označeni</w:t>
      </w:r>
      <w:r>
        <w:t>a</w:t>
      </w:r>
      <w:r w:rsidRPr="002512C9">
        <w:t>, ktorým</w:t>
      </w:r>
      <w:r>
        <w:t>i</w:t>
      </w:r>
      <w:r w:rsidRPr="002512C9">
        <w:t xml:space="preserve"> </w:t>
      </w:r>
      <w:r>
        <w:br/>
      </w:r>
      <w:r w:rsidRPr="002512C9">
        <w:t>sa môže doplniť značka „STN“ alebo „TNI“</w:t>
      </w:r>
      <w:r>
        <w:t xml:space="preserve"> v metodickom postupe, ktorý vydáva a zverejňuje na svojom webovom sídle.</w:t>
      </w:r>
    </w:p>
    <w:p w14:paraId="60B9D086" w14:textId="77777777" w:rsidR="00E274B7" w:rsidRDefault="00E274B7" w:rsidP="00E274B7">
      <w:pPr>
        <w:jc w:val="both"/>
        <w:rPr>
          <w:b/>
          <w:bCs/>
        </w:rPr>
      </w:pPr>
    </w:p>
    <w:p w14:paraId="538189D5" w14:textId="77777777" w:rsidR="00E274B7" w:rsidRDefault="00E274B7" w:rsidP="00E274B7">
      <w:pPr>
        <w:jc w:val="both"/>
        <w:rPr>
          <w:b/>
          <w:bCs/>
        </w:rPr>
      </w:pPr>
      <w:r>
        <w:rPr>
          <w:b/>
          <w:bCs/>
        </w:rPr>
        <w:t xml:space="preserve">K bodu 5 </w:t>
      </w:r>
    </w:p>
    <w:p w14:paraId="2B919276" w14:textId="77777777" w:rsidR="00E274B7" w:rsidRPr="0008378B" w:rsidRDefault="00E274B7" w:rsidP="00E274B7">
      <w:pPr>
        <w:jc w:val="both"/>
      </w:pPr>
      <w:r w:rsidRPr="00A46B28">
        <w:t xml:space="preserve">Legislatívno-technická </w:t>
      </w:r>
      <w:r>
        <w:t>úprava</w:t>
      </w:r>
      <w:r w:rsidRPr="00A46B28">
        <w:t>.</w:t>
      </w:r>
    </w:p>
    <w:p w14:paraId="0AAC89CB" w14:textId="77777777" w:rsidR="00E274B7" w:rsidRDefault="00E274B7" w:rsidP="00E274B7">
      <w:pPr>
        <w:jc w:val="both"/>
        <w:rPr>
          <w:b/>
          <w:bCs/>
        </w:rPr>
      </w:pPr>
    </w:p>
    <w:p w14:paraId="182EEAD1" w14:textId="77777777" w:rsidR="00E274B7" w:rsidRPr="002512C9" w:rsidRDefault="00E274B7" w:rsidP="00E274B7">
      <w:pPr>
        <w:jc w:val="both"/>
        <w:rPr>
          <w:b/>
          <w:bCs/>
        </w:rPr>
      </w:pPr>
      <w:r w:rsidRPr="002512C9">
        <w:rPr>
          <w:b/>
          <w:bCs/>
        </w:rPr>
        <w:t xml:space="preserve">K bodu </w:t>
      </w:r>
      <w:r>
        <w:rPr>
          <w:b/>
          <w:bCs/>
        </w:rPr>
        <w:t>6</w:t>
      </w:r>
    </w:p>
    <w:p w14:paraId="5AF324FF" w14:textId="77777777" w:rsidR="00E274B7" w:rsidRDefault="00E274B7" w:rsidP="00E274B7">
      <w:pPr>
        <w:jc w:val="both"/>
      </w:pPr>
      <w:r>
        <w:t xml:space="preserve">Pôvodné ustanovenie § 4 zákona bude rozdelené do dvoch samostatných paragrafov ako § 4 </w:t>
      </w:r>
      <w:r>
        <w:br/>
        <w:t>a § 4a. Nové ustanovenie § 4 zákona ustanovuje práva a povinnosti úradu ako ústredného orgánu štátnej správy pre oblasť technickej normalizácie.</w:t>
      </w:r>
    </w:p>
    <w:p w14:paraId="3CDF3902" w14:textId="77777777" w:rsidR="00E274B7" w:rsidRDefault="00E274B7" w:rsidP="00E274B7">
      <w:pPr>
        <w:jc w:val="both"/>
        <w:rPr>
          <w:b/>
          <w:bCs/>
        </w:rPr>
      </w:pPr>
    </w:p>
    <w:p w14:paraId="5A9ACA8E" w14:textId="77777777" w:rsidR="00E274B7" w:rsidRDefault="00E274B7" w:rsidP="00E274B7">
      <w:pPr>
        <w:jc w:val="both"/>
        <w:rPr>
          <w:b/>
          <w:bCs/>
        </w:rPr>
      </w:pPr>
      <w:r w:rsidRPr="005059DD">
        <w:rPr>
          <w:b/>
          <w:bCs/>
        </w:rPr>
        <w:t xml:space="preserve">K bodu </w:t>
      </w:r>
      <w:r>
        <w:rPr>
          <w:b/>
          <w:bCs/>
        </w:rPr>
        <w:t>7</w:t>
      </w:r>
    </w:p>
    <w:p w14:paraId="7F5998B3" w14:textId="77777777" w:rsidR="00E274B7" w:rsidRDefault="00E274B7" w:rsidP="00E274B7">
      <w:pPr>
        <w:jc w:val="both"/>
      </w:pPr>
      <w:r w:rsidRPr="004877C4">
        <w:t xml:space="preserve">Pôvodné ustanovenie § 4 ods. 2 </w:t>
      </w:r>
      <w:r>
        <w:t xml:space="preserve">zákona </w:t>
      </w:r>
      <w:r w:rsidRPr="004877C4">
        <w:t>bolo zmenené na nový samostatný § 4a z dôvodu lepšej prehľadnosti zákon</w:t>
      </w:r>
      <w:r>
        <w:t>a</w:t>
      </w:r>
      <w:r w:rsidRPr="004877C4">
        <w:t>. Nový § 4a</w:t>
      </w:r>
      <w:r>
        <w:t xml:space="preserve"> v návrhu zákona</w:t>
      </w:r>
      <w:r w:rsidRPr="004877C4">
        <w:t xml:space="preserve"> ustanovuje práva a povinnosti slovenského národného normalizačného orgánu, ktorým je v súčasnosti úrad. </w:t>
      </w:r>
    </w:p>
    <w:p w14:paraId="2B44198B" w14:textId="77777777" w:rsidR="00E274B7" w:rsidRDefault="00E274B7" w:rsidP="00E274B7">
      <w:pPr>
        <w:jc w:val="both"/>
      </w:pPr>
      <w:r w:rsidRPr="00347CCD">
        <w:t xml:space="preserve">V ostatných členských štátoch Európskej únie je štandardom, že je technická normalizácia </w:t>
      </w:r>
      <w:r w:rsidRPr="00347CCD">
        <w:lastRenderedPageBreak/>
        <w:t>oddelená od orgánu štátnej správy. Aktuálne znenie zákona neumožňuje</w:t>
      </w:r>
      <w:r>
        <w:t xml:space="preserve"> úradu</w:t>
      </w:r>
      <w:r w:rsidRPr="00347CCD">
        <w:t xml:space="preserve"> poveriť vykonávaním činností v oblasti technickej normalizácie inú právnickú osobu, avšak prax ukázala, že aktuálny spôsob zabezpečovania napríklad poskytovania </w:t>
      </w:r>
      <w:r>
        <w:t>STN a TNI</w:t>
      </w:r>
      <w:r w:rsidRPr="00347CCD">
        <w:t xml:space="preserve"> nie je vyhovujúc</w:t>
      </w:r>
      <w:r>
        <w:t>i</w:t>
      </w:r>
      <w:r w:rsidRPr="00347CCD">
        <w:t>.</w:t>
      </w:r>
      <w:r>
        <w:t xml:space="preserve"> Súčasné zabezpečovanie činností národného normalizačného orgánu v rámci ústredného orgánu štátnej správy</w:t>
      </w:r>
      <w:r w:rsidRPr="006E2635">
        <w:t xml:space="preserve"> považuj</w:t>
      </w:r>
      <w:r>
        <w:t>ú európske normalizačné organizácie</w:t>
      </w:r>
      <w:r w:rsidRPr="006E2635">
        <w:t xml:space="preserve"> CEN </w:t>
      </w:r>
      <w:r>
        <w:br/>
      </w:r>
      <w:r w:rsidRPr="006E2635">
        <w:t>a C</w:t>
      </w:r>
      <w:r>
        <w:t>ENELEC</w:t>
      </w:r>
      <w:r w:rsidRPr="00A46B28">
        <w:t xml:space="preserve"> </w:t>
      </w:r>
      <w:r w:rsidRPr="00E2466F">
        <w:t xml:space="preserve">za krajné riešenie a nie je </w:t>
      </w:r>
      <w:r>
        <w:t>úradu</w:t>
      </w:r>
      <w:r w:rsidRPr="00A46B28">
        <w:t xml:space="preserve"> </w:t>
      </w:r>
      <w:r>
        <w:t>zn</w:t>
      </w:r>
      <w:r w:rsidRPr="00A46B28">
        <w:t>áme, že</w:t>
      </w:r>
      <w:r>
        <w:t xml:space="preserve"> iný člen Európskej únie zabezpečuje výkon činností národného normalizačného orgánu obdobne</w:t>
      </w:r>
      <w:r w:rsidRPr="00E2466F">
        <w:t xml:space="preserve"> ako v</w:t>
      </w:r>
      <w:r>
        <w:t> </w:t>
      </w:r>
      <w:r w:rsidRPr="00E2466F">
        <w:t>s</w:t>
      </w:r>
      <w:r>
        <w:t>účasnosti Slovenská republika</w:t>
      </w:r>
      <w:r w:rsidRPr="00A46B28">
        <w:t xml:space="preserve">. </w:t>
      </w:r>
      <w:r>
        <w:t xml:space="preserve">Úrad môže právnickú osobu vo svojej zakladateľskej pôsobnosti, </w:t>
      </w:r>
      <w:r w:rsidRPr="00422558">
        <w:t xml:space="preserve">ktorá nebola založená za účelom dosahovania zisku (ďalej len „poverená právnická osoba“) </w:t>
      </w:r>
      <w:r>
        <w:t xml:space="preserve">poveriť </w:t>
      </w:r>
      <w:r w:rsidRPr="00422558">
        <w:t>vykonávaním všetkých alebo niektorých činností slovenského národného normalizačného orgánu</w:t>
      </w:r>
      <w:r>
        <w:t xml:space="preserve"> z dôvodu možnosti úradu flexibilnejšie reagovať na požiadavky a potreby odbornej verejnosti v oblasti technickej normalizácie a zvýšenie dostupnosti produktov a služieb technickej normalizácie. Zároveň </w:t>
      </w:r>
      <w:r w:rsidRPr="008D090D">
        <w:t xml:space="preserve">poverenou právnickou osobou môže byť len právnická osoba, v ktorej má úrad rozhodujúci vplyv na strategické ciele, ako aj významné rozhodnutia a úrad nad ňou vykonáva kontrolu obdobnú kontrole, akú vykonáva nad vlastnými organizačnými zložkami. </w:t>
      </w:r>
      <w:r>
        <w:t xml:space="preserve">O tomto poverení musí úrad vydať rozhodnutie, ktorého podmienkou nadobudnutia účinnosti je jeho zverejnenie v Zbierke zákonov Slovenskej </w:t>
      </w:r>
      <w:r w:rsidRPr="00961F9E">
        <w:t>republiky.</w:t>
      </w:r>
    </w:p>
    <w:p w14:paraId="6E94AF8D" w14:textId="77777777" w:rsidR="00E274B7" w:rsidRPr="003C611A" w:rsidRDefault="00E274B7" w:rsidP="00E274B7">
      <w:pPr>
        <w:jc w:val="both"/>
      </w:pPr>
      <w:r>
        <w:t>Poverená právnická osoba, Slovenská legálna metrológia n. o., ktorá môže byť v zmysle návrhu zákona poverená vykonávaním činností v oblasti technickej normalizácie, pôsobí v rezorte úradu dlhodobo (od r. 1994), poskytuje verejnoprospešné služby a funguje na neziskovom základe. Rozhodovací vplyv úradu na riadenie poverenej právnickej osoby, ako aj kontrola a garancia presadzovania záujmov štátu v tejto poverenej právnej osobe je zabezpečená. Úrad v zmysle § 19 ods. 3 zákona č. 213/1997 Z. z.</w:t>
      </w:r>
      <w:r w:rsidRPr="00A761CA">
        <w:t xml:space="preserve"> o neziskových organizáciách poskytujúcich všeobecne prospešné služby</w:t>
      </w:r>
      <w:r>
        <w:t xml:space="preserve"> v znení neskorších predpisov vymenúva nadpolovičnú väčšinu členov správnej rady vrátane predsedu správnej rady. Úrad má zabezpečenú nadpolovičnú väčšinu v orgánoch poverenej právnickej osoby, ako v riadiacom orgáne v správnej rade, tak aj v kontrolnom orgáne v dozornej rade. Návrh zákona</w:t>
      </w:r>
      <w:r w:rsidRPr="004877C4">
        <w:t>, ktorým sa mení a dopĺňa zákon č. 60/2018 Z. z. o technickej normalizácii v znení neskorších predpisov (ďalej len „n</w:t>
      </w:r>
      <w:r>
        <w:t>ávrh zákona“) uvádza kritériá poverenej právnickej osoby a napriek tomu, že v rezorte pôsobí iba 1 organizácia, ktorá spĺňa kritéria, predkladateľ neuvádza konkrétny názov „</w:t>
      </w:r>
      <w:r w:rsidRPr="003C611A">
        <w:t xml:space="preserve">Slovenská legálna metrológia </w:t>
      </w:r>
      <w:proofErr w:type="spellStart"/>
      <w:r w:rsidRPr="003C611A">
        <w:t>n.o</w:t>
      </w:r>
      <w:proofErr w:type="spellEnd"/>
      <w:r w:rsidRPr="003C611A">
        <w:t xml:space="preserve">.“ v návrhu zákona, pretože poverená právnická osoba bude vykonávať nové činnosti, ktoré v súčasnosti nezastrešuje a úrad predpokladá, že ak pristúpi realizácii zámeru túto organizáciu poveriť, príde aj k zmene jej názvu tak, aby názov organizácie odzrkadľoval nové činnosti, za ktoré bude zodpovedná. </w:t>
      </w:r>
    </w:p>
    <w:p w14:paraId="591FAE0E" w14:textId="77777777" w:rsidR="00E274B7" w:rsidRDefault="00E274B7" w:rsidP="00E274B7">
      <w:pPr>
        <w:jc w:val="both"/>
      </w:pPr>
      <w:r>
        <w:t>V</w:t>
      </w:r>
      <w:r w:rsidRPr="003C611A">
        <w:t> </w:t>
      </w:r>
      <w:proofErr w:type="spellStart"/>
      <w:r w:rsidRPr="003C611A">
        <w:t>novonavrhnutom</w:t>
      </w:r>
      <w:proofErr w:type="spellEnd"/>
      <w:r w:rsidRPr="003C611A">
        <w:t xml:space="preserve"> ustanovení § 4a</w:t>
      </w:r>
      <w:r>
        <w:t xml:space="preserve"> návrhu </w:t>
      </w:r>
      <w:r w:rsidRPr="004877C4">
        <w:t>zákona</w:t>
      </w:r>
      <w:r>
        <w:t xml:space="preserve"> </w:t>
      </w:r>
      <w:r w:rsidRPr="003C611A">
        <w:t>sú ustanovené kompetencie slovenského národného normalizačného orgánu a v súlade s § 4b ods. 1</w:t>
      </w:r>
      <w:r>
        <w:t xml:space="preserve"> návrhu zákona,</w:t>
      </w:r>
      <w:r w:rsidRPr="003C611A">
        <w:t xml:space="preserve"> </w:t>
      </w:r>
      <w:r>
        <w:t>úrad</w:t>
      </w:r>
      <w:r w:rsidRPr="003C611A">
        <w:t xml:space="preserve"> r</w:t>
      </w:r>
      <w:r>
        <w:t xml:space="preserve">ozhodne, </w:t>
      </w:r>
      <w:r>
        <w:br/>
        <w:t>či pover</w:t>
      </w:r>
      <w:r w:rsidRPr="003C611A">
        <w:t>í</w:t>
      </w:r>
      <w:r>
        <w:t xml:space="preserve"> poverenú</w:t>
      </w:r>
      <w:r w:rsidRPr="003C611A">
        <w:t xml:space="preserve"> právnickú osobu vykonávaním niektorých týchto činností</w:t>
      </w:r>
      <w:r>
        <w:t xml:space="preserve"> okrem § 4a písm. a) </w:t>
      </w:r>
      <w:r w:rsidRPr="003C611A">
        <w:t xml:space="preserve"> alebo ju poverení vykonávaním v</w:t>
      </w:r>
      <w:r>
        <w:t>šetkých činností, pričom úradu</w:t>
      </w:r>
      <w:r w:rsidRPr="003C611A">
        <w:t xml:space="preserve"> zostane vždy zachované postavenie ostatného ústredného orgánu štátnej správy </w:t>
      </w:r>
      <w:r>
        <w:t xml:space="preserve">pre oblasť technickej normalizácie </w:t>
      </w:r>
      <w:r w:rsidRPr="003C611A">
        <w:t>v zmysle § 30 zákona č. 575/2001 Z. z. o organizácii činnosti vlády a organizácii ústrednej štátnej správy v znení zákona č. 505/2009 Z. z. Rozsah poverenia bude vymedzený v</w:t>
      </w:r>
      <w:r>
        <w:t> rozhodnutí, ktoré musí úrad vydať v súlade s § 4b ods. 3 návrhu</w:t>
      </w:r>
      <w:r w:rsidRPr="003C611A">
        <w:t xml:space="preserve"> zákona. Toto rozhodnutie bude zverejnené aj v Zbierke zákonov Slovenskej republiky. Predpokladá sa, že v prvom kroku bude Slovenská legálna metrológia n. o. poverená výkonom niektorých činností</w:t>
      </w:r>
      <w:r>
        <w:t>,</w:t>
      </w:r>
      <w:r w:rsidRPr="003C611A">
        <w:t xml:space="preserve"> konkrétne tými, ktoré sú uvedené v § 4a písm. </w:t>
      </w:r>
      <w:r>
        <w:t>h</w:t>
      </w:r>
      <w:r w:rsidRPr="003C611A">
        <w:t xml:space="preserve">) až </w:t>
      </w:r>
      <w:r>
        <w:t>l</w:t>
      </w:r>
      <w:r w:rsidRPr="003C611A">
        <w:t>)</w:t>
      </w:r>
      <w:r>
        <w:t xml:space="preserve"> a písm. n), pričom sa jedná o činnosti obchodného charakteru, ktoré nie sú obvyklými činnosťami ústredného orgánu štátnej správy. </w:t>
      </w:r>
    </w:p>
    <w:p w14:paraId="2F65366A" w14:textId="77777777" w:rsidR="00E274B7" w:rsidRDefault="00E274B7" w:rsidP="00E274B7">
      <w:pPr>
        <w:jc w:val="both"/>
      </w:pPr>
      <w:r w:rsidRPr="00961F9E">
        <w:t>Úhrady za činnosti v oblasti technickej normalizácie, ktorými bude poverená</w:t>
      </w:r>
      <w:r>
        <w:t xml:space="preserve"> právnická osoba</w:t>
      </w:r>
      <w:r w:rsidRPr="00961F9E">
        <w:t xml:space="preserve">, bude vyberať </w:t>
      </w:r>
      <w:r>
        <w:t xml:space="preserve">táto </w:t>
      </w:r>
      <w:r w:rsidRPr="00961F9E">
        <w:t>poverená právnická osoba a budú jej príjmom. Zakotvuje sa legislatívna možnosť</w:t>
      </w:r>
      <w:r>
        <w:t xml:space="preserve"> úradu zrušiť poverenie poverenej právnickej osoby, ak by si neplnila riadne povinnosti, ktorými bola poverená. Poverenie právnickej osoby zanikne, ak úrad stratí </w:t>
      </w:r>
      <w:r>
        <w:lastRenderedPageBreak/>
        <w:t>rozhodujúci vplyv nad poverenou právnickou osobou podľa odseku 2. Úrad môže poverenej právnickej osobe poskytovať príspevok na činnosť zo štátneho rozpočtu avšak, ak sa v prvom kroku odčlenenia iba niektoré činností, ktoré sa týkajú najmä poskytovania STN a TNI, úrad poskytovanie príspevku nepredpokladá.</w:t>
      </w:r>
    </w:p>
    <w:p w14:paraId="58E5467D" w14:textId="77777777" w:rsidR="00E274B7" w:rsidRDefault="00E274B7" w:rsidP="00E274B7">
      <w:pPr>
        <w:jc w:val="both"/>
      </w:pPr>
      <w:r>
        <w:t>Zároveň sa p</w:t>
      </w:r>
      <w:r w:rsidRPr="004877C4">
        <w:t>rijat</w:t>
      </w:r>
      <w:r>
        <w:t>í</w:t>
      </w:r>
      <w:r w:rsidRPr="004877C4">
        <w:t>m návrhu zákona</w:t>
      </w:r>
      <w:r>
        <w:t xml:space="preserve"> vytvorí legislatívna možnosť preniesť postavenie slovenského národného normalizačného orgánu na poverenú právnickú osobu </w:t>
      </w:r>
      <w:r w:rsidRPr="00723F85">
        <w:t>v zmysle § 4b ods. 9 návrhu zákona.</w:t>
      </w:r>
    </w:p>
    <w:p w14:paraId="6ECE1C46" w14:textId="77777777" w:rsidR="00E274B7" w:rsidRDefault="00E274B7" w:rsidP="00E274B7">
      <w:pPr>
        <w:jc w:val="both"/>
        <w:rPr>
          <w:b/>
          <w:bCs/>
        </w:rPr>
      </w:pPr>
    </w:p>
    <w:p w14:paraId="741F94B9" w14:textId="77777777" w:rsidR="00E274B7" w:rsidRPr="00F43FB1" w:rsidRDefault="00E274B7" w:rsidP="00E274B7">
      <w:pPr>
        <w:jc w:val="both"/>
        <w:rPr>
          <w:b/>
          <w:bCs/>
        </w:rPr>
      </w:pPr>
      <w:r w:rsidRPr="00F43FB1">
        <w:rPr>
          <w:b/>
          <w:bCs/>
        </w:rPr>
        <w:t xml:space="preserve">K bodu </w:t>
      </w:r>
      <w:r>
        <w:rPr>
          <w:b/>
          <w:bCs/>
        </w:rPr>
        <w:t>8</w:t>
      </w:r>
    </w:p>
    <w:p w14:paraId="7A99819A" w14:textId="77777777" w:rsidR="00E274B7" w:rsidRDefault="00E274B7" w:rsidP="00E274B7">
      <w:pPr>
        <w:jc w:val="both"/>
      </w:pPr>
      <w:r w:rsidRPr="00723F85">
        <w:t>Ide o legislatívno-technickú úpravu v nadväznosti na úpravu ustanovenia § 4a písm. c) návrhu zákona.</w:t>
      </w:r>
      <w:r>
        <w:t xml:space="preserve">  </w:t>
      </w:r>
    </w:p>
    <w:p w14:paraId="6E0DEFA6" w14:textId="77777777" w:rsidR="00E274B7" w:rsidRDefault="00E274B7" w:rsidP="00E274B7">
      <w:pPr>
        <w:jc w:val="both"/>
        <w:rPr>
          <w:b/>
          <w:bCs/>
        </w:rPr>
      </w:pPr>
    </w:p>
    <w:p w14:paraId="27AF9324" w14:textId="77777777" w:rsidR="00E274B7" w:rsidRDefault="00E274B7" w:rsidP="00E274B7">
      <w:pPr>
        <w:jc w:val="both"/>
        <w:rPr>
          <w:b/>
          <w:bCs/>
        </w:rPr>
      </w:pPr>
      <w:r w:rsidRPr="00965E04">
        <w:rPr>
          <w:b/>
          <w:bCs/>
        </w:rPr>
        <w:t xml:space="preserve">K bodu </w:t>
      </w:r>
      <w:r>
        <w:rPr>
          <w:b/>
          <w:bCs/>
        </w:rPr>
        <w:t>9</w:t>
      </w:r>
    </w:p>
    <w:p w14:paraId="15AC8BD8" w14:textId="77777777" w:rsidR="00E274B7" w:rsidRDefault="00E274B7" w:rsidP="00E274B7">
      <w:pPr>
        <w:jc w:val="both"/>
      </w:pPr>
      <w:r>
        <w:t>Ide o legislatívno-technickú úpravu v nadväznosti na vytvorenie legislatívnej možnosti poveriť vykonávaním niektorých alebo všetkých činností slovenského národného normalizačného orgánu poverenú právnickú osobu. Ak dôjde k preneseniu postavenia slovenského národného normalizačného orgánu z úradu na poverenú právnickú osobu, Rada pre technickú normalizáciu (ďalej len RTN“), bude jej poradným orgánom.</w:t>
      </w:r>
    </w:p>
    <w:p w14:paraId="177DA70D" w14:textId="77777777" w:rsidR="00E274B7" w:rsidRDefault="00E274B7" w:rsidP="00E274B7">
      <w:pPr>
        <w:jc w:val="both"/>
        <w:rPr>
          <w:b/>
          <w:bCs/>
        </w:rPr>
      </w:pPr>
    </w:p>
    <w:p w14:paraId="4A7E5F6F" w14:textId="77777777" w:rsidR="00E274B7" w:rsidRPr="004C6609" w:rsidRDefault="00E274B7" w:rsidP="00E274B7">
      <w:pPr>
        <w:jc w:val="both"/>
        <w:rPr>
          <w:b/>
          <w:bCs/>
        </w:rPr>
      </w:pPr>
      <w:r w:rsidRPr="004C6609">
        <w:rPr>
          <w:b/>
          <w:bCs/>
        </w:rPr>
        <w:t>K bodu 1</w:t>
      </w:r>
      <w:r>
        <w:rPr>
          <w:b/>
          <w:bCs/>
        </w:rPr>
        <w:t>0</w:t>
      </w:r>
    </w:p>
    <w:p w14:paraId="6D200AA0" w14:textId="77777777" w:rsidR="00E274B7" w:rsidRDefault="00E274B7" w:rsidP="00E274B7">
      <w:pPr>
        <w:jc w:val="both"/>
      </w:pPr>
      <w:r>
        <w:t>Ide o legislatívno-technickú úpravu v nadväznosti na body 6 a 7.</w:t>
      </w:r>
    </w:p>
    <w:p w14:paraId="01448C26" w14:textId="77777777" w:rsidR="00E274B7" w:rsidRDefault="00E274B7" w:rsidP="00E274B7">
      <w:pPr>
        <w:jc w:val="both"/>
        <w:rPr>
          <w:b/>
          <w:bCs/>
        </w:rPr>
      </w:pPr>
    </w:p>
    <w:p w14:paraId="3DC13032" w14:textId="77777777" w:rsidR="00E274B7" w:rsidRDefault="00E274B7" w:rsidP="00E274B7">
      <w:pPr>
        <w:jc w:val="both"/>
        <w:rPr>
          <w:b/>
          <w:bCs/>
        </w:rPr>
      </w:pPr>
      <w:r w:rsidRPr="0080447D">
        <w:rPr>
          <w:b/>
          <w:bCs/>
        </w:rPr>
        <w:t>K bodu 1</w:t>
      </w:r>
      <w:r>
        <w:rPr>
          <w:b/>
          <w:bCs/>
        </w:rPr>
        <w:t>1</w:t>
      </w:r>
    </w:p>
    <w:p w14:paraId="3762D651" w14:textId="77777777" w:rsidR="00E274B7" w:rsidRDefault="00E274B7" w:rsidP="00E274B7">
      <w:pPr>
        <w:jc w:val="both"/>
      </w:pPr>
      <w:r w:rsidRPr="0080447D">
        <w:t xml:space="preserve">Kritériá sú stanovené európskymi normalizačnými organizáciami (napr. CEN, CENELEC), ktoré kontrolujú ich splnenie zo strany národných normalizačných organizácii, ktoré sú ich členom, a preto nemôže RTN posudzovať, či úrad tieto kritériá spĺňa. RTN dohliada na činnosť </w:t>
      </w:r>
      <w:r>
        <w:t>slovenského národného normalizačného orgánu</w:t>
      </w:r>
      <w:r w:rsidRPr="0080447D">
        <w:t xml:space="preserve"> pri plnení úloh </w:t>
      </w:r>
      <w:r w:rsidRPr="006E158C">
        <w:t>podľa § 5 ods. 1 písm. a) návrhu</w:t>
      </w:r>
      <w:r>
        <w:t xml:space="preserve"> </w:t>
      </w:r>
      <w:r w:rsidRPr="0080447D">
        <w:t xml:space="preserve">zákona, a teda kontroluje plnenie povinností </w:t>
      </w:r>
      <w:r>
        <w:t>slovenského národného normalizačného orgánu</w:t>
      </w:r>
      <w:r w:rsidRPr="0080447D">
        <w:t xml:space="preserve">, ktoré mu </w:t>
      </w:r>
      <w:r>
        <w:t>vyplývajú z členstva v európskej normalizačnej organizácii</w:t>
      </w:r>
      <w:r w:rsidRPr="0080447D">
        <w:t xml:space="preserve"> alebo medzinárodnom normalizačnom orgáne.</w:t>
      </w:r>
    </w:p>
    <w:p w14:paraId="65C4B2CC" w14:textId="77777777" w:rsidR="00E274B7" w:rsidRDefault="00E274B7" w:rsidP="00E274B7">
      <w:pPr>
        <w:jc w:val="both"/>
        <w:rPr>
          <w:b/>
          <w:bCs/>
        </w:rPr>
      </w:pPr>
    </w:p>
    <w:p w14:paraId="460C1FFD" w14:textId="77777777" w:rsidR="00E274B7" w:rsidRPr="00B57E90" w:rsidRDefault="00E274B7" w:rsidP="00E274B7">
      <w:pPr>
        <w:jc w:val="both"/>
        <w:rPr>
          <w:b/>
          <w:bCs/>
        </w:rPr>
      </w:pPr>
      <w:r w:rsidRPr="00B57E90">
        <w:rPr>
          <w:b/>
          <w:bCs/>
        </w:rPr>
        <w:t>K bodu 1</w:t>
      </w:r>
      <w:r>
        <w:rPr>
          <w:b/>
          <w:bCs/>
        </w:rPr>
        <w:t>2</w:t>
      </w:r>
    </w:p>
    <w:p w14:paraId="5A340B9E" w14:textId="77777777" w:rsidR="00E274B7" w:rsidRDefault="00E274B7" w:rsidP="00E274B7">
      <w:pPr>
        <w:jc w:val="both"/>
      </w:pPr>
      <w:r w:rsidRPr="00B57E90">
        <w:t>Ide o precizovanie usta</w:t>
      </w:r>
      <w:r>
        <w:t>novenia zákona, nakoľko RTN schvaľuje</w:t>
      </w:r>
      <w:r w:rsidRPr="00B57E90">
        <w:t xml:space="preserve"> aj kritéria na tvorbu TNI v štátnom jazyku.</w:t>
      </w:r>
    </w:p>
    <w:p w14:paraId="19AE9D05" w14:textId="77777777" w:rsidR="00E274B7" w:rsidRDefault="00E274B7" w:rsidP="00E274B7">
      <w:pPr>
        <w:jc w:val="both"/>
      </w:pPr>
    </w:p>
    <w:p w14:paraId="5ACA7C84" w14:textId="77777777" w:rsidR="00E274B7" w:rsidRPr="00DD6500" w:rsidRDefault="00E274B7" w:rsidP="00E274B7">
      <w:pPr>
        <w:jc w:val="both"/>
        <w:rPr>
          <w:b/>
          <w:bCs/>
        </w:rPr>
      </w:pPr>
      <w:r w:rsidRPr="00DD6500">
        <w:rPr>
          <w:b/>
          <w:bCs/>
        </w:rPr>
        <w:t>K bodu 1</w:t>
      </w:r>
      <w:r>
        <w:rPr>
          <w:b/>
          <w:bCs/>
        </w:rPr>
        <w:t>3</w:t>
      </w:r>
    </w:p>
    <w:p w14:paraId="2517BA88" w14:textId="77777777" w:rsidR="00E274B7" w:rsidRDefault="00E274B7" w:rsidP="00E274B7">
      <w:pPr>
        <w:jc w:val="both"/>
      </w:pPr>
      <w:r w:rsidRPr="00DD6500">
        <w:t xml:space="preserve">Úlohou RTN je okrem iného zabezpečiť aj účasť zainteresovaných strán, ktoré tvoria </w:t>
      </w:r>
      <w:r>
        <w:t>odbornú</w:t>
      </w:r>
      <w:r w:rsidRPr="00DD6500">
        <w:t xml:space="preserve"> verejnosť, ktorej sa predovšetkým technická normalizácia dotýka</w:t>
      </w:r>
      <w:r>
        <w:t>,</w:t>
      </w:r>
      <w:r w:rsidRPr="00DD6500">
        <w:t xml:space="preserve"> a ktoré majú najväčší záujem na jej rozvíjaní a riadnom fungovaní.</w:t>
      </w:r>
    </w:p>
    <w:p w14:paraId="1A5BC06F" w14:textId="77777777" w:rsidR="00E274B7" w:rsidRDefault="00E274B7" w:rsidP="00E274B7">
      <w:pPr>
        <w:jc w:val="both"/>
        <w:rPr>
          <w:b/>
          <w:bCs/>
        </w:rPr>
      </w:pPr>
    </w:p>
    <w:p w14:paraId="4CF231AC" w14:textId="77777777" w:rsidR="00E274B7" w:rsidRPr="00F86598" w:rsidRDefault="00E274B7" w:rsidP="00E274B7">
      <w:pPr>
        <w:jc w:val="both"/>
        <w:rPr>
          <w:b/>
          <w:bCs/>
        </w:rPr>
      </w:pPr>
      <w:r w:rsidRPr="00F86598">
        <w:rPr>
          <w:b/>
          <w:bCs/>
        </w:rPr>
        <w:t>K bodu 1</w:t>
      </w:r>
      <w:r>
        <w:rPr>
          <w:b/>
          <w:bCs/>
        </w:rPr>
        <w:t>4</w:t>
      </w:r>
    </w:p>
    <w:p w14:paraId="02687B0A" w14:textId="77777777" w:rsidR="00E274B7" w:rsidRDefault="00E274B7" w:rsidP="00E274B7">
      <w:pPr>
        <w:jc w:val="both"/>
      </w:pPr>
      <w:r w:rsidRPr="00F86598">
        <w:t xml:space="preserve">Ide o precizovanie textu predmetného ustanovenia, nakoľko RTN </w:t>
      </w:r>
      <w:r>
        <w:t xml:space="preserve">v skutočnosti </w:t>
      </w:r>
      <w:r w:rsidRPr="00F86598">
        <w:t xml:space="preserve">nehodnotí každý podnet odbornej verejnosti, ale vyjadruje sa k ročnému plánu tvorby pôvodných STN a pôvodných TNI, ktoré </w:t>
      </w:r>
      <w:r>
        <w:t>sa</w:t>
      </w:r>
      <w:r w:rsidRPr="00F86598">
        <w:t xml:space="preserve"> predklad</w:t>
      </w:r>
      <w:r>
        <w:t>ajú</w:t>
      </w:r>
      <w:r w:rsidRPr="00F86598">
        <w:t xml:space="preserve"> RTN na vyjadrenie do konca januára každého kalendárneho roka.</w:t>
      </w:r>
    </w:p>
    <w:p w14:paraId="7D44E327" w14:textId="77777777" w:rsidR="00E274B7" w:rsidRDefault="00E274B7" w:rsidP="00E274B7">
      <w:pPr>
        <w:jc w:val="both"/>
      </w:pPr>
    </w:p>
    <w:p w14:paraId="56CB5C09" w14:textId="77777777" w:rsidR="00E274B7" w:rsidRPr="00E30F63" w:rsidRDefault="00E274B7" w:rsidP="00E274B7">
      <w:pPr>
        <w:jc w:val="both"/>
        <w:rPr>
          <w:b/>
          <w:bCs/>
        </w:rPr>
      </w:pPr>
      <w:r w:rsidRPr="00E30F63">
        <w:rPr>
          <w:b/>
          <w:bCs/>
        </w:rPr>
        <w:t>K bodu 1</w:t>
      </w:r>
      <w:r>
        <w:rPr>
          <w:b/>
          <w:bCs/>
        </w:rPr>
        <w:t>5</w:t>
      </w:r>
    </w:p>
    <w:p w14:paraId="5296A268" w14:textId="77777777" w:rsidR="00E274B7" w:rsidRPr="00937869" w:rsidRDefault="00E274B7" w:rsidP="00E274B7">
      <w:pPr>
        <w:jc w:val="both"/>
      </w:pPr>
      <w:r w:rsidRPr="00937869">
        <w:t>Technické komisie si môž</w:t>
      </w:r>
      <w:r>
        <w:t>u</w:t>
      </w:r>
      <w:r w:rsidRPr="00937869">
        <w:t xml:space="preserve"> v prípade potreby vytvoriť ad hoc pracovné orgány, ktorými </w:t>
      </w:r>
      <w:r>
        <w:br/>
      </w:r>
      <w:r w:rsidRPr="00937869">
        <w:t>sú pracovné skupiny, ktoré riešia čiastkové úlohy v pôsobnosti technickej komisie (napr. tvorba pôvodnej STN).</w:t>
      </w:r>
    </w:p>
    <w:p w14:paraId="77E14126" w14:textId="77777777" w:rsidR="00E274B7" w:rsidRDefault="00E274B7" w:rsidP="00E274B7">
      <w:pPr>
        <w:jc w:val="both"/>
      </w:pPr>
      <w:r w:rsidRPr="00937869">
        <w:lastRenderedPageBreak/>
        <w:t xml:space="preserve">Ak neexistuje technická komisia pre určitú oblasť, ktorá je predmetom </w:t>
      </w:r>
      <w:r>
        <w:t>tvorby STN alebo TNI</w:t>
      </w:r>
      <w:r w:rsidRPr="00937869">
        <w:t xml:space="preserve">, tak </w:t>
      </w:r>
      <w:r>
        <w:t>slovenský národný normalizačný orgán</w:t>
      </w:r>
      <w:r w:rsidRPr="00937869">
        <w:t xml:space="preserve"> vytvára projektovú komisiu, ktorá pracuje počas tvorby </w:t>
      </w:r>
      <w:r>
        <w:t>STN alebo TNI</w:t>
      </w:r>
      <w:r w:rsidRPr="00937869">
        <w:t>. Projektová komisia ukončuje svoju činnosť dňom oznámenia prijatia normalizačného dokumentu do sústavy slovenských technických noriem.</w:t>
      </w:r>
    </w:p>
    <w:p w14:paraId="178D590D" w14:textId="77777777" w:rsidR="00E274B7" w:rsidRDefault="00E274B7" w:rsidP="00E274B7">
      <w:pPr>
        <w:jc w:val="both"/>
        <w:rPr>
          <w:b/>
          <w:bCs/>
        </w:rPr>
      </w:pPr>
    </w:p>
    <w:p w14:paraId="249E0025" w14:textId="77777777" w:rsidR="00E274B7" w:rsidRPr="00306CAE" w:rsidRDefault="00E274B7" w:rsidP="00E274B7">
      <w:pPr>
        <w:jc w:val="both"/>
        <w:rPr>
          <w:b/>
          <w:bCs/>
        </w:rPr>
      </w:pPr>
      <w:r w:rsidRPr="00306CAE">
        <w:rPr>
          <w:b/>
          <w:bCs/>
        </w:rPr>
        <w:t>K bodu 1</w:t>
      </w:r>
      <w:r>
        <w:rPr>
          <w:b/>
          <w:bCs/>
        </w:rPr>
        <w:t>6</w:t>
      </w:r>
    </w:p>
    <w:p w14:paraId="5C785CAA" w14:textId="77777777" w:rsidR="00E274B7" w:rsidRDefault="00E274B7" w:rsidP="00E274B7">
      <w:pPr>
        <w:jc w:val="both"/>
      </w:pPr>
      <w:r>
        <w:t>Ide o legislatívno-technickú úpravu v nadväznosti na bod 7.</w:t>
      </w:r>
    </w:p>
    <w:p w14:paraId="1087BBB4" w14:textId="77777777" w:rsidR="00E274B7" w:rsidRDefault="00E274B7" w:rsidP="00E274B7">
      <w:pPr>
        <w:jc w:val="both"/>
        <w:rPr>
          <w:b/>
          <w:bCs/>
        </w:rPr>
      </w:pPr>
    </w:p>
    <w:p w14:paraId="4238A8FB" w14:textId="77777777" w:rsidR="00E274B7" w:rsidRPr="000E3A1F" w:rsidRDefault="00E274B7" w:rsidP="00E274B7">
      <w:pPr>
        <w:jc w:val="both"/>
        <w:rPr>
          <w:b/>
          <w:bCs/>
        </w:rPr>
      </w:pPr>
      <w:r w:rsidRPr="000E3A1F">
        <w:rPr>
          <w:b/>
          <w:bCs/>
        </w:rPr>
        <w:t>K bodu 1</w:t>
      </w:r>
      <w:r>
        <w:rPr>
          <w:b/>
          <w:bCs/>
        </w:rPr>
        <w:t>7</w:t>
      </w:r>
    </w:p>
    <w:p w14:paraId="12B76EB1" w14:textId="77777777" w:rsidR="00E274B7" w:rsidRDefault="00E274B7" w:rsidP="00E274B7">
      <w:pPr>
        <w:jc w:val="both"/>
      </w:pPr>
      <w:r w:rsidRPr="004B2CC9">
        <w:t xml:space="preserve">Legislatívno-technická úprava v nadväznosti na </w:t>
      </w:r>
      <w:r>
        <w:t xml:space="preserve">nové znenie </w:t>
      </w:r>
      <w:r w:rsidRPr="004B2CC9">
        <w:t>ustanovenia § 5 ods. 1 písm. f) zákona (zavedenie vypustenej skratky).</w:t>
      </w:r>
    </w:p>
    <w:p w14:paraId="221E370C" w14:textId="77777777" w:rsidR="00E274B7" w:rsidRDefault="00E274B7" w:rsidP="00E274B7">
      <w:pPr>
        <w:jc w:val="both"/>
        <w:rPr>
          <w:b/>
          <w:bCs/>
        </w:rPr>
      </w:pPr>
    </w:p>
    <w:p w14:paraId="7C328A6B" w14:textId="77777777" w:rsidR="00E274B7" w:rsidRPr="006E158C" w:rsidRDefault="00E274B7" w:rsidP="00E274B7">
      <w:pPr>
        <w:jc w:val="both"/>
        <w:rPr>
          <w:b/>
          <w:bCs/>
        </w:rPr>
      </w:pPr>
      <w:r w:rsidRPr="006E158C">
        <w:rPr>
          <w:b/>
          <w:bCs/>
        </w:rPr>
        <w:t xml:space="preserve">K bodu </w:t>
      </w:r>
      <w:r>
        <w:rPr>
          <w:b/>
          <w:bCs/>
        </w:rPr>
        <w:t>18</w:t>
      </w:r>
    </w:p>
    <w:p w14:paraId="39F51A84" w14:textId="77777777" w:rsidR="00E274B7" w:rsidRPr="006E158C" w:rsidRDefault="00E274B7" w:rsidP="00E274B7">
      <w:pPr>
        <w:jc w:val="both"/>
      </w:pPr>
      <w:r w:rsidRPr="006E158C">
        <w:t>Úprava sa navrhuje aj z dôvodu, že pojem „iná technická norma“ zahŕňa aj pojem „medzinárodná norma“.</w:t>
      </w:r>
    </w:p>
    <w:p w14:paraId="0B07064F" w14:textId="77777777" w:rsidR="00E274B7" w:rsidRDefault="00E274B7" w:rsidP="00E274B7">
      <w:pPr>
        <w:jc w:val="both"/>
        <w:rPr>
          <w:b/>
          <w:bCs/>
        </w:rPr>
      </w:pPr>
    </w:p>
    <w:p w14:paraId="2789BBB3" w14:textId="77777777" w:rsidR="00E274B7" w:rsidRPr="006E158C" w:rsidRDefault="00E274B7" w:rsidP="00E274B7">
      <w:pPr>
        <w:jc w:val="both"/>
        <w:rPr>
          <w:b/>
          <w:bCs/>
        </w:rPr>
      </w:pPr>
      <w:r w:rsidRPr="006E158C">
        <w:rPr>
          <w:b/>
          <w:bCs/>
        </w:rPr>
        <w:t xml:space="preserve">K bodu </w:t>
      </w:r>
      <w:r>
        <w:rPr>
          <w:b/>
          <w:bCs/>
        </w:rPr>
        <w:t>19</w:t>
      </w:r>
    </w:p>
    <w:p w14:paraId="69F281F0" w14:textId="77777777" w:rsidR="00E274B7" w:rsidRPr="006E158C" w:rsidRDefault="00E274B7" w:rsidP="00E274B7">
      <w:pPr>
        <w:jc w:val="both"/>
        <w:rPr>
          <w:b/>
          <w:bCs/>
        </w:rPr>
      </w:pPr>
      <w:r w:rsidRPr="006E158C">
        <w:t xml:space="preserve">Ide o legislatívno-technickú úpravu v nadväznosti na bod </w:t>
      </w:r>
      <w:r>
        <w:t>7</w:t>
      </w:r>
      <w:r w:rsidRPr="006E158C">
        <w:t>.</w:t>
      </w:r>
    </w:p>
    <w:p w14:paraId="176FD212" w14:textId="77777777" w:rsidR="00E274B7" w:rsidRDefault="00E274B7" w:rsidP="00E274B7">
      <w:pPr>
        <w:jc w:val="both"/>
        <w:rPr>
          <w:b/>
          <w:bCs/>
        </w:rPr>
      </w:pPr>
    </w:p>
    <w:p w14:paraId="37DAB603" w14:textId="77777777" w:rsidR="00E274B7" w:rsidRPr="006E158C" w:rsidRDefault="00E274B7" w:rsidP="00E274B7">
      <w:pPr>
        <w:jc w:val="both"/>
        <w:rPr>
          <w:b/>
          <w:bCs/>
        </w:rPr>
      </w:pPr>
      <w:r w:rsidRPr="006E158C">
        <w:rPr>
          <w:b/>
          <w:bCs/>
        </w:rPr>
        <w:t>K bodu 2</w:t>
      </w:r>
      <w:r>
        <w:rPr>
          <w:b/>
          <w:bCs/>
        </w:rPr>
        <w:t>0</w:t>
      </w:r>
    </w:p>
    <w:p w14:paraId="5C8550C7" w14:textId="77777777" w:rsidR="00E274B7" w:rsidRDefault="00E274B7" w:rsidP="00E274B7">
      <w:pPr>
        <w:jc w:val="both"/>
      </w:pPr>
      <w:r w:rsidRPr="00684F9F">
        <w:t>Ide o legislatívno-technickú úpravu v súvislosti so zmenou vykonanou v ustanovení § 6 (bod 1</w:t>
      </w:r>
      <w:r>
        <w:t>5</w:t>
      </w:r>
      <w:r w:rsidRPr="00684F9F">
        <w:t>).</w:t>
      </w:r>
    </w:p>
    <w:p w14:paraId="0178CB46" w14:textId="77777777" w:rsidR="00E274B7" w:rsidRDefault="00E274B7" w:rsidP="00E274B7">
      <w:pPr>
        <w:jc w:val="both"/>
        <w:rPr>
          <w:b/>
          <w:bCs/>
        </w:rPr>
      </w:pPr>
    </w:p>
    <w:p w14:paraId="121ADBE7" w14:textId="77777777" w:rsidR="00E274B7" w:rsidRPr="00684F9F" w:rsidRDefault="00E274B7" w:rsidP="00E274B7">
      <w:pPr>
        <w:jc w:val="both"/>
        <w:rPr>
          <w:b/>
          <w:bCs/>
        </w:rPr>
      </w:pPr>
      <w:r w:rsidRPr="00684F9F">
        <w:rPr>
          <w:b/>
          <w:bCs/>
        </w:rPr>
        <w:t>K bodu 2</w:t>
      </w:r>
      <w:r>
        <w:rPr>
          <w:b/>
          <w:bCs/>
        </w:rPr>
        <w:t>1</w:t>
      </w:r>
    </w:p>
    <w:p w14:paraId="2B72EB7C" w14:textId="77777777" w:rsidR="00E274B7" w:rsidRDefault="00E274B7" w:rsidP="00E274B7">
      <w:pPr>
        <w:jc w:val="both"/>
      </w:pPr>
      <w:r>
        <w:t xml:space="preserve">Úrad môže zodpovedať len za jazykovú a terminologickú správnosť pôvodných STN a pôvodných TNI, nakoľko ostatné technické normy sa prekladajú z cudzieho jazyka a v prípade nejasností alebo rozporov, je potrebné vždy vychádzať z originálneho znenia danej technickej normy. </w:t>
      </w:r>
    </w:p>
    <w:p w14:paraId="72C0CCB9" w14:textId="77777777" w:rsidR="00E274B7" w:rsidRDefault="00E274B7" w:rsidP="00E274B7">
      <w:pPr>
        <w:jc w:val="both"/>
        <w:rPr>
          <w:b/>
          <w:bCs/>
        </w:rPr>
      </w:pPr>
    </w:p>
    <w:p w14:paraId="697AC124" w14:textId="77777777" w:rsidR="00E274B7" w:rsidRDefault="00E274B7" w:rsidP="00E274B7">
      <w:pPr>
        <w:jc w:val="both"/>
        <w:rPr>
          <w:b/>
          <w:bCs/>
        </w:rPr>
      </w:pPr>
      <w:r>
        <w:rPr>
          <w:b/>
          <w:bCs/>
        </w:rPr>
        <w:t>K bodu 22</w:t>
      </w:r>
    </w:p>
    <w:p w14:paraId="255061EA" w14:textId="77777777" w:rsidR="00E274B7" w:rsidRPr="00A46B28" w:rsidRDefault="00E274B7" w:rsidP="00E274B7">
      <w:pPr>
        <w:jc w:val="both"/>
      </w:pPr>
      <w:r w:rsidRPr="00A46B28">
        <w:t xml:space="preserve">V § 10 ods. 2 zákona sa navrhuje doplnenie lehoty „bezodkladne“ za účelom zabezpečenia splnenia danej povinnosti a taktiež z dôvodu jednoznačnosti a predchádzaniu problémom </w:t>
      </w:r>
      <w:r>
        <w:br/>
      </w:r>
      <w:r w:rsidRPr="00A46B28">
        <w:t>v aplikačnej praxi.</w:t>
      </w:r>
    </w:p>
    <w:p w14:paraId="17C90DB3" w14:textId="77777777" w:rsidR="00E274B7" w:rsidRDefault="00E274B7" w:rsidP="00E274B7">
      <w:pPr>
        <w:jc w:val="both"/>
        <w:rPr>
          <w:b/>
          <w:bCs/>
        </w:rPr>
      </w:pPr>
    </w:p>
    <w:p w14:paraId="171F4EA4" w14:textId="77777777" w:rsidR="00E274B7" w:rsidRPr="00C41660" w:rsidRDefault="00E274B7" w:rsidP="00E274B7">
      <w:pPr>
        <w:jc w:val="both"/>
        <w:rPr>
          <w:b/>
          <w:bCs/>
        </w:rPr>
      </w:pPr>
      <w:r>
        <w:rPr>
          <w:b/>
          <w:bCs/>
        </w:rPr>
        <w:t>K bodom</w:t>
      </w:r>
      <w:r w:rsidRPr="00C41660">
        <w:rPr>
          <w:b/>
          <w:bCs/>
        </w:rPr>
        <w:t xml:space="preserve"> 2</w:t>
      </w:r>
      <w:r>
        <w:rPr>
          <w:b/>
          <w:bCs/>
        </w:rPr>
        <w:t>3 a 24</w:t>
      </w:r>
    </w:p>
    <w:p w14:paraId="2718AF6A" w14:textId="77777777" w:rsidR="00E274B7" w:rsidRDefault="00E274B7" w:rsidP="00E274B7">
      <w:pPr>
        <w:jc w:val="both"/>
      </w:pPr>
      <w:r w:rsidRPr="00684F9F">
        <w:t>Ide o legislatívno-technickú úpravu</w:t>
      </w:r>
      <w:r>
        <w:t xml:space="preserve"> v nadväznosti na body 6 a 7.</w:t>
      </w:r>
    </w:p>
    <w:p w14:paraId="790E3412" w14:textId="77777777" w:rsidR="00E274B7" w:rsidRDefault="00E274B7" w:rsidP="00E274B7">
      <w:pPr>
        <w:jc w:val="both"/>
        <w:rPr>
          <w:b/>
          <w:bCs/>
        </w:rPr>
      </w:pPr>
    </w:p>
    <w:p w14:paraId="30F08A14" w14:textId="77777777" w:rsidR="00E274B7" w:rsidRDefault="00E274B7" w:rsidP="00E274B7">
      <w:pPr>
        <w:jc w:val="both"/>
        <w:rPr>
          <w:b/>
          <w:bCs/>
        </w:rPr>
      </w:pPr>
      <w:r w:rsidRPr="00C41660">
        <w:rPr>
          <w:b/>
          <w:bCs/>
        </w:rPr>
        <w:t xml:space="preserve">K bodu </w:t>
      </w:r>
      <w:r w:rsidRPr="00353661">
        <w:rPr>
          <w:b/>
          <w:bCs/>
        </w:rPr>
        <w:t>2</w:t>
      </w:r>
      <w:r>
        <w:rPr>
          <w:b/>
          <w:bCs/>
        </w:rPr>
        <w:t>5</w:t>
      </w:r>
    </w:p>
    <w:p w14:paraId="16EDFEB4" w14:textId="77777777" w:rsidR="00E274B7" w:rsidRPr="007E3771" w:rsidRDefault="00E274B7" w:rsidP="00E274B7">
      <w:pPr>
        <w:jc w:val="both"/>
        <w:rPr>
          <w:bCs/>
        </w:rPr>
      </w:pPr>
      <w:r w:rsidRPr="007E3771">
        <w:rPr>
          <w:bCs/>
        </w:rPr>
        <w:t>Ide o legislatívno-technickú</w:t>
      </w:r>
      <w:r>
        <w:rPr>
          <w:bCs/>
        </w:rPr>
        <w:t xml:space="preserve"> úpravu v nadväznosti na bod 2.</w:t>
      </w:r>
    </w:p>
    <w:p w14:paraId="43510646" w14:textId="77777777" w:rsidR="00E274B7" w:rsidRDefault="00E274B7" w:rsidP="00E274B7">
      <w:pPr>
        <w:jc w:val="both"/>
        <w:rPr>
          <w:b/>
          <w:bCs/>
        </w:rPr>
      </w:pPr>
    </w:p>
    <w:p w14:paraId="166A7ED4" w14:textId="77777777" w:rsidR="00E274B7" w:rsidRPr="006E158C" w:rsidRDefault="00E274B7" w:rsidP="00E274B7">
      <w:pPr>
        <w:jc w:val="both"/>
        <w:rPr>
          <w:b/>
          <w:bCs/>
        </w:rPr>
      </w:pPr>
      <w:r>
        <w:rPr>
          <w:b/>
          <w:bCs/>
        </w:rPr>
        <w:t>K bodu 26</w:t>
      </w:r>
    </w:p>
    <w:p w14:paraId="0E9044DD" w14:textId="77777777" w:rsidR="00E274B7" w:rsidRDefault="00E274B7" w:rsidP="00E274B7">
      <w:pPr>
        <w:jc w:val="both"/>
      </w:pPr>
      <w:r>
        <w:t>Ide o legislatívno-technickú úpravu v súlade s bodom 5.2. Legislatívnych pravidiel vlády Slovenskej republiky.</w:t>
      </w:r>
    </w:p>
    <w:p w14:paraId="4FAE8E74" w14:textId="77777777" w:rsidR="00E274B7" w:rsidRDefault="00E274B7" w:rsidP="00E274B7">
      <w:pPr>
        <w:jc w:val="both"/>
        <w:rPr>
          <w:b/>
          <w:bCs/>
        </w:rPr>
      </w:pPr>
    </w:p>
    <w:p w14:paraId="769BCC82" w14:textId="77777777" w:rsidR="00E274B7" w:rsidRDefault="00E274B7" w:rsidP="00E274B7">
      <w:pPr>
        <w:jc w:val="both"/>
        <w:rPr>
          <w:b/>
          <w:bCs/>
        </w:rPr>
      </w:pPr>
      <w:r w:rsidRPr="009A494A">
        <w:rPr>
          <w:b/>
          <w:bCs/>
        </w:rPr>
        <w:t>K bodu 2</w:t>
      </w:r>
      <w:r>
        <w:rPr>
          <w:b/>
          <w:bCs/>
        </w:rPr>
        <w:t>7</w:t>
      </w:r>
    </w:p>
    <w:p w14:paraId="5201854C" w14:textId="77777777" w:rsidR="00E274B7" w:rsidRDefault="00E274B7" w:rsidP="00E274B7">
      <w:pPr>
        <w:jc w:val="both"/>
      </w:pPr>
      <w:r w:rsidRPr="00145810">
        <w:t xml:space="preserve">Cieľom </w:t>
      </w:r>
      <w:r>
        <w:t>doplnenia nového písmena c) v § 14 ods. 4 zákona,</w:t>
      </w:r>
      <w:r w:rsidRPr="00145810">
        <w:t xml:space="preserve"> je umožniť spracovateľom pôvodných STN alebo TNI rozširovať jej časť za účelom zvyšovania informovanosti a vzdelávania odbornej verejnosti.</w:t>
      </w:r>
    </w:p>
    <w:p w14:paraId="1F638802" w14:textId="77777777" w:rsidR="00E274B7" w:rsidRDefault="00E274B7" w:rsidP="00E274B7">
      <w:pPr>
        <w:jc w:val="both"/>
        <w:rPr>
          <w:b/>
          <w:bCs/>
        </w:rPr>
      </w:pPr>
    </w:p>
    <w:p w14:paraId="48656E92" w14:textId="77777777" w:rsidR="00E274B7" w:rsidRDefault="00E274B7" w:rsidP="00E274B7">
      <w:pPr>
        <w:jc w:val="both"/>
        <w:rPr>
          <w:b/>
          <w:bCs/>
        </w:rPr>
      </w:pPr>
    </w:p>
    <w:p w14:paraId="764FB991" w14:textId="77777777" w:rsidR="00E274B7" w:rsidRPr="00145810" w:rsidRDefault="00E274B7" w:rsidP="00E274B7">
      <w:pPr>
        <w:jc w:val="both"/>
        <w:rPr>
          <w:b/>
          <w:bCs/>
        </w:rPr>
      </w:pPr>
      <w:r w:rsidRPr="00145810">
        <w:rPr>
          <w:b/>
          <w:bCs/>
        </w:rPr>
        <w:lastRenderedPageBreak/>
        <w:t xml:space="preserve">K bodu </w:t>
      </w:r>
      <w:r>
        <w:rPr>
          <w:b/>
          <w:bCs/>
        </w:rPr>
        <w:t>28</w:t>
      </w:r>
    </w:p>
    <w:p w14:paraId="6B8EEA68" w14:textId="77777777" w:rsidR="00E274B7" w:rsidRDefault="00E274B7" w:rsidP="00E274B7">
      <w:pPr>
        <w:jc w:val="both"/>
      </w:pPr>
      <w:r>
        <w:t>Ide o formulačnú úpravu, ktorej potreba vyplynula z aplikačnej praxe.</w:t>
      </w:r>
    </w:p>
    <w:p w14:paraId="64C38600" w14:textId="77777777" w:rsidR="00E274B7" w:rsidRDefault="00E274B7" w:rsidP="00E274B7">
      <w:pPr>
        <w:jc w:val="both"/>
        <w:rPr>
          <w:b/>
          <w:bCs/>
        </w:rPr>
      </w:pPr>
    </w:p>
    <w:p w14:paraId="3BF88F55" w14:textId="77777777" w:rsidR="00E274B7" w:rsidRPr="00145810" w:rsidRDefault="00E274B7" w:rsidP="00E274B7">
      <w:pPr>
        <w:jc w:val="both"/>
        <w:rPr>
          <w:b/>
          <w:bCs/>
        </w:rPr>
      </w:pPr>
      <w:r w:rsidRPr="00145810">
        <w:rPr>
          <w:b/>
          <w:bCs/>
        </w:rPr>
        <w:t xml:space="preserve">K bodu </w:t>
      </w:r>
      <w:r>
        <w:rPr>
          <w:b/>
          <w:bCs/>
        </w:rPr>
        <w:t>29</w:t>
      </w:r>
    </w:p>
    <w:p w14:paraId="499F87D8" w14:textId="77777777" w:rsidR="00E274B7" w:rsidRDefault="00E274B7" w:rsidP="00E274B7">
      <w:pPr>
        <w:jc w:val="both"/>
      </w:pPr>
      <w:r>
        <w:t xml:space="preserve">Navrhuje sa doplnenie nového odseku 8 v § 15 zákona v nadväznosti na nové ustanovenie </w:t>
      </w:r>
      <w:r>
        <w:br/>
        <w:t xml:space="preserve">§ 15a ods. 2 zákona, ktoré bolo do zákona </w:t>
      </w:r>
      <w:r w:rsidRPr="00961F9E">
        <w:t>doplnené v rámci tzv. „kilečka 2“. Úrad rozhodne</w:t>
      </w:r>
      <w:r>
        <w:t xml:space="preserve"> </w:t>
      </w:r>
      <w:r>
        <w:br/>
        <w:t xml:space="preserve">o bezodplatnom </w:t>
      </w:r>
      <w:r w:rsidRPr="00145810">
        <w:t>poskytnut</w:t>
      </w:r>
      <w:r>
        <w:t>í</w:t>
      </w:r>
      <w:r w:rsidRPr="00145810">
        <w:t xml:space="preserve"> pôvodnej </w:t>
      </w:r>
      <w:r>
        <w:t>STN</w:t>
      </w:r>
      <w:r w:rsidRPr="00145810">
        <w:t xml:space="preserve"> alebo pôvodnej </w:t>
      </w:r>
      <w:r>
        <w:t>TNI</w:t>
      </w:r>
      <w:r w:rsidRPr="00145810">
        <w:t>, ak je to potrebné z dôvodu zabezpečenia nevyhnutnej ochrany oprávneného záujmu v čase mimoriadnej situácie</w:t>
      </w:r>
      <w:r>
        <w:t xml:space="preserve"> a v takomto prípade, tomu, kto si už takúto pôvodnú STN alebo pôvodnú TNI zakúpil prostredníctvom služby STN-online, nevznikne nárok na vrátanie uhradenej úhrady.</w:t>
      </w:r>
    </w:p>
    <w:p w14:paraId="082B4CC1" w14:textId="77777777" w:rsidR="00E274B7" w:rsidRDefault="00E274B7" w:rsidP="00E274B7">
      <w:pPr>
        <w:jc w:val="both"/>
        <w:rPr>
          <w:b/>
        </w:rPr>
      </w:pPr>
    </w:p>
    <w:p w14:paraId="002C2F15" w14:textId="77777777" w:rsidR="00E274B7" w:rsidRPr="006E158C" w:rsidRDefault="00E274B7" w:rsidP="00E274B7">
      <w:pPr>
        <w:jc w:val="both"/>
        <w:rPr>
          <w:b/>
        </w:rPr>
      </w:pPr>
      <w:r>
        <w:rPr>
          <w:b/>
        </w:rPr>
        <w:t>K bodu 30</w:t>
      </w:r>
    </w:p>
    <w:p w14:paraId="3A16D720" w14:textId="77777777" w:rsidR="00E274B7" w:rsidRDefault="00E274B7" w:rsidP="00E274B7">
      <w:pPr>
        <w:jc w:val="both"/>
        <w:rPr>
          <w:b/>
          <w:bCs/>
          <w:highlight w:val="yellow"/>
        </w:rPr>
      </w:pPr>
      <w:r>
        <w:t>Ide o legislatívno-technickú úpravu v nadväznosti na bod 9.</w:t>
      </w:r>
    </w:p>
    <w:p w14:paraId="1947BDB2" w14:textId="77777777" w:rsidR="00E274B7" w:rsidRDefault="00E274B7" w:rsidP="00E274B7">
      <w:pPr>
        <w:jc w:val="both"/>
        <w:rPr>
          <w:b/>
        </w:rPr>
      </w:pPr>
    </w:p>
    <w:p w14:paraId="70451A12" w14:textId="77777777" w:rsidR="00E274B7" w:rsidRDefault="00E274B7" w:rsidP="00E274B7">
      <w:pPr>
        <w:jc w:val="both"/>
        <w:rPr>
          <w:b/>
        </w:rPr>
      </w:pPr>
      <w:r>
        <w:rPr>
          <w:b/>
        </w:rPr>
        <w:t>K bodu 31</w:t>
      </w:r>
    </w:p>
    <w:p w14:paraId="26061E86" w14:textId="77777777" w:rsidR="00E274B7" w:rsidRDefault="00E274B7" w:rsidP="00E274B7">
      <w:pPr>
        <w:jc w:val="both"/>
        <w:rPr>
          <w:bCs/>
        </w:rPr>
      </w:pPr>
      <w:r w:rsidRPr="00A46B28">
        <w:rPr>
          <w:bCs/>
        </w:rPr>
        <w:t>Zmena hornej hranice pre za iný správny delikt pre fyzickú osobu – podnikateľa a pre právnickú osobu sa navrhuje z dôvodu jej zosúladenia s § 16 ods. 1 písm. a) a b) zákona</w:t>
      </w:r>
      <w:r>
        <w:rPr>
          <w:bCs/>
        </w:rPr>
        <w:t>.</w:t>
      </w:r>
    </w:p>
    <w:p w14:paraId="53CDC96E" w14:textId="77777777" w:rsidR="00E274B7" w:rsidRDefault="00E274B7" w:rsidP="00E274B7">
      <w:pPr>
        <w:jc w:val="both"/>
        <w:rPr>
          <w:b/>
          <w:bCs/>
        </w:rPr>
      </w:pPr>
    </w:p>
    <w:p w14:paraId="18B55722" w14:textId="77777777" w:rsidR="00E274B7" w:rsidRPr="00582C96" w:rsidRDefault="00E274B7" w:rsidP="00E274B7">
      <w:pPr>
        <w:jc w:val="both"/>
        <w:rPr>
          <w:b/>
          <w:bCs/>
        </w:rPr>
      </w:pPr>
      <w:r>
        <w:rPr>
          <w:b/>
          <w:bCs/>
        </w:rPr>
        <w:t>K bodu 32</w:t>
      </w:r>
    </w:p>
    <w:p w14:paraId="7FDC627A" w14:textId="77777777" w:rsidR="00E274B7" w:rsidRPr="00125662" w:rsidRDefault="00E274B7" w:rsidP="00E274B7">
      <w:pPr>
        <w:jc w:val="both"/>
        <w:rPr>
          <w:bCs/>
        </w:rPr>
      </w:pPr>
      <w:r>
        <w:t xml:space="preserve">Ide o doplnenie splnomocňovacieho </w:t>
      </w:r>
      <w:r w:rsidRPr="00125662">
        <w:rPr>
          <w:bCs/>
        </w:rPr>
        <w:t>ustanovenia v nadväznosti na doplnenie § 4a písm. n).</w:t>
      </w:r>
    </w:p>
    <w:p w14:paraId="44BAEC30" w14:textId="77777777" w:rsidR="00E274B7" w:rsidRDefault="00E274B7" w:rsidP="00E274B7">
      <w:pPr>
        <w:jc w:val="both"/>
        <w:rPr>
          <w:b/>
        </w:rPr>
      </w:pPr>
    </w:p>
    <w:p w14:paraId="5203CFAB" w14:textId="77777777" w:rsidR="00E274B7" w:rsidRPr="006E158C" w:rsidRDefault="00E274B7" w:rsidP="00E274B7">
      <w:pPr>
        <w:jc w:val="both"/>
        <w:rPr>
          <w:b/>
        </w:rPr>
      </w:pPr>
      <w:r>
        <w:rPr>
          <w:b/>
        </w:rPr>
        <w:t>K bodom 33 a 34</w:t>
      </w:r>
    </w:p>
    <w:p w14:paraId="7742B1FA" w14:textId="77777777" w:rsidR="00E274B7" w:rsidRDefault="00E274B7" w:rsidP="00E274B7">
      <w:pPr>
        <w:jc w:val="both"/>
      </w:pPr>
      <w:r>
        <w:t xml:space="preserve">Vzhľadom na vytvorenie legislatívnej </w:t>
      </w:r>
      <w:r w:rsidRPr="00894948">
        <w:t xml:space="preserve">možnosti (bod </w:t>
      </w:r>
      <w:r>
        <w:t>7</w:t>
      </w:r>
      <w:r w:rsidRPr="00894948">
        <w:t>)</w:t>
      </w:r>
      <w:r>
        <w:t xml:space="preserve"> poverenia právnickej osoby vykonávaním niektorých alebo všetkých činností slovenského národného normalizačného orgánu a taktiež z dôvodu sprehľadnenia zákona č. 60/2018 Z. z. o technickej normalizácii v znení neskorších predpisov (ďalej len „zákon“) sa navrhuje vypustenie slovného spojenia „úrad ako“, ktoré sa používalo v spojitosti „úrad ako slovenský národný normalizačný orgán“ a slúžilo na rozlíšenie činností, ktoré Úrad pre normalizáciu, metrológiu a skúšobníctvo Slovenskej republiky (ďalej len „úrad“) vykonáva ako slovenský národný normalizačný orgán od činností, ktoré úrad vykonáva ako ústredný orgán štátnej správy pre oblasť technickej normalizácie podľa zákona č. 575/2001 Z. z. o organizácii činnosti vlády a ústrednej štátnej správy v znení neskorších predpisov. </w:t>
      </w:r>
    </w:p>
    <w:p w14:paraId="54B2C260" w14:textId="77777777" w:rsidR="00E274B7" w:rsidRPr="004A13C1" w:rsidRDefault="00E274B7" w:rsidP="00E274B7">
      <w:pPr>
        <w:jc w:val="both"/>
      </w:pPr>
    </w:p>
    <w:p w14:paraId="68D7AEC5" w14:textId="77777777" w:rsidR="00E274B7" w:rsidRDefault="00E274B7" w:rsidP="00E274B7">
      <w:pPr>
        <w:rPr>
          <w:b/>
          <w:bCs/>
        </w:rPr>
      </w:pPr>
      <w:r w:rsidRPr="004A13C1">
        <w:rPr>
          <w:b/>
          <w:bCs/>
        </w:rPr>
        <w:t>K Čl. I</w:t>
      </w:r>
      <w:r>
        <w:rPr>
          <w:b/>
          <w:bCs/>
        </w:rPr>
        <w:t>I</w:t>
      </w:r>
    </w:p>
    <w:p w14:paraId="3558A9DD" w14:textId="77777777" w:rsidR="00E274B7" w:rsidRPr="004A13C1" w:rsidRDefault="00E274B7" w:rsidP="00E274B7">
      <w:pPr>
        <w:jc w:val="both"/>
        <w:rPr>
          <w:b/>
          <w:bCs/>
        </w:rPr>
      </w:pPr>
      <w:r w:rsidRPr="00797589">
        <w:t>Navrhuje sa účinnosť n</w:t>
      </w:r>
      <w:r>
        <w:t>ávrhu</w:t>
      </w:r>
      <w:r w:rsidRPr="00797589">
        <w:t xml:space="preserve"> zákona </w:t>
      </w:r>
      <w:r>
        <w:t>od</w:t>
      </w:r>
      <w:r w:rsidRPr="00797589">
        <w:t xml:space="preserve"> 1. </w:t>
      </w:r>
      <w:r>
        <w:t>september</w:t>
      </w:r>
      <w:r w:rsidRPr="00797589">
        <w:t xml:space="preserve"> 2023, tak aby bola zabezpečená dostatočná dlhá </w:t>
      </w:r>
      <w:proofErr w:type="spellStart"/>
      <w:r w:rsidRPr="00797589">
        <w:t>legisvakačná</w:t>
      </w:r>
      <w:proofErr w:type="spellEnd"/>
      <w:r w:rsidRPr="00797589">
        <w:t xml:space="preserve"> doba aj s prihliadnutím na dĺžku trvania legislatívneho procesu</w:t>
      </w:r>
      <w:r>
        <w:rPr>
          <w:b/>
          <w:bCs/>
        </w:rPr>
        <w:t>.</w:t>
      </w:r>
    </w:p>
    <w:p w14:paraId="7E2D7C5D" w14:textId="603B482B" w:rsidR="0071749D" w:rsidRDefault="0071749D" w:rsidP="0071749D"/>
    <w:p w14:paraId="5D4C7B67" w14:textId="2FF6B1D2" w:rsidR="0071749D" w:rsidRDefault="0071749D" w:rsidP="0071749D"/>
    <w:p w14:paraId="26109191" w14:textId="77777777" w:rsidR="0071749D" w:rsidRDefault="0071749D" w:rsidP="0071749D"/>
    <w:p w14:paraId="7598C7BB" w14:textId="01C0AD3E" w:rsidR="00781DE1" w:rsidRDefault="0071749D" w:rsidP="002A146F">
      <w:pPr>
        <w:spacing w:after="100" w:afterAutospacing="1"/>
        <w:jc w:val="both"/>
        <w:rPr>
          <w:rStyle w:val="Zstupntext"/>
          <w:color w:val="000000"/>
        </w:rPr>
      </w:pPr>
      <w:r>
        <w:rPr>
          <w:rStyle w:val="Zstupntext"/>
          <w:color w:val="000000"/>
        </w:rPr>
        <w:t>Bratislava 12</w:t>
      </w:r>
      <w:r w:rsidR="00781DE1" w:rsidRPr="00FC1238">
        <w:rPr>
          <w:rStyle w:val="Zstupntext"/>
          <w:color w:val="000000"/>
        </w:rPr>
        <w:t xml:space="preserve">. </w:t>
      </w:r>
      <w:r>
        <w:rPr>
          <w:rStyle w:val="Zstupntext"/>
          <w:color w:val="000000"/>
        </w:rPr>
        <w:t>apríl 2023</w:t>
      </w:r>
    </w:p>
    <w:p w14:paraId="1B9B759D" w14:textId="77777777" w:rsidR="00FA1FE4" w:rsidRPr="00FC1238" w:rsidRDefault="00FA1FE4" w:rsidP="002A146F">
      <w:pPr>
        <w:spacing w:after="100" w:afterAutospacing="1"/>
        <w:jc w:val="both"/>
        <w:rPr>
          <w:rStyle w:val="Zstupntext"/>
          <w:color w:val="000000"/>
        </w:rPr>
      </w:pPr>
    </w:p>
    <w:p w14:paraId="261EBBAC" w14:textId="7D79A08E" w:rsidR="00781DE1" w:rsidRPr="00FC1238" w:rsidRDefault="00781DE1" w:rsidP="002A146F">
      <w:pPr>
        <w:spacing w:before="240"/>
        <w:jc w:val="center"/>
        <w:rPr>
          <w:rStyle w:val="Zstupntext"/>
          <w:color w:val="000000"/>
        </w:rPr>
      </w:pPr>
      <w:r>
        <w:rPr>
          <w:rStyle w:val="Zstupntext"/>
          <w:b/>
          <w:color w:val="000000"/>
        </w:rPr>
        <w:t xml:space="preserve">Eduard </w:t>
      </w:r>
      <w:proofErr w:type="spellStart"/>
      <w:r>
        <w:rPr>
          <w:rStyle w:val="Zstupntext"/>
          <w:b/>
          <w:color w:val="000000"/>
        </w:rPr>
        <w:t>Heger</w:t>
      </w:r>
      <w:proofErr w:type="spellEnd"/>
      <w:r w:rsidR="00415B96">
        <w:rPr>
          <w:rStyle w:val="Zstupntext"/>
          <w:b/>
          <w:color w:val="000000"/>
        </w:rPr>
        <w:t>, v. r.</w:t>
      </w:r>
    </w:p>
    <w:p w14:paraId="04127794" w14:textId="77777777" w:rsidR="00781DE1" w:rsidRPr="00FC1238" w:rsidRDefault="00781DE1" w:rsidP="002A146F">
      <w:pPr>
        <w:spacing w:after="240"/>
        <w:jc w:val="center"/>
        <w:rPr>
          <w:rStyle w:val="Zstupntext"/>
          <w:color w:val="000000"/>
        </w:rPr>
      </w:pPr>
      <w:r w:rsidRPr="00FC1238">
        <w:rPr>
          <w:rStyle w:val="Zstupntext"/>
          <w:color w:val="000000"/>
        </w:rPr>
        <w:t>predseda vlády Slovenskej republiky</w:t>
      </w:r>
    </w:p>
    <w:p w14:paraId="53820952" w14:textId="4650A2AB" w:rsidR="00781DE1" w:rsidRDefault="00781DE1" w:rsidP="002A146F">
      <w:pPr>
        <w:spacing w:after="100" w:afterAutospacing="1"/>
        <w:rPr>
          <w:rStyle w:val="Zstupntext"/>
          <w:color w:val="000000"/>
        </w:rPr>
      </w:pPr>
    </w:p>
    <w:p w14:paraId="3EAC78DA" w14:textId="4ED2C594" w:rsidR="00781DE1" w:rsidRPr="00FC1238" w:rsidRDefault="00781DE1" w:rsidP="002A146F">
      <w:pPr>
        <w:jc w:val="center"/>
        <w:rPr>
          <w:rStyle w:val="Zstupntext"/>
          <w:b/>
          <w:color w:val="000000"/>
        </w:rPr>
      </w:pPr>
      <w:r>
        <w:rPr>
          <w:rStyle w:val="Zstupntext"/>
          <w:b/>
          <w:color w:val="000000"/>
        </w:rPr>
        <w:t>Katarína Surmíková</w:t>
      </w:r>
      <w:r w:rsidRPr="00FC1238">
        <w:rPr>
          <w:rStyle w:val="Zstupntext"/>
          <w:b/>
          <w:color w:val="000000"/>
        </w:rPr>
        <w:t xml:space="preserve"> </w:t>
      </w:r>
      <w:r>
        <w:rPr>
          <w:rStyle w:val="Zstupntext"/>
          <w:b/>
          <w:color w:val="000000"/>
        </w:rPr>
        <w:t>Tatranská</w:t>
      </w:r>
      <w:r w:rsidR="00415B96">
        <w:rPr>
          <w:rStyle w:val="Zstupntext"/>
          <w:b/>
          <w:color w:val="000000"/>
        </w:rPr>
        <w:t>, v. r.</w:t>
      </w:r>
    </w:p>
    <w:p w14:paraId="4C1BADAD" w14:textId="57DA9C32" w:rsidR="00781DE1" w:rsidRPr="00577933" w:rsidRDefault="00E063BE" w:rsidP="002A146F">
      <w:pPr>
        <w:jc w:val="center"/>
        <w:rPr>
          <w:color w:val="000000"/>
        </w:rPr>
      </w:pPr>
      <w:r>
        <w:rPr>
          <w:rStyle w:val="Zstupntext"/>
          <w:color w:val="000000"/>
        </w:rPr>
        <w:t>p</w:t>
      </w:r>
      <w:r w:rsidR="00781DE1" w:rsidRPr="00FC1238">
        <w:rPr>
          <w:rStyle w:val="Zstupntext"/>
          <w:color w:val="000000"/>
        </w:rPr>
        <w:t>redsed</w:t>
      </w:r>
      <w:r w:rsidR="00781DE1">
        <w:rPr>
          <w:rStyle w:val="Zstupntext"/>
          <w:color w:val="000000"/>
        </w:rPr>
        <w:t>níčka Ú</w:t>
      </w:r>
      <w:r>
        <w:rPr>
          <w:rStyle w:val="Zstupntext"/>
          <w:color w:val="000000"/>
        </w:rPr>
        <w:t xml:space="preserve">radu pre normalizáciu, metrológiu a skúšobníctvo Slovenskej republiky </w:t>
      </w:r>
      <w:bookmarkStart w:id="0" w:name="_GoBack"/>
      <w:bookmarkEnd w:id="0"/>
    </w:p>
    <w:sectPr w:rsidR="00781DE1" w:rsidRPr="005779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09B32" w14:textId="77777777" w:rsidR="003D76AF" w:rsidRDefault="003D76AF" w:rsidP="00587FD8">
      <w:r>
        <w:separator/>
      </w:r>
    </w:p>
  </w:endnote>
  <w:endnote w:type="continuationSeparator" w:id="0">
    <w:p w14:paraId="30939CD4" w14:textId="77777777" w:rsidR="003D76AF" w:rsidRDefault="003D76AF" w:rsidP="0058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884964"/>
      <w:docPartObj>
        <w:docPartGallery w:val="Page Numbers (Bottom of Page)"/>
        <w:docPartUnique/>
      </w:docPartObj>
    </w:sdtPr>
    <w:sdtEndPr/>
    <w:sdtContent>
      <w:p w14:paraId="2F3C4B75" w14:textId="3DB106AB" w:rsidR="002A146F" w:rsidRDefault="002A146F">
        <w:pPr>
          <w:pStyle w:val="Pta"/>
          <w:jc w:val="center"/>
        </w:pPr>
        <w:r>
          <w:fldChar w:fldCharType="begin"/>
        </w:r>
        <w:r>
          <w:instrText>PAGE   \* MERGEFORMAT</w:instrText>
        </w:r>
        <w:r>
          <w:fldChar w:fldCharType="separate"/>
        </w:r>
        <w:r w:rsidR="000B65B3">
          <w:rPr>
            <w:noProof/>
          </w:rPr>
          <w:t>10</w:t>
        </w:r>
        <w:r>
          <w:fldChar w:fldCharType="end"/>
        </w:r>
      </w:p>
    </w:sdtContent>
  </w:sdt>
  <w:p w14:paraId="2E84021C" w14:textId="77777777" w:rsidR="002A146F" w:rsidRDefault="002A14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1D5C1" w14:textId="77777777" w:rsidR="003D76AF" w:rsidRDefault="003D76AF" w:rsidP="00587FD8">
      <w:r>
        <w:separator/>
      </w:r>
    </w:p>
  </w:footnote>
  <w:footnote w:type="continuationSeparator" w:id="0">
    <w:p w14:paraId="24EB8984" w14:textId="77777777" w:rsidR="003D76AF" w:rsidRDefault="003D76AF" w:rsidP="00587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522B"/>
    <w:multiLevelType w:val="hybridMultilevel"/>
    <w:tmpl w:val="9B00DEFC"/>
    <w:lvl w:ilvl="0" w:tplc="1A7A1898">
      <w:start w:val="1"/>
      <w:numFmt w:val="lowerLetter"/>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13D036A"/>
    <w:multiLevelType w:val="hybridMultilevel"/>
    <w:tmpl w:val="93640D96"/>
    <w:lvl w:ilvl="0" w:tplc="97D8CAE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A50736"/>
    <w:multiLevelType w:val="hybridMultilevel"/>
    <w:tmpl w:val="659A4E52"/>
    <w:lvl w:ilvl="0" w:tplc="2D92AB62">
      <w:start w:val="1"/>
      <w:numFmt w:val="decimal"/>
      <w:lvlText w:val="%1."/>
      <w:lvlJc w:val="left"/>
      <w:pPr>
        <w:ind w:left="981" w:hanging="360"/>
      </w:pPr>
      <w:rPr>
        <w:rFonts w:hint="default"/>
        <w:b/>
      </w:rPr>
    </w:lvl>
    <w:lvl w:ilvl="1" w:tplc="041B0019" w:tentative="1">
      <w:start w:val="1"/>
      <w:numFmt w:val="lowerLetter"/>
      <w:lvlText w:val="%2."/>
      <w:lvlJc w:val="left"/>
      <w:pPr>
        <w:ind w:left="1701" w:hanging="360"/>
      </w:pPr>
    </w:lvl>
    <w:lvl w:ilvl="2" w:tplc="041B001B" w:tentative="1">
      <w:start w:val="1"/>
      <w:numFmt w:val="lowerRoman"/>
      <w:lvlText w:val="%3."/>
      <w:lvlJc w:val="right"/>
      <w:pPr>
        <w:ind w:left="2421" w:hanging="180"/>
      </w:pPr>
    </w:lvl>
    <w:lvl w:ilvl="3" w:tplc="041B000F" w:tentative="1">
      <w:start w:val="1"/>
      <w:numFmt w:val="decimal"/>
      <w:lvlText w:val="%4."/>
      <w:lvlJc w:val="left"/>
      <w:pPr>
        <w:ind w:left="3141" w:hanging="360"/>
      </w:pPr>
    </w:lvl>
    <w:lvl w:ilvl="4" w:tplc="041B0019" w:tentative="1">
      <w:start w:val="1"/>
      <w:numFmt w:val="lowerLetter"/>
      <w:lvlText w:val="%5."/>
      <w:lvlJc w:val="left"/>
      <w:pPr>
        <w:ind w:left="3861" w:hanging="360"/>
      </w:pPr>
    </w:lvl>
    <w:lvl w:ilvl="5" w:tplc="041B001B" w:tentative="1">
      <w:start w:val="1"/>
      <w:numFmt w:val="lowerRoman"/>
      <w:lvlText w:val="%6."/>
      <w:lvlJc w:val="right"/>
      <w:pPr>
        <w:ind w:left="4581" w:hanging="180"/>
      </w:pPr>
    </w:lvl>
    <w:lvl w:ilvl="6" w:tplc="041B000F" w:tentative="1">
      <w:start w:val="1"/>
      <w:numFmt w:val="decimal"/>
      <w:lvlText w:val="%7."/>
      <w:lvlJc w:val="left"/>
      <w:pPr>
        <w:ind w:left="5301" w:hanging="360"/>
      </w:pPr>
    </w:lvl>
    <w:lvl w:ilvl="7" w:tplc="041B0019" w:tentative="1">
      <w:start w:val="1"/>
      <w:numFmt w:val="lowerLetter"/>
      <w:lvlText w:val="%8."/>
      <w:lvlJc w:val="left"/>
      <w:pPr>
        <w:ind w:left="6021" w:hanging="360"/>
      </w:pPr>
    </w:lvl>
    <w:lvl w:ilvl="8" w:tplc="041B001B" w:tentative="1">
      <w:start w:val="1"/>
      <w:numFmt w:val="lowerRoman"/>
      <w:lvlText w:val="%9."/>
      <w:lvlJc w:val="right"/>
      <w:pPr>
        <w:ind w:left="6741" w:hanging="180"/>
      </w:pPr>
    </w:lvl>
  </w:abstractNum>
  <w:abstractNum w:abstractNumId="3" w15:restartNumberingAfterBreak="0">
    <w:nsid w:val="259E4B80"/>
    <w:multiLevelType w:val="hybridMultilevel"/>
    <w:tmpl w:val="484AA474"/>
    <w:lvl w:ilvl="0" w:tplc="5712AE96">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1221C68"/>
    <w:multiLevelType w:val="hybridMultilevel"/>
    <w:tmpl w:val="DD40798E"/>
    <w:lvl w:ilvl="0" w:tplc="6ABE90B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4951B40"/>
    <w:multiLevelType w:val="hybridMultilevel"/>
    <w:tmpl w:val="16F2852A"/>
    <w:lvl w:ilvl="0" w:tplc="4FC472C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5A43918"/>
    <w:multiLevelType w:val="hybridMultilevel"/>
    <w:tmpl w:val="3076638E"/>
    <w:lvl w:ilvl="0" w:tplc="C4FA5D76">
      <w:start w:val="1"/>
      <w:numFmt w:val="lowerLetter"/>
      <w:lvlText w:val="%1)"/>
      <w:lvlJc w:val="left"/>
      <w:pPr>
        <w:ind w:left="644" w:hanging="360"/>
      </w:pPr>
      <w:rPr>
        <w:rFonts w:hint="default"/>
        <w:b w:val="0"/>
        <w:strike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6BB5E06"/>
    <w:multiLevelType w:val="hybridMultilevel"/>
    <w:tmpl w:val="49C80EE2"/>
    <w:lvl w:ilvl="0" w:tplc="4EDA730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DAF2D25"/>
    <w:multiLevelType w:val="hybridMultilevel"/>
    <w:tmpl w:val="5276E4AC"/>
    <w:lvl w:ilvl="0" w:tplc="4EC40A92">
      <w:start w:val="1"/>
      <w:numFmt w:val="lowerLetter"/>
      <w:lvlText w:val="%1)"/>
      <w:lvlJc w:val="left"/>
      <w:pPr>
        <w:ind w:left="644" w:hanging="360"/>
      </w:pPr>
      <w:rPr>
        <w:b w:val="0"/>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1"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0"/>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11"/>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9"/>
  </w:num>
  <w:num w:numId="13">
    <w:abstractNumId w:val="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8B"/>
    <w:rsid w:val="0000676C"/>
    <w:rsid w:val="00010531"/>
    <w:rsid w:val="00020D6B"/>
    <w:rsid w:val="00031F18"/>
    <w:rsid w:val="00060963"/>
    <w:rsid w:val="00071071"/>
    <w:rsid w:val="00071ED6"/>
    <w:rsid w:val="000A27F1"/>
    <w:rsid w:val="000A6354"/>
    <w:rsid w:val="000B65B3"/>
    <w:rsid w:val="000C0576"/>
    <w:rsid w:val="000E0A8C"/>
    <w:rsid w:val="00137D6B"/>
    <w:rsid w:val="00186C19"/>
    <w:rsid w:val="001A4D9B"/>
    <w:rsid w:val="001B26EA"/>
    <w:rsid w:val="001D5299"/>
    <w:rsid w:val="001E0B5C"/>
    <w:rsid w:val="002378B5"/>
    <w:rsid w:val="00256EE4"/>
    <w:rsid w:val="002579D6"/>
    <w:rsid w:val="002608AE"/>
    <w:rsid w:val="00295014"/>
    <w:rsid w:val="002A146F"/>
    <w:rsid w:val="002B002D"/>
    <w:rsid w:val="002B7B93"/>
    <w:rsid w:val="002C3DA8"/>
    <w:rsid w:val="002C649F"/>
    <w:rsid w:val="00344700"/>
    <w:rsid w:val="0036128F"/>
    <w:rsid w:val="003646AA"/>
    <w:rsid w:val="00371DF3"/>
    <w:rsid w:val="003C64DE"/>
    <w:rsid w:val="003D284C"/>
    <w:rsid w:val="003D76AF"/>
    <w:rsid w:val="003E64BD"/>
    <w:rsid w:val="003F4295"/>
    <w:rsid w:val="004051D1"/>
    <w:rsid w:val="00415B96"/>
    <w:rsid w:val="00464325"/>
    <w:rsid w:val="004F7935"/>
    <w:rsid w:val="00525DB3"/>
    <w:rsid w:val="00552CAE"/>
    <w:rsid w:val="00583DE8"/>
    <w:rsid w:val="00587FD8"/>
    <w:rsid w:val="00590252"/>
    <w:rsid w:val="0059487B"/>
    <w:rsid w:val="005D1F30"/>
    <w:rsid w:val="00612A8B"/>
    <w:rsid w:val="00645E20"/>
    <w:rsid w:val="00653030"/>
    <w:rsid w:val="006630AD"/>
    <w:rsid w:val="006808A7"/>
    <w:rsid w:val="00686297"/>
    <w:rsid w:val="006B1012"/>
    <w:rsid w:val="006B7583"/>
    <w:rsid w:val="006C4C00"/>
    <w:rsid w:val="006C606A"/>
    <w:rsid w:val="006F707F"/>
    <w:rsid w:val="00700FC4"/>
    <w:rsid w:val="00716E89"/>
    <w:rsid w:val="0071749D"/>
    <w:rsid w:val="00767D30"/>
    <w:rsid w:val="00781DE1"/>
    <w:rsid w:val="00785D4C"/>
    <w:rsid w:val="00794032"/>
    <w:rsid w:val="007B1CDA"/>
    <w:rsid w:val="007B41E8"/>
    <w:rsid w:val="007E17E5"/>
    <w:rsid w:val="008038C5"/>
    <w:rsid w:val="00805A98"/>
    <w:rsid w:val="00813F80"/>
    <w:rsid w:val="008C5503"/>
    <w:rsid w:val="008D5363"/>
    <w:rsid w:val="009070D9"/>
    <w:rsid w:val="00923830"/>
    <w:rsid w:val="00930963"/>
    <w:rsid w:val="00946B91"/>
    <w:rsid w:val="00972EEB"/>
    <w:rsid w:val="00987014"/>
    <w:rsid w:val="009A243B"/>
    <w:rsid w:val="009D2141"/>
    <w:rsid w:val="009D7353"/>
    <w:rsid w:val="00A177A0"/>
    <w:rsid w:val="00A24602"/>
    <w:rsid w:val="00A36C09"/>
    <w:rsid w:val="00A47382"/>
    <w:rsid w:val="00A66F6E"/>
    <w:rsid w:val="00AA1793"/>
    <w:rsid w:val="00B03CCA"/>
    <w:rsid w:val="00B05CCE"/>
    <w:rsid w:val="00B15DEB"/>
    <w:rsid w:val="00B16441"/>
    <w:rsid w:val="00B6081E"/>
    <w:rsid w:val="00B800EA"/>
    <w:rsid w:val="00B95C7D"/>
    <w:rsid w:val="00BA15AA"/>
    <w:rsid w:val="00BA4C40"/>
    <w:rsid w:val="00BB6EB1"/>
    <w:rsid w:val="00BC0BDC"/>
    <w:rsid w:val="00BE7142"/>
    <w:rsid w:val="00BF3E0C"/>
    <w:rsid w:val="00C17195"/>
    <w:rsid w:val="00C46E2C"/>
    <w:rsid w:val="00C77585"/>
    <w:rsid w:val="00C85697"/>
    <w:rsid w:val="00C93E85"/>
    <w:rsid w:val="00C96A1E"/>
    <w:rsid w:val="00CB10F4"/>
    <w:rsid w:val="00CB3EB1"/>
    <w:rsid w:val="00CB61BF"/>
    <w:rsid w:val="00CC7F3A"/>
    <w:rsid w:val="00CD20CD"/>
    <w:rsid w:val="00D01F12"/>
    <w:rsid w:val="00D033E0"/>
    <w:rsid w:val="00D11663"/>
    <w:rsid w:val="00D15015"/>
    <w:rsid w:val="00D1728E"/>
    <w:rsid w:val="00D8760C"/>
    <w:rsid w:val="00DA2379"/>
    <w:rsid w:val="00DA5F9A"/>
    <w:rsid w:val="00DC1E4A"/>
    <w:rsid w:val="00DC3306"/>
    <w:rsid w:val="00DE3916"/>
    <w:rsid w:val="00E0198C"/>
    <w:rsid w:val="00E063BE"/>
    <w:rsid w:val="00E11560"/>
    <w:rsid w:val="00E274B7"/>
    <w:rsid w:val="00E4364C"/>
    <w:rsid w:val="00E8535E"/>
    <w:rsid w:val="00EC5AE6"/>
    <w:rsid w:val="00EE0CC6"/>
    <w:rsid w:val="00EE5DE0"/>
    <w:rsid w:val="00EF608E"/>
    <w:rsid w:val="00F273D1"/>
    <w:rsid w:val="00F44FDC"/>
    <w:rsid w:val="00F543E7"/>
    <w:rsid w:val="00F658B6"/>
    <w:rsid w:val="00F74908"/>
    <w:rsid w:val="00F961CB"/>
    <w:rsid w:val="00F97A23"/>
    <w:rsid w:val="00FA1FE4"/>
    <w:rsid w:val="00FC5E28"/>
    <w:rsid w:val="00FF1A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D0B94"/>
  <w14:defaultImageDpi w14:val="0"/>
  <w15:docId w15:val="{DFEEB156-7E5D-47CF-8649-19B0673A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B6EB1"/>
    <w:pPr>
      <w:widowControl w:val="0"/>
      <w:adjustRightInd w:val="0"/>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B6EB1"/>
    <w:rPr>
      <w:rFonts w:ascii="Times New Roman" w:hAnsi="Times New Roman" w:cs="Times New Roman"/>
      <w:color w:val="808080"/>
    </w:rPr>
  </w:style>
  <w:style w:type="character" w:styleId="Odkaznakomentr">
    <w:name w:val="annotation reference"/>
    <w:basedOn w:val="Predvolenpsmoodseku"/>
    <w:uiPriority w:val="99"/>
    <w:semiHidden/>
    <w:unhideWhenUsed/>
    <w:rsid w:val="00BB6EB1"/>
    <w:rPr>
      <w:rFonts w:cs="Times New Roman"/>
      <w:sz w:val="16"/>
      <w:szCs w:val="16"/>
    </w:rPr>
  </w:style>
  <w:style w:type="paragraph" w:styleId="Textkomentra">
    <w:name w:val="annotation text"/>
    <w:basedOn w:val="Normlny"/>
    <w:link w:val="TextkomentraChar"/>
    <w:uiPriority w:val="99"/>
    <w:semiHidden/>
    <w:unhideWhenUsed/>
    <w:rsid w:val="00BB6EB1"/>
    <w:rPr>
      <w:sz w:val="20"/>
      <w:szCs w:val="20"/>
    </w:rPr>
  </w:style>
  <w:style w:type="character" w:customStyle="1" w:styleId="TextkomentraChar">
    <w:name w:val="Text komentára Char"/>
    <w:basedOn w:val="Predvolenpsmoodseku"/>
    <w:link w:val="Textkomentra"/>
    <w:uiPriority w:val="99"/>
    <w:semiHidden/>
    <w:locked/>
    <w:rsid w:val="00BB6EB1"/>
    <w:rPr>
      <w:rFonts w:ascii="Times New Roman" w:hAnsi="Times New Roman" w:cs="Times New Roman"/>
      <w:sz w:val="20"/>
      <w:szCs w:val="20"/>
      <w:lang w:val="x-none" w:eastAsia="sk-SK"/>
    </w:rPr>
  </w:style>
  <w:style w:type="paragraph" w:styleId="Textbubliny">
    <w:name w:val="Balloon Text"/>
    <w:basedOn w:val="Normlny"/>
    <w:link w:val="TextbublinyChar"/>
    <w:uiPriority w:val="99"/>
    <w:semiHidden/>
    <w:unhideWhenUsed/>
    <w:rsid w:val="00BB6EB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B6EB1"/>
    <w:rPr>
      <w:rFonts w:ascii="Tahoma" w:hAnsi="Tahoma" w:cs="Tahoma"/>
      <w:sz w:val="16"/>
      <w:szCs w:val="16"/>
      <w:lang w:val="x-none" w:eastAsia="sk-SK"/>
    </w:rPr>
  </w:style>
  <w:style w:type="paragraph" w:styleId="Predmetkomentra">
    <w:name w:val="annotation subject"/>
    <w:basedOn w:val="Textkomentra"/>
    <w:next w:val="Textkomentra"/>
    <w:link w:val="PredmetkomentraChar"/>
    <w:uiPriority w:val="99"/>
    <w:semiHidden/>
    <w:unhideWhenUsed/>
    <w:rsid w:val="00DE3916"/>
    <w:rPr>
      <w:b/>
      <w:bCs/>
    </w:rPr>
  </w:style>
  <w:style w:type="character" w:customStyle="1" w:styleId="PredmetkomentraChar">
    <w:name w:val="Predmet komentára Char"/>
    <w:basedOn w:val="TextkomentraChar"/>
    <w:link w:val="Predmetkomentra"/>
    <w:uiPriority w:val="99"/>
    <w:semiHidden/>
    <w:locked/>
    <w:rsid w:val="00DE3916"/>
    <w:rPr>
      <w:rFonts w:ascii="Times New Roman" w:hAnsi="Times New Roman" w:cs="Times New Roman"/>
      <w:b/>
      <w:bCs/>
      <w:sz w:val="20"/>
      <w:szCs w:val="20"/>
      <w:lang w:val="x-none" w:eastAsia="sk-SK"/>
    </w:rPr>
  </w:style>
  <w:style w:type="paragraph" w:styleId="Revzia">
    <w:name w:val="Revision"/>
    <w:hidden/>
    <w:uiPriority w:val="99"/>
    <w:semiHidden/>
    <w:rsid w:val="00DE3916"/>
    <w:pPr>
      <w:spacing w:after="0" w:line="240" w:lineRule="auto"/>
    </w:pPr>
    <w:rPr>
      <w:rFonts w:ascii="Times New Roman" w:hAnsi="Times New Roman" w:cs="Times New Roman"/>
      <w:sz w:val="24"/>
      <w:szCs w:val="24"/>
      <w:lang w:eastAsia="sk-SK"/>
    </w:rPr>
  </w:style>
  <w:style w:type="paragraph" w:customStyle="1" w:styleId="Default">
    <w:name w:val="Default"/>
    <w:rsid w:val="00716E89"/>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rsid w:val="00587FD8"/>
    <w:pPr>
      <w:tabs>
        <w:tab w:val="center" w:pos="4536"/>
        <w:tab w:val="right" w:pos="9072"/>
      </w:tabs>
    </w:pPr>
  </w:style>
  <w:style w:type="character" w:customStyle="1" w:styleId="HlavikaChar">
    <w:name w:val="Hlavička Char"/>
    <w:basedOn w:val="Predvolenpsmoodseku"/>
    <w:link w:val="Hlavika"/>
    <w:uiPriority w:val="99"/>
    <w:locked/>
    <w:rsid w:val="00587FD8"/>
    <w:rPr>
      <w:rFonts w:ascii="Times New Roman" w:hAnsi="Times New Roman" w:cs="Times New Roman"/>
      <w:sz w:val="24"/>
      <w:szCs w:val="24"/>
      <w:lang w:val="x-none" w:eastAsia="sk-SK"/>
    </w:rPr>
  </w:style>
  <w:style w:type="paragraph" w:styleId="Pta">
    <w:name w:val="footer"/>
    <w:basedOn w:val="Normlny"/>
    <w:link w:val="PtaChar"/>
    <w:uiPriority w:val="99"/>
    <w:rsid w:val="00587FD8"/>
    <w:pPr>
      <w:tabs>
        <w:tab w:val="center" w:pos="4536"/>
        <w:tab w:val="right" w:pos="9072"/>
      </w:tabs>
    </w:pPr>
  </w:style>
  <w:style w:type="character" w:customStyle="1" w:styleId="PtaChar">
    <w:name w:val="Päta Char"/>
    <w:basedOn w:val="Predvolenpsmoodseku"/>
    <w:link w:val="Pta"/>
    <w:uiPriority w:val="99"/>
    <w:locked/>
    <w:rsid w:val="00587FD8"/>
    <w:rPr>
      <w:rFonts w:ascii="Times New Roman" w:hAnsi="Times New Roman" w:cs="Times New Roman"/>
      <w:sz w:val="24"/>
      <w:szCs w:val="24"/>
      <w:lang w:val="x-none" w:eastAsia="sk-SK"/>
    </w:rPr>
  </w:style>
  <w:style w:type="table" w:styleId="Mriekatabuky">
    <w:name w:val="Table Grid"/>
    <w:basedOn w:val="Normlnatabuka"/>
    <w:uiPriority w:val="99"/>
    <w:rsid w:val="00781DE1"/>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uiPriority w:val="34"/>
    <w:qFormat/>
    <w:rsid w:val="00781DE1"/>
    <w:pPr>
      <w:widowControl/>
      <w:adjustRightInd/>
      <w:spacing w:after="200" w:line="276" w:lineRule="auto"/>
      <w:ind w:left="720"/>
      <w:contextualSpacing/>
    </w:pPr>
    <w:rPr>
      <w:rFonts w:asciiTheme="minorHAnsi" w:eastAsiaTheme="minorHAnsi" w:hAnsiTheme="minorHAnsi" w:cstheme="minorBidi"/>
      <w:sz w:val="22"/>
      <w:szCs w:val="22"/>
      <w:lang w:eastAsia="en-US"/>
    </w:rPr>
  </w:style>
  <w:style w:type="character" w:styleId="Hypertextovprepojenie">
    <w:name w:val="Hyperlink"/>
    <w:uiPriority w:val="99"/>
    <w:unhideWhenUsed/>
    <w:rsid w:val="00781DE1"/>
    <w:rPr>
      <w:color w:val="0000FF"/>
      <w:u w:val="single"/>
    </w:rPr>
  </w:style>
  <w:style w:type="character" w:customStyle="1" w:styleId="Hyperlink0">
    <w:name w:val="Hyperlink.0"/>
    <w:rsid w:val="00137D6B"/>
    <w:rPr>
      <w:rFonts w:ascii="Times New Roman" w:hAnsi="Times New Roman" w:cs="Times New Roman" w:hint="default"/>
      <w:color w:val="000000"/>
      <w:u w:color="000000"/>
    </w:rPr>
  </w:style>
  <w:style w:type="table" w:customStyle="1" w:styleId="Mriekatabuky1">
    <w:name w:val="Mriežka tabuľky1"/>
    <w:basedOn w:val="Normlnatabuka"/>
    <w:next w:val="Mriekatabuky"/>
    <w:uiPriority w:val="59"/>
    <w:rsid w:val="00137D6B"/>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137D6B"/>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
    <w:basedOn w:val="Predvolenpsmoodseku"/>
    <w:link w:val="Odsekzoznamu"/>
    <w:uiPriority w:val="34"/>
    <w:locked/>
    <w:rsid w:val="00137D6B"/>
    <w:rPr>
      <w:rFonts w:eastAsiaTheme="minorHAnsi" w:cstheme="minorBidi"/>
    </w:rPr>
  </w:style>
  <w:style w:type="paragraph" w:styleId="Normlnywebov">
    <w:name w:val="Normal (Web)"/>
    <w:basedOn w:val="Normlny"/>
    <w:uiPriority w:val="99"/>
    <w:unhideWhenUsed/>
    <w:rsid w:val="0071749D"/>
    <w:pPr>
      <w:widowControl/>
      <w:adjustRightInd/>
      <w:spacing w:before="100" w:beforeAutospacing="1" w:after="100" w:afterAutospacing="1"/>
    </w:pPr>
  </w:style>
  <w:style w:type="table" w:customStyle="1" w:styleId="Mriekatabuky3">
    <w:name w:val="Mriežka tabuľky3"/>
    <w:basedOn w:val="Normlnatabuka"/>
    <w:next w:val="Mriekatabuky"/>
    <w:uiPriority w:val="99"/>
    <w:unhideWhenUsed/>
    <w:rsid w:val="0071749D"/>
    <w:pPr>
      <w:spacing w:after="0" w:line="240" w:lineRule="auto"/>
    </w:pPr>
    <w:rPr>
      <w:rFonts w:ascii="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826627">
      <w:bodyDiv w:val="1"/>
      <w:marLeft w:val="0"/>
      <w:marRight w:val="0"/>
      <w:marTop w:val="0"/>
      <w:marBottom w:val="0"/>
      <w:divBdr>
        <w:top w:val="none" w:sz="0" w:space="0" w:color="auto"/>
        <w:left w:val="none" w:sz="0" w:space="0" w:color="auto"/>
        <w:bottom w:val="none" w:sz="0" w:space="0" w:color="auto"/>
        <w:right w:val="none" w:sz="0" w:space="0" w:color="auto"/>
      </w:divBdr>
    </w:div>
    <w:div w:id="1430273832">
      <w:marLeft w:val="0"/>
      <w:marRight w:val="0"/>
      <w:marTop w:val="0"/>
      <w:marBottom w:val="0"/>
      <w:divBdr>
        <w:top w:val="none" w:sz="0" w:space="0" w:color="auto"/>
        <w:left w:val="none" w:sz="0" w:space="0" w:color="auto"/>
        <w:bottom w:val="none" w:sz="0" w:space="0" w:color="auto"/>
        <w:right w:val="none" w:sz="0" w:space="0" w:color="auto"/>
      </w:divBdr>
    </w:div>
    <w:div w:id="14302738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ak\Desktop\4_Dovodova_sprava_vseobecna_cast.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D41A5-99BE-44DB-B7FA-AE7039F4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4_Dovodova_sprava_vseobecna_cast</Template>
  <TotalTime>2</TotalTime>
  <Pages>11</Pages>
  <Words>4170</Words>
  <Characters>23770</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Úrad pre normalizáciu, metrológiu a skúšobníctvo SR</Company>
  <LinksUpToDate>false</LinksUpToDate>
  <CharactersWithSpaces>27885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Šuťak Michal</dc:creator>
  <cp:keywords/>
  <dc:description/>
  <cp:lastModifiedBy>Bačová Michaela</cp:lastModifiedBy>
  <cp:revision>7</cp:revision>
  <cp:lastPrinted>2023-04-13T07:00:00Z</cp:lastPrinted>
  <dcterms:created xsi:type="dcterms:W3CDTF">2023-04-12T09:49:00Z</dcterms:created>
  <dcterms:modified xsi:type="dcterms:W3CDTF">2023-04-13T07:00:00Z</dcterms:modified>
</cp:coreProperties>
</file>