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89A2F" w14:textId="77777777" w:rsidR="00052915" w:rsidRPr="00AE6CE4" w:rsidRDefault="00052915" w:rsidP="00052915">
      <w:pPr>
        <w:spacing w:after="60"/>
        <w:ind w:left="425"/>
        <w:jc w:val="center"/>
        <w:rPr>
          <w:b/>
          <w:sz w:val="28"/>
          <w:szCs w:val="28"/>
        </w:rPr>
      </w:pPr>
      <w:r w:rsidRPr="00AE6CE4">
        <w:rPr>
          <w:b/>
          <w:sz w:val="28"/>
          <w:szCs w:val="28"/>
        </w:rPr>
        <w:t>NÁRODNÁ RADA SLOVENSKEJ REPUBLIKY</w:t>
      </w:r>
    </w:p>
    <w:p w14:paraId="674FE718" w14:textId="77777777" w:rsidR="00052915" w:rsidRPr="00AE6CE4" w:rsidRDefault="00052915" w:rsidP="00052915">
      <w:pPr>
        <w:spacing w:after="120"/>
        <w:ind w:left="425"/>
        <w:jc w:val="center"/>
        <w:rPr>
          <w:sz w:val="24"/>
          <w:szCs w:val="24"/>
        </w:rPr>
      </w:pPr>
      <w:r w:rsidRPr="00AE6CE4">
        <w:rPr>
          <w:sz w:val="24"/>
          <w:szCs w:val="24"/>
        </w:rPr>
        <w:t>VIII. volebné obdobie</w:t>
      </w:r>
    </w:p>
    <w:p w14:paraId="7F6184BE" w14:textId="77777777" w:rsidR="00052915" w:rsidRPr="00AE6CE4" w:rsidRDefault="00052915" w:rsidP="00052915">
      <w:pPr>
        <w:ind w:left="425"/>
        <w:jc w:val="both"/>
        <w:rPr>
          <w:sz w:val="24"/>
          <w:szCs w:val="24"/>
        </w:rPr>
      </w:pPr>
      <w:r w:rsidRPr="00AE6CE4">
        <w:rPr>
          <w:sz w:val="24"/>
          <w:szCs w:val="24"/>
        </w:rPr>
        <w:t>–––––––––––––––––––––––––––––––––––––––––––––––––––––––––––––––––––––––</w:t>
      </w:r>
    </w:p>
    <w:p w14:paraId="5B2E64FB" w14:textId="77777777" w:rsidR="00052915" w:rsidRPr="00AE6CE4" w:rsidRDefault="00052915" w:rsidP="00052915">
      <w:pPr>
        <w:spacing w:before="100" w:beforeAutospacing="1" w:after="100" w:afterAutospacing="1"/>
        <w:ind w:left="425"/>
        <w:jc w:val="center"/>
        <w:rPr>
          <w:sz w:val="24"/>
          <w:szCs w:val="24"/>
        </w:rPr>
      </w:pPr>
    </w:p>
    <w:p w14:paraId="1DE4EA0C" w14:textId="79267D86" w:rsidR="00052915" w:rsidRPr="00AE6CE4" w:rsidRDefault="006D7C30" w:rsidP="00052915">
      <w:pPr>
        <w:spacing w:before="100" w:beforeAutospacing="1" w:after="100" w:afterAutospacing="1"/>
        <w:jc w:val="center"/>
        <w:rPr>
          <w:b/>
          <w:sz w:val="24"/>
          <w:szCs w:val="24"/>
        </w:rPr>
      </w:pPr>
      <w:r w:rsidRPr="00AE6CE4">
        <w:rPr>
          <w:b/>
          <w:sz w:val="24"/>
          <w:szCs w:val="24"/>
        </w:rPr>
        <w:t>1551</w:t>
      </w:r>
    </w:p>
    <w:p w14:paraId="71F3814F" w14:textId="0752F339" w:rsidR="00052915" w:rsidRPr="00AE6CE4" w:rsidRDefault="00052915" w:rsidP="00052915">
      <w:pPr>
        <w:spacing w:before="100" w:beforeAutospacing="1" w:after="100" w:afterAutospacing="1"/>
        <w:jc w:val="center"/>
        <w:rPr>
          <w:b/>
          <w:sz w:val="24"/>
          <w:szCs w:val="24"/>
        </w:rPr>
      </w:pPr>
      <w:r w:rsidRPr="00AE6CE4">
        <w:rPr>
          <w:b/>
          <w:sz w:val="24"/>
          <w:szCs w:val="24"/>
        </w:rPr>
        <w:t>VLÁDNY NÁVRH</w:t>
      </w:r>
    </w:p>
    <w:p w14:paraId="7A740127" w14:textId="77777777" w:rsidR="00AE1415" w:rsidRDefault="00AE1415" w:rsidP="00AE1415">
      <w:pPr>
        <w:keepNext/>
        <w:keepLines/>
        <w:spacing w:before="240" w:after="200"/>
        <w:jc w:val="center"/>
        <w:rPr>
          <w:b/>
          <w:sz w:val="24"/>
        </w:rPr>
      </w:pPr>
    </w:p>
    <w:p w14:paraId="3B5BF2B8" w14:textId="0BACACF6" w:rsidR="00AE1415" w:rsidRPr="005D1063" w:rsidRDefault="00AE1415" w:rsidP="00AE1415">
      <w:pPr>
        <w:keepNext/>
        <w:keepLines/>
        <w:spacing w:before="240" w:after="200"/>
        <w:jc w:val="center"/>
      </w:pPr>
      <w:bookmarkStart w:id="0" w:name="_GoBack"/>
      <w:bookmarkEnd w:id="0"/>
      <w:r w:rsidRPr="005D1063">
        <w:rPr>
          <w:b/>
          <w:sz w:val="24"/>
        </w:rPr>
        <w:t>ZÁKON</w:t>
      </w:r>
    </w:p>
    <w:p w14:paraId="517B5961" w14:textId="77777777" w:rsidR="00AE1415" w:rsidRPr="005D1063" w:rsidRDefault="00AE1415" w:rsidP="00AE1415">
      <w:pPr>
        <w:keepNext/>
        <w:keepLines/>
        <w:spacing w:before="240" w:after="200"/>
        <w:jc w:val="center"/>
        <w:rPr>
          <w:sz w:val="24"/>
        </w:rPr>
      </w:pPr>
      <w:r w:rsidRPr="005D1063">
        <w:rPr>
          <w:sz w:val="24"/>
        </w:rPr>
        <w:t>z ... 2023,</w:t>
      </w:r>
    </w:p>
    <w:p w14:paraId="0420C498" w14:textId="77777777" w:rsidR="00AE1415" w:rsidRPr="005D1063" w:rsidRDefault="00AE1415" w:rsidP="00AE1415">
      <w:pPr>
        <w:keepNext/>
        <w:keepLines/>
        <w:spacing w:before="240" w:after="200"/>
        <w:jc w:val="center"/>
        <w:rPr>
          <w:b/>
          <w:sz w:val="24"/>
        </w:rPr>
      </w:pPr>
      <w:r w:rsidRPr="005D1063">
        <w:rPr>
          <w:b/>
          <w:sz w:val="24"/>
        </w:rPr>
        <w:t>ktorým sa mení a dopĺňa zákon č. 60/2018 Z. z. o technickej normalizácii</w:t>
      </w:r>
      <w:r w:rsidRPr="005D1063">
        <w:rPr>
          <w:b/>
          <w:sz w:val="24"/>
        </w:rPr>
        <w:br/>
        <w:t>v znení neskorších predpisov</w:t>
      </w:r>
    </w:p>
    <w:p w14:paraId="7822B356" w14:textId="77777777" w:rsidR="00AE1415" w:rsidRPr="005D1063" w:rsidRDefault="00AE1415" w:rsidP="00AE1415">
      <w:pPr>
        <w:keepNext/>
        <w:keepLines/>
        <w:spacing w:before="240" w:after="200"/>
        <w:jc w:val="center"/>
      </w:pPr>
      <w:r w:rsidRPr="005D1063">
        <w:rPr>
          <w:sz w:val="24"/>
        </w:rPr>
        <w:t>Národná rada Slovenskej republiky sa uzniesla na tomto zákone:</w:t>
      </w:r>
    </w:p>
    <w:p w14:paraId="6646EC51" w14:textId="77777777" w:rsidR="00AE1415" w:rsidRPr="005D1063" w:rsidRDefault="00AE1415" w:rsidP="00AE1415">
      <w:pPr>
        <w:keepNext/>
        <w:keepLines/>
        <w:spacing w:before="240" w:after="240"/>
        <w:jc w:val="center"/>
        <w:rPr>
          <w:b/>
          <w:sz w:val="24"/>
        </w:rPr>
      </w:pPr>
    </w:p>
    <w:p w14:paraId="49E4C5DA" w14:textId="77777777" w:rsidR="00AE1415" w:rsidRPr="005D1063" w:rsidRDefault="00AE1415" w:rsidP="00AE1415">
      <w:pPr>
        <w:keepNext/>
        <w:keepLines/>
        <w:spacing w:before="240" w:after="240"/>
        <w:jc w:val="center"/>
      </w:pPr>
      <w:r w:rsidRPr="005D1063">
        <w:rPr>
          <w:b/>
          <w:sz w:val="24"/>
        </w:rPr>
        <w:t>Čl. I</w:t>
      </w:r>
    </w:p>
    <w:p w14:paraId="688721A5" w14:textId="77777777" w:rsidR="00AE1415" w:rsidRPr="005D1063" w:rsidRDefault="00AE1415" w:rsidP="00AE1415">
      <w:pPr>
        <w:keepNext/>
        <w:keepLines/>
        <w:spacing w:before="240" w:after="200"/>
        <w:ind w:firstLine="709"/>
        <w:jc w:val="both"/>
      </w:pPr>
      <w:r w:rsidRPr="005D1063">
        <w:rPr>
          <w:sz w:val="24"/>
        </w:rPr>
        <w:t>Zákon č. 60/2018 Z. z. o technickej normalizácii v znení zákona č. 215/2019 Z. z., zákona č. 259/2021 Z. z. a zákona č. 249/2022 Z. z. sa mení a dopĺňa takto:</w:t>
      </w:r>
    </w:p>
    <w:p w14:paraId="2322B4E6" w14:textId="77777777" w:rsidR="00AE1415" w:rsidRPr="005D1063" w:rsidRDefault="00AE1415" w:rsidP="00AE1415">
      <w:pPr>
        <w:pStyle w:val="Odsekzoznamu"/>
        <w:keepNext/>
        <w:keepLines/>
        <w:numPr>
          <w:ilvl w:val="0"/>
          <w:numId w:val="15"/>
        </w:numPr>
        <w:spacing w:before="240" w:after="120"/>
        <w:ind w:left="357" w:hanging="357"/>
        <w:contextualSpacing w:val="0"/>
        <w:jc w:val="both"/>
        <w:rPr>
          <w:sz w:val="24"/>
          <w:szCs w:val="24"/>
        </w:rPr>
      </w:pPr>
      <w:r w:rsidRPr="005D1063">
        <w:rPr>
          <w:sz w:val="24"/>
          <w:szCs w:val="24"/>
        </w:rPr>
        <w:t>V § 3 odseky 1 a 2 znejú:</w:t>
      </w:r>
    </w:p>
    <w:p w14:paraId="05829BFF" w14:textId="77777777" w:rsidR="00AE1415" w:rsidRPr="005D1063" w:rsidRDefault="00AE1415" w:rsidP="00AE1415">
      <w:pPr>
        <w:pStyle w:val="Odsekzoznamu"/>
        <w:keepNext/>
        <w:keepLines/>
        <w:spacing w:before="240" w:after="120"/>
        <w:ind w:left="357"/>
        <w:contextualSpacing w:val="0"/>
        <w:jc w:val="both"/>
        <w:rPr>
          <w:sz w:val="24"/>
          <w:szCs w:val="24"/>
        </w:rPr>
      </w:pPr>
      <w:r w:rsidRPr="005D1063">
        <w:rPr>
          <w:sz w:val="24"/>
          <w:szCs w:val="24"/>
        </w:rPr>
        <w:t>„(1) Technickou normou je európska norma,</w:t>
      </w:r>
      <w:r w:rsidRPr="005D1063">
        <w:rPr>
          <w:sz w:val="24"/>
          <w:szCs w:val="24"/>
          <w:vertAlign w:val="superscript"/>
        </w:rPr>
        <w:t>2</w:t>
      </w:r>
      <w:r w:rsidRPr="005D1063">
        <w:rPr>
          <w:sz w:val="24"/>
          <w:szCs w:val="24"/>
        </w:rPr>
        <w:t>) medzinárodná norma,</w:t>
      </w:r>
      <w:r w:rsidRPr="005D1063">
        <w:rPr>
          <w:sz w:val="24"/>
          <w:szCs w:val="24"/>
          <w:vertAlign w:val="superscript"/>
        </w:rPr>
        <w:t>2a</w:t>
      </w:r>
      <w:r w:rsidRPr="005D1063">
        <w:rPr>
          <w:sz w:val="24"/>
          <w:szCs w:val="24"/>
        </w:rPr>
        <w:t>) harmonizovaná norma</w:t>
      </w:r>
      <w:r w:rsidRPr="005D1063">
        <w:rPr>
          <w:sz w:val="24"/>
          <w:szCs w:val="24"/>
          <w:vertAlign w:val="superscript"/>
        </w:rPr>
        <w:t>2b</w:t>
      </w:r>
      <w:r w:rsidRPr="005D1063">
        <w:rPr>
          <w:sz w:val="24"/>
          <w:szCs w:val="24"/>
        </w:rPr>
        <w:t>) a národná norma</w:t>
      </w:r>
      <w:r w:rsidRPr="005D1063">
        <w:rPr>
          <w:sz w:val="24"/>
          <w:szCs w:val="24"/>
          <w:vertAlign w:val="superscript"/>
        </w:rPr>
        <w:t>2c</w:t>
      </w:r>
      <w:r w:rsidRPr="005D1063">
        <w:rPr>
          <w:sz w:val="24"/>
          <w:szCs w:val="24"/>
        </w:rPr>
        <w:t>). Technická norma vychádza zo zásady koherencie, transparentnosti, otvorenosti, dobrovoľnosti uplatňovania, nezávislosti od osobitných záujmov, efektivity, a ktorá obsahuje súbor pravidiel, usmernení, technických špecifikácií alebo výsledkov činností, ktoré odzrkadľujú aktuálny stav vedy a techniky a je výsledkom konsenzu zainteresovaných strán a podlieha systematickým previerkam jej aktuálnosti.  Technická norma nie je technickým predpisom.</w:t>
      </w:r>
      <w:r w:rsidRPr="005D1063">
        <w:rPr>
          <w:sz w:val="24"/>
          <w:szCs w:val="24"/>
          <w:vertAlign w:val="superscript"/>
        </w:rPr>
        <w:t>3</w:t>
      </w:r>
      <w:r w:rsidRPr="005D1063">
        <w:rPr>
          <w:sz w:val="24"/>
          <w:szCs w:val="24"/>
        </w:rPr>
        <w:t>)</w:t>
      </w:r>
    </w:p>
    <w:p w14:paraId="7EA74134" w14:textId="77777777" w:rsidR="00AE1415" w:rsidRPr="005D1063" w:rsidRDefault="00AE1415" w:rsidP="00AE1415">
      <w:pPr>
        <w:pStyle w:val="Odsekzoznamu"/>
        <w:keepNext/>
        <w:keepLines/>
        <w:spacing w:before="240" w:after="120"/>
        <w:ind w:left="357"/>
        <w:contextualSpacing w:val="0"/>
        <w:jc w:val="both"/>
        <w:rPr>
          <w:sz w:val="24"/>
          <w:szCs w:val="24"/>
        </w:rPr>
      </w:pPr>
      <w:r w:rsidRPr="005D1063">
        <w:rPr>
          <w:sz w:val="24"/>
          <w:szCs w:val="24"/>
        </w:rPr>
        <w:t xml:space="preserve">(2) Slovenskou technickou normou je technická norma prijatá do sústavy slovenských technických noriem podľa tohto zákona. </w:t>
      </w:r>
    </w:p>
    <w:p w14:paraId="717D513D" w14:textId="77777777" w:rsidR="00AE1415" w:rsidRPr="005D1063" w:rsidRDefault="00AE1415" w:rsidP="00AE1415">
      <w:pPr>
        <w:pStyle w:val="Odsekzoznamu"/>
        <w:keepNext/>
        <w:keepLines/>
        <w:spacing w:before="240" w:after="120"/>
        <w:ind w:left="357"/>
        <w:contextualSpacing w:val="0"/>
        <w:jc w:val="both"/>
        <w:rPr>
          <w:sz w:val="24"/>
          <w:szCs w:val="24"/>
        </w:rPr>
      </w:pPr>
      <w:r w:rsidRPr="005D1063">
        <w:rPr>
          <w:sz w:val="24"/>
          <w:szCs w:val="24"/>
        </w:rPr>
        <w:t>Poznámky pod čiarou k odkazom 2 až 2c znejú:</w:t>
      </w:r>
    </w:p>
    <w:p w14:paraId="6FA279FB" w14:textId="77777777" w:rsidR="00AE1415" w:rsidRPr="005D1063" w:rsidRDefault="00AE1415" w:rsidP="00AE1415">
      <w:pPr>
        <w:pStyle w:val="Textpoznmkypodiarou"/>
        <w:ind w:left="426" w:firstLine="0"/>
        <w:jc w:val="left"/>
        <w:rPr>
          <w:rFonts w:ascii="Times New Roman" w:hAnsi="Times New Roman" w:cs="Times New Roman"/>
          <w:sz w:val="24"/>
          <w:szCs w:val="24"/>
          <w:lang w:val="sk-SK"/>
        </w:rPr>
      </w:pPr>
      <w:r w:rsidRPr="005D1063">
        <w:rPr>
          <w:rFonts w:ascii="Times New Roman" w:hAnsi="Times New Roman" w:cs="Times New Roman"/>
          <w:sz w:val="24"/>
          <w:szCs w:val="24"/>
          <w:lang w:val="sk-SK"/>
        </w:rPr>
        <w:t>„</w:t>
      </w:r>
      <w:r w:rsidRPr="005D1063">
        <w:rPr>
          <w:rFonts w:ascii="Times New Roman" w:hAnsi="Times New Roman" w:cs="Times New Roman"/>
          <w:sz w:val="24"/>
          <w:szCs w:val="24"/>
          <w:vertAlign w:val="superscript"/>
          <w:lang w:val="sk-SK"/>
        </w:rPr>
        <w:t>2</w:t>
      </w:r>
      <w:r w:rsidRPr="005D1063">
        <w:rPr>
          <w:rFonts w:ascii="Times New Roman" w:hAnsi="Times New Roman" w:cs="Times New Roman"/>
          <w:sz w:val="24"/>
          <w:szCs w:val="24"/>
          <w:lang w:val="sk-SK"/>
        </w:rPr>
        <w:t>) Čl. 2 ods. 1 písm. b) nariadenia (EÚ) č. 1025/2012 v platnom znení.</w:t>
      </w:r>
    </w:p>
    <w:p w14:paraId="472E96E2" w14:textId="77777777" w:rsidR="00AE1415" w:rsidRPr="005D1063" w:rsidRDefault="00AE1415" w:rsidP="00AE1415">
      <w:pPr>
        <w:pStyle w:val="Textpoznmkypodiarou"/>
        <w:ind w:left="426" w:firstLine="0"/>
        <w:jc w:val="left"/>
        <w:rPr>
          <w:rFonts w:ascii="Times New Roman" w:hAnsi="Times New Roman" w:cs="Times New Roman"/>
          <w:sz w:val="24"/>
          <w:szCs w:val="24"/>
          <w:lang w:val="sk-SK"/>
        </w:rPr>
      </w:pPr>
      <w:r w:rsidRPr="005D1063">
        <w:rPr>
          <w:rFonts w:ascii="Times New Roman" w:hAnsi="Times New Roman" w:cs="Times New Roman"/>
          <w:sz w:val="24"/>
          <w:szCs w:val="24"/>
          <w:vertAlign w:val="superscript"/>
          <w:lang w:val="sk-SK"/>
        </w:rPr>
        <w:t>2a</w:t>
      </w:r>
      <w:r w:rsidRPr="005D1063">
        <w:rPr>
          <w:rFonts w:ascii="Times New Roman" w:hAnsi="Times New Roman" w:cs="Times New Roman"/>
          <w:sz w:val="24"/>
          <w:szCs w:val="24"/>
          <w:lang w:val="sk-SK"/>
        </w:rPr>
        <w:t>) Čl. 2 ods. 1 písm. a) nariadenia (EÚ) č. 1025/2012 v platnom znení.</w:t>
      </w:r>
    </w:p>
    <w:p w14:paraId="615F29F3" w14:textId="77777777" w:rsidR="00AE1415" w:rsidRPr="005D1063" w:rsidRDefault="00AE1415" w:rsidP="00AE1415">
      <w:pPr>
        <w:pStyle w:val="Textpoznmkypodiarou"/>
        <w:ind w:left="426" w:firstLine="0"/>
        <w:jc w:val="left"/>
        <w:rPr>
          <w:rFonts w:ascii="Times New Roman" w:hAnsi="Times New Roman" w:cs="Times New Roman"/>
          <w:sz w:val="24"/>
          <w:szCs w:val="24"/>
          <w:lang w:val="sk-SK"/>
        </w:rPr>
      </w:pPr>
      <w:r w:rsidRPr="005D1063">
        <w:rPr>
          <w:rFonts w:ascii="Times New Roman" w:hAnsi="Times New Roman" w:cs="Times New Roman"/>
          <w:sz w:val="24"/>
          <w:szCs w:val="24"/>
          <w:vertAlign w:val="superscript"/>
          <w:lang w:val="sk-SK"/>
        </w:rPr>
        <w:t>2b</w:t>
      </w:r>
      <w:r w:rsidRPr="005D1063">
        <w:rPr>
          <w:rFonts w:ascii="Times New Roman" w:hAnsi="Times New Roman" w:cs="Times New Roman"/>
          <w:sz w:val="24"/>
          <w:szCs w:val="24"/>
          <w:lang w:val="sk-SK"/>
        </w:rPr>
        <w:t>) Čl. 2 ods. 1 písm. c) nariadenia (EÚ) č. 1025/2012 v platnom znení.</w:t>
      </w:r>
    </w:p>
    <w:p w14:paraId="1AD944EB" w14:textId="77777777" w:rsidR="00AE1415" w:rsidRPr="005D1063" w:rsidRDefault="00AE1415" w:rsidP="00AE1415">
      <w:pPr>
        <w:pStyle w:val="Textpoznmkypodiarou"/>
        <w:ind w:left="426" w:firstLine="0"/>
        <w:jc w:val="left"/>
        <w:rPr>
          <w:rFonts w:ascii="Times New Roman" w:hAnsi="Times New Roman" w:cs="Times New Roman"/>
          <w:sz w:val="24"/>
          <w:szCs w:val="24"/>
          <w:lang w:val="sk-SK"/>
        </w:rPr>
      </w:pPr>
      <w:r w:rsidRPr="005D1063">
        <w:rPr>
          <w:rFonts w:ascii="Times New Roman" w:hAnsi="Times New Roman" w:cs="Times New Roman"/>
          <w:sz w:val="24"/>
          <w:szCs w:val="24"/>
          <w:vertAlign w:val="superscript"/>
          <w:lang w:val="sk-SK"/>
        </w:rPr>
        <w:t>2c</w:t>
      </w:r>
      <w:r w:rsidRPr="005D1063">
        <w:rPr>
          <w:rFonts w:ascii="Times New Roman" w:hAnsi="Times New Roman" w:cs="Times New Roman"/>
          <w:sz w:val="24"/>
          <w:szCs w:val="24"/>
          <w:lang w:val="sk-SK"/>
        </w:rPr>
        <w:t>) Čl. 2 ods. 1 písm. d) nariadenia (EÚ) č. 1025/2012 v platnom znení.“.</w:t>
      </w:r>
    </w:p>
    <w:p w14:paraId="1C35A598" w14:textId="77777777" w:rsidR="00AE1415" w:rsidRPr="005D1063" w:rsidRDefault="00AE1415" w:rsidP="00AE1415">
      <w:pPr>
        <w:pStyle w:val="Textpoznmkypodiarou"/>
        <w:ind w:left="0" w:firstLine="0"/>
        <w:jc w:val="left"/>
        <w:rPr>
          <w:rFonts w:ascii="Times New Roman" w:hAnsi="Times New Roman" w:cs="Times New Roman"/>
          <w:sz w:val="24"/>
          <w:szCs w:val="24"/>
          <w:lang w:val="sk-SK"/>
        </w:rPr>
      </w:pPr>
    </w:p>
    <w:p w14:paraId="511E70DD" w14:textId="77777777" w:rsidR="00AE1415" w:rsidRPr="005D1063" w:rsidRDefault="00AE1415" w:rsidP="00AE1415">
      <w:pPr>
        <w:pStyle w:val="Textpoznmkypodiarou"/>
        <w:ind w:left="426" w:firstLine="0"/>
        <w:jc w:val="left"/>
        <w:rPr>
          <w:rFonts w:ascii="Times New Roman" w:hAnsi="Times New Roman" w:cs="Times New Roman"/>
          <w:sz w:val="24"/>
          <w:szCs w:val="24"/>
          <w:lang w:val="sk-SK"/>
        </w:rPr>
      </w:pPr>
    </w:p>
    <w:p w14:paraId="17DCB46A" w14:textId="77777777" w:rsidR="00AE1415" w:rsidRPr="005D1063" w:rsidRDefault="00AE1415" w:rsidP="00AE1415">
      <w:pPr>
        <w:pStyle w:val="Textpoznmkypodiarou"/>
        <w:numPr>
          <w:ilvl w:val="0"/>
          <w:numId w:val="15"/>
        </w:numPr>
        <w:ind w:left="426" w:hanging="426"/>
        <w:jc w:val="left"/>
        <w:rPr>
          <w:rFonts w:ascii="Times New Roman" w:hAnsi="Times New Roman" w:cs="Times New Roman"/>
          <w:sz w:val="24"/>
          <w:szCs w:val="24"/>
          <w:lang w:val="sk-SK"/>
        </w:rPr>
      </w:pPr>
      <w:r w:rsidRPr="005D1063">
        <w:rPr>
          <w:rFonts w:ascii="Times New Roman" w:hAnsi="Times New Roman" w:cs="Times New Roman"/>
          <w:sz w:val="24"/>
          <w:szCs w:val="24"/>
          <w:lang w:val="sk-SK"/>
        </w:rPr>
        <w:t>V § 3 ods. 4 sa nad slovami „európskej normy“ odkaz „</w:t>
      </w:r>
      <w:r w:rsidRPr="005D1063">
        <w:rPr>
          <w:rFonts w:ascii="Times New Roman" w:hAnsi="Times New Roman" w:cs="Times New Roman"/>
          <w:sz w:val="24"/>
          <w:szCs w:val="24"/>
          <w:vertAlign w:val="superscript"/>
          <w:lang w:val="sk-SK"/>
        </w:rPr>
        <w:t>4</w:t>
      </w:r>
      <w:r w:rsidRPr="005D1063">
        <w:rPr>
          <w:rFonts w:ascii="Times New Roman" w:hAnsi="Times New Roman" w:cs="Times New Roman"/>
          <w:sz w:val="24"/>
          <w:szCs w:val="24"/>
          <w:lang w:val="sk-SK"/>
        </w:rPr>
        <w:t>)“ nahrádza odkazom „</w:t>
      </w:r>
      <w:r w:rsidRPr="005D1063">
        <w:rPr>
          <w:rFonts w:ascii="Times New Roman" w:hAnsi="Times New Roman" w:cs="Times New Roman"/>
          <w:sz w:val="24"/>
          <w:szCs w:val="24"/>
          <w:vertAlign w:val="superscript"/>
          <w:lang w:val="sk-SK"/>
        </w:rPr>
        <w:t>2</w:t>
      </w:r>
      <w:r w:rsidRPr="005D1063">
        <w:rPr>
          <w:rFonts w:ascii="Times New Roman" w:hAnsi="Times New Roman" w:cs="Times New Roman"/>
          <w:sz w:val="24"/>
          <w:szCs w:val="24"/>
          <w:lang w:val="sk-SK"/>
        </w:rPr>
        <w:t>)“ a nad slovami „medzinárodnej normy“ sa odkaz „</w:t>
      </w:r>
      <w:r w:rsidRPr="005D1063">
        <w:rPr>
          <w:rFonts w:ascii="Times New Roman" w:hAnsi="Times New Roman" w:cs="Times New Roman"/>
          <w:sz w:val="24"/>
          <w:szCs w:val="24"/>
          <w:vertAlign w:val="superscript"/>
          <w:lang w:val="sk-SK"/>
        </w:rPr>
        <w:t>5</w:t>
      </w:r>
      <w:r w:rsidRPr="005D1063">
        <w:rPr>
          <w:rFonts w:ascii="Times New Roman" w:hAnsi="Times New Roman" w:cs="Times New Roman"/>
          <w:sz w:val="24"/>
          <w:szCs w:val="24"/>
          <w:lang w:val="sk-SK"/>
        </w:rPr>
        <w:t>)“ nahrádza odkazom „</w:t>
      </w:r>
      <w:r w:rsidRPr="005D1063">
        <w:rPr>
          <w:rFonts w:ascii="Times New Roman" w:hAnsi="Times New Roman" w:cs="Times New Roman"/>
          <w:sz w:val="24"/>
          <w:szCs w:val="24"/>
          <w:vertAlign w:val="superscript"/>
          <w:lang w:val="sk-SK"/>
        </w:rPr>
        <w:t>2a</w:t>
      </w:r>
      <w:r w:rsidRPr="005D1063">
        <w:rPr>
          <w:rFonts w:ascii="Times New Roman" w:hAnsi="Times New Roman" w:cs="Times New Roman"/>
          <w:sz w:val="24"/>
          <w:szCs w:val="24"/>
          <w:lang w:val="sk-SK"/>
        </w:rPr>
        <w:t>)“.</w:t>
      </w:r>
    </w:p>
    <w:p w14:paraId="09021017" w14:textId="77777777" w:rsidR="00AE1415" w:rsidRPr="005D1063" w:rsidRDefault="00AE1415" w:rsidP="00AE1415">
      <w:pPr>
        <w:keepNext/>
        <w:keepLines/>
        <w:spacing w:after="120"/>
        <w:ind w:firstLine="357"/>
        <w:jc w:val="both"/>
        <w:rPr>
          <w:sz w:val="24"/>
          <w:szCs w:val="24"/>
        </w:rPr>
      </w:pPr>
    </w:p>
    <w:p w14:paraId="2F300412" w14:textId="77777777" w:rsidR="00AE1415" w:rsidRPr="005D1063" w:rsidRDefault="00AE1415" w:rsidP="00AE1415">
      <w:pPr>
        <w:keepNext/>
        <w:keepLines/>
        <w:ind w:firstLine="357"/>
        <w:jc w:val="both"/>
        <w:rPr>
          <w:sz w:val="24"/>
          <w:szCs w:val="24"/>
        </w:rPr>
      </w:pPr>
      <w:r w:rsidRPr="005D1063">
        <w:rPr>
          <w:sz w:val="24"/>
          <w:szCs w:val="24"/>
        </w:rPr>
        <w:t xml:space="preserve"> Poznámky pod čiarou k odkazom 4 a 5 sa vypúšťajú.</w:t>
      </w:r>
    </w:p>
    <w:p w14:paraId="6018E57A" w14:textId="77777777" w:rsidR="00AE1415" w:rsidRPr="005D1063" w:rsidRDefault="00AE1415" w:rsidP="00AE1415">
      <w:pPr>
        <w:keepNext/>
        <w:keepLines/>
        <w:jc w:val="both"/>
        <w:rPr>
          <w:sz w:val="24"/>
          <w:szCs w:val="24"/>
        </w:rPr>
      </w:pPr>
    </w:p>
    <w:p w14:paraId="36286957" w14:textId="77777777" w:rsidR="00AE1415" w:rsidRPr="005D1063" w:rsidRDefault="00AE1415" w:rsidP="00AE1415">
      <w:pPr>
        <w:pStyle w:val="Textpoznmkypodiarou"/>
        <w:numPr>
          <w:ilvl w:val="0"/>
          <w:numId w:val="15"/>
        </w:numPr>
        <w:ind w:left="426" w:hanging="426"/>
        <w:jc w:val="left"/>
        <w:rPr>
          <w:sz w:val="24"/>
          <w:szCs w:val="24"/>
          <w:lang w:val="sk-SK"/>
        </w:rPr>
      </w:pPr>
      <w:r w:rsidRPr="005D1063">
        <w:rPr>
          <w:rFonts w:ascii="Times New Roman" w:hAnsi="Times New Roman" w:cs="Times New Roman"/>
          <w:sz w:val="24"/>
          <w:szCs w:val="24"/>
          <w:lang w:val="sk-SK"/>
        </w:rPr>
        <w:t>V § 3 sa za odsek 8 vkladá nový odsek 9, ktorý znie:</w:t>
      </w:r>
    </w:p>
    <w:p w14:paraId="475DF749" w14:textId="77777777" w:rsidR="00AE1415" w:rsidRPr="005D1063" w:rsidRDefault="00AE1415" w:rsidP="00AE1415">
      <w:pPr>
        <w:pStyle w:val="Textpoznmkypodiarou"/>
        <w:ind w:left="426" w:firstLine="0"/>
        <w:jc w:val="left"/>
        <w:rPr>
          <w:sz w:val="24"/>
          <w:szCs w:val="24"/>
          <w:lang w:val="sk-SK"/>
        </w:rPr>
      </w:pPr>
    </w:p>
    <w:p w14:paraId="7AE48CB3" w14:textId="77777777" w:rsidR="00AE1415" w:rsidRPr="005D1063" w:rsidRDefault="00AE1415" w:rsidP="00AE1415">
      <w:pPr>
        <w:spacing w:after="203"/>
        <w:ind w:left="283"/>
        <w:jc w:val="both"/>
        <w:rPr>
          <w:sz w:val="24"/>
          <w:szCs w:val="24"/>
        </w:rPr>
      </w:pPr>
      <w:r w:rsidRPr="005D1063">
        <w:rPr>
          <w:sz w:val="24"/>
          <w:szCs w:val="24"/>
        </w:rPr>
        <w:t>„(9) Preverovaním slovenskej technickej normy alebo technickej normalizačnej informácie proces posúdenia obsahu slovenskej technickej normy alebo technickej normalizačnej informácie z hľadiska potreby vykonania jej revízie alebo zrušenia.“.</w:t>
      </w:r>
    </w:p>
    <w:p w14:paraId="2CF69F6C" w14:textId="77777777" w:rsidR="00AE1415" w:rsidRPr="005D1063" w:rsidRDefault="00AE1415" w:rsidP="00AE1415">
      <w:pPr>
        <w:spacing w:after="203"/>
        <w:ind w:left="283"/>
        <w:jc w:val="both"/>
        <w:rPr>
          <w:sz w:val="24"/>
          <w:szCs w:val="24"/>
        </w:rPr>
      </w:pPr>
      <w:r w:rsidRPr="005D1063">
        <w:rPr>
          <w:sz w:val="24"/>
          <w:szCs w:val="24"/>
        </w:rPr>
        <w:t>Doterajšie odseky 9 až 13 sa označujú ako odseky 10 až 14.</w:t>
      </w:r>
    </w:p>
    <w:p w14:paraId="0C4EB766" w14:textId="77777777" w:rsidR="00AE1415" w:rsidRPr="005D1063" w:rsidRDefault="00AE1415" w:rsidP="00AE1415">
      <w:pPr>
        <w:pStyle w:val="Odsekzoznamu"/>
        <w:keepNext/>
        <w:keepLines/>
        <w:numPr>
          <w:ilvl w:val="0"/>
          <w:numId w:val="15"/>
        </w:numPr>
        <w:spacing w:before="240" w:after="120"/>
        <w:ind w:left="357" w:hanging="357"/>
        <w:contextualSpacing w:val="0"/>
        <w:jc w:val="both"/>
        <w:rPr>
          <w:sz w:val="24"/>
          <w:szCs w:val="24"/>
        </w:rPr>
      </w:pPr>
      <w:r w:rsidRPr="005D1063">
        <w:rPr>
          <w:sz w:val="24"/>
          <w:szCs w:val="24"/>
        </w:rPr>
        <w:t>V § 3 ods. 12 sa slová „zverejní úrad ako slovenský národný normalizačný orgán“ nahrádzajú slovami „upraví úrad v metodickom postupe, ktorý zverejní“.</w:t>
      </w:r>
    </w:p>
    <w:p w14:paraId="42DE6A45" w14:textId="77777777" w:rsidR="00AE1415" w:rsidRPr="005D1063" w:rsidRDefault="00AE1415" w:rsidP="00AE1415">
      <w:pPr>
        <w:pStyle w:val="Odsekzoznamu"/>
        <w:keepNext/>
        <w:keepLines/>
        <w:numPr>
          <w:ilvl w:val="0"/>
          <w:numId w:val="15"/>
        </w:numPr>
        <w:spacing w:before="240" w:after="120"/>
        <w:ind w:left="357" w:hanging="357"/>
        <w:contextualSpacing w:val="0"/>
        <w:jc w:val="both"/>
        <w:rPr>
          <w:sz w:val="24"/>
          <w:szCs w:val="24"/>
        </w:rPr>
      </w:pPr>
      <w:r w:rsidRPr="005D1063">
        <w:rPr>
          <w:sz w:val="24"/>
          <w:szCs w:val="24"/>
        </w:rPr>
        <w:t>V § 3 ods. 14 sa za slová „slovenskú technickú normu“ vkladajú slová „alebo technickú normalizačnú informáciu“.</w:t>
      </w:r>
    </w:p>
    <w:p w14:paraId="699FA4F7" w14:textId="77777777" w:rsidR="00AE1415" w:rsidRPr="005D1063" w:rsidRDefault="00AE1415" w:rsidP="00AE1415">
      <w:pPr>
        <w:pStyle w:val="Odsekzoznamu"/>
        <w:keepNext/>
        <w:keepLines/>
        <w:numPr>
          <w:ilvl w:val="0"/>
          <w:numId w:val="15"/>
        </w:numPr>
        <w:spacing w:before="240" w:after="120"/>
        <w:ind w:left="357" w:hanging="357"/>
        <w:contextualSpacing w:val="0"/>
        <w:jc w:val="both"/>
        <w:rPr>
          <w:sz w:val="24"/>
          <w:szCs w:val="24"/>
        </w:rPr>
      </w:pPr>
      <w:r w:rsidRPr="005D1063">
        <w:rPr>
          <w:sz w:val="24"/>
          <w:szCs w:val="24"/>
        </w:rPr>
        <w:t>§ 4 vrátane nadpisu znie:</w:t>
      </w:r>
    </w:p>
    <w:p w14:paraId="2C889802" w14:textId="77777777" w:rsidR="00AE1415" w:rsidRPr="005D1063" w:rsidRDefault="00AE1415" w:rsidP="00AE1415">
      <w:pPr>
        <w:jc w:val="center"/>
        <w:rPr>
          <w:b/>
          <w:sz w:val="24"/>
          <w:szCs w:val="24"/>
        </w:rPr>
      </w:pPr>
      <w:r w:rsidRPr="005D1063">
        <w:rPr>
          <w:sz w:val="24"/>
          <w:szCs w:val="24"/>
        </w:rPr>
        <w:t>„</w:t>
      </w:r>
      <w:r w:rsidRPr="005D1063">
        <w:rPr>
          <w:b/>
          <w:sz w:val="24"/>
          <w:szCs w:val="24"/>
        </w:rPr>
        <w:t>§ 4</w:t>
      </w:r>
    </w:p>
    <w:p w14:paraId="0F3C5D5F" w14:textId="77777777" w:rsidR="00AE1415" w:rsidRPr="005D1063" w:rsidRDefault="00AE1415" w:rsidP="00AE1415">
      <w:pPr>
        <w:spacing w:after="240"/>
        <w:jc w:val="center"/>
        <w:rPr>
          <w:b/>
          <w:sz w:val="24"/>
          <w:szCs w:val="24"/>
        </w:rPr>
      </w:pPr>
      <w:r w:rsidRPr="005D1063">
        <w:rPr>
          <w:b/>
          <w:sz w:val="24"/>
          <w:szCs w:val="24"/>
        </w:rPr>
        <w:t>Úrad</w:t>
      </w:r>
    </w:p>
    <w:p w14:paraId="19D6B46B" w14:textId="77777777" w:rsidR="00AE1415" w:rsidRPr="005D1063" w:rsidRDefault="00AE1415" w:rsidP="00AE1415">
      <w:pPr>
        <w:spacing w:after="100" w:afterAutospacing="1"/>
        <w:jc w:val="both"/>
        <w:rPr>
          <w:sz w:val="24"/>
          <w:szCs w:val="24"/>
        </w:rPr>
      </w:pPr>
      <w:r w:rsidRPr="005D1063">
        <w:rPr>
          <w:sz w:val="24"/>
          <w:szCs w:val="24"/>
        </w:rPr>
        <w:t>Úrad ako ústredný orgán štátnej správy v oblasti technickej normalizácie</w:t>
      </w:r>
      <w:r w:rsidRPr="005D1063">
        <w:rPr>
          <w:sz w:val="24"/>
          <w:szCs w:val="24"/>
          <w:vertAlign w:val="superscript"/>
        </w:rPr>
        <w:t>9a</w:t>
      </w:r>
      <w:r w:rsidRPr="005D1063">
        <w:rPr>
          <w:sz w:val="24"/>
          <w:szCs w:val="24"/>
        </w:rPr>
        <w:t>)</w:t>
      </w:r>
    </w:p>
    <w:p w14:paraId="5CD43B78" w14:textId="77777777" w:rsidR="00AE1415" w:rsidRPr="005D1063" w:rsidRDefault="00AE1415" w:rsidP="00AE1415">
      <w:pPr>
        <w:pStyle w:val="Odsekzoznamu"/>
        <w:widowControl w:val="0"/>
        <w:numPr>
          <w:ilvl w:val="0"/>
          <w:numId w:val="40"/>
        </w:numPr>
        <w:autoSpaceDE w:val="0"/>
        <w:autoSpaceDN w:val="0"/>
        <w:spacing w:before="100" w:after="240"/>
        <w:ind w:right="103" w:hanging="294"/>
        <w:contextualSpacing w:val="0"/>
        <w:jc w:val="both"/>
        <w:rPr>
          <w:sz w:val="24"/>
          <w:szCs w:val="24"/>
        </w:rPr>
      </w:pPr>
      <w:r w:rsidRPr="005D1063">
        <w:rPr>
          <w:sz w:val="24"/>
          <w:szCs w:val="24"/>
        </w:rPr>
        <w:t>metodicky usmerňuje a riadi tvorbu a poskytovanie slovenskej technickej normy a jej opravy, technickej normalizačnej informácie a jej opravy, inej technickej normy a jej zmeny a opravy a inej technickej normalizačnej informácie a jej opravy; metodické postupy zverejňuje na svojom webovom sídle,</w:t>
      </w:r>
    </w:p>
    <w:p w14:paraId="54FA5930" w14:textId="77777777" w:rsidR="00AE1415" w:rsidRPr="005D1063" w:rsidRDefault="00AE1415" w:rsidP="00AE1415">
      <w:pPr>
        <w:pStyle w:val="Odsekzoznamu"/>
        <w:widowControl w:val="0"/>
        <w:numPr>
          <w:ilvl w:val="0"/>
          <w:numId w:val="40"/>
        </w:numPr>
        <w:autoSpaceDE w:val="0"/>
        <w:autoSpaceDN w:val="0"/>
        <w:spacing w:before="100" w:after="240"/>
        <w:ind w:right="103" w:hanging="294"/>
        <w:contextualSpacing w:val="0"/>
        <w:jc w:val="both"/>
        <w:rPr>
          <w:sz w:val="24"/>
          <w:szCs w:val="24"/>
        </w:rPr>
      </w:pPr>
      <w:r w:rsidRPr="005D1063">
        <w:rPr>
          <w:sz w:val="24"/>
          <w:szCs w:val="24"/>
        </w:rPr>
        <w:t>zastupuje Slovenskú republiku vo Výbore pre normy Európskej komisie,</w:t>
      </w:r>
      <w:r w:rsidRPr="005D1063">
        <w:rPr>
          <w:sz w:val="24"/>
          <w:szCs w:val="24"/>
          <w:vertAlign w:val="superscript"/>
        </w:rPr>
        <w:t>9b</w:t>
      </w:r>
      <w:r w:rsidRPr="005D1063">
        <w:rPr>
          <w:sz w:val="24"/>
          <w:szCs w:val="24"/>
        </w:rPr>
        <w:t>)</w:t>
      </w:r>
      <w:r w:rsidRPr="005D1063">
        <w:rPr>
          <w:sz w:val="24"/>
          <w:szCs w:val="24"/>
          <w:vertAlign w:val="superscript"/>
        </w:rPr>
        <w:t xml:space="preserve"> </w:t>
      </w:r>
      <w:r w:rsidRPr="005D1063">
        <w:rPr>
          <w:sz w:val="24"/>
          <w:szCs w:val="24"/>
        </w:rPr>
        <w:t>zabezpečuje úlohy, ktoré vyplývajú z jeho zasadnutí a koordinuje účasť orgánov štátnej správy a  zainteresovanej strany</w:t>
      </w:r>
      <w:r w:rsidRPr="005D1063">
        <w:rPr>
          <w:sz w:val="24"/>
          <w:szCs w:val="24"/>
          <w:vertAlign w:val="superscript"/>
        </w:rPr>
        <w:t>13</w:t>
      </w:r>
      <w:r w:rsidRPr="005D1063">
        <w:rPr>
          <w:sz w:val="24"/>
          <w:szCs w:val="24"/>
        </w:rPr>
        <w:t>) na plnení týchto úloh,</w:t>
      </w:r>
    </w:p>
    <w:p w14:paraId="233C642D" w14:textId="77777777" w:rsidR="00AE1415" w:rsidRPr="005D1063" w:rsidRDefault="00AE1415" w:rsidP="00AE1415">
      <w:pPr>
        <w:numPr>
          <w:ilvl w:val="0"/>
          <w:numId w:val="40"/>
        </w:numPr>
        <w:spacing w:after="100" w:line="262" w:lineRule="auto"/>
        <w:ind w:hanging="283"/>
        <w:jc w:val="both"/>
        <w:rPr>
          <w:sz w:val="24"/>
          <w:szCs w:val="24"/>
        </w:rPr>
      </w:pPr>
      <w:r w:rsidRPr="005D1063">
        <w:rPr>
          <w:sz w:val="24"/>
          <w:szCs w:val="24"/>
        </w:rPr>
        <w:t>určuje slovenskú technickú normu vhodnú na posudzovanie zhody,</w:t>
      </w:r>
    </w:p>
    <w:p w14:paraId="5EDBCEBD" w14:textId="77777777" w:rsidR="00AE1415" w:rsidRPr="005D1063" w:rsidRDefault="00AE1415" w:rsidP="00AE1415">
      <w:pPr>
        <w:numPr>
          <w:ilvl w:val="0"/>
          <w:numId w:val="40"/>
        </w:numPr>
        <w:spacing w:after="100" w:line="262" w:lineRule="auto"/>
        <w:ind w:hanging="283"/>
        <w:jc w:val="both"/>
        <w:rPr>
          <w:sz w:val="24"/>
          <w:szCs w:val="24"/>
        </w:rPr>
      </w:pPr>
      <w:r w:rsidRPr="005D1063">
        <w:rPr>
          <w:sz w:val="24"/>
          <w:szCs w:val="24"/>
        </w:rPr>
        <w:t>uverejňuje oznámenie o prijatí alebo zrušení slovenskej technickej normy a jej oprave, o prijatí alebo zrušení technickej normalizačnej informácie a jej oprave a o slovenskej technickej norme vhodnej na posudzovanie zhody vo Vestníku Úradu pre normalizáciu, metrológiu a skúšobníctvo Slovenskej republiky (ďalej len „vestník“) alebo v odôvodnených prípadoch na svojom webovom sídle,</w:t>
      </w:r>
    </w:p>
    <w:p w14:paraId="319711F0" w14:textId="77777777" w:rsidR="00AE1415" w:rsidRPr="005D1063" w:rsidRDefault="00AE1415" w:rsidP="00AE1415">
      <w:pPr>
        <w:numPr>
          <w:ilvl w:val="0"/>
          <w:numId w:val="40"/>
        </w:numPr>
        <w:spacing w:after="100" w:line="262" w:lineRule="auto"/>
        <w:ind w:hanging="283"/>
        <w:jc w:val="both"/>
        <w:rPr>
          <w:sz w:val="24"/>
          <w:szCs w:val="24"/>
        </w:rPr>
      </w:pPr>
      <w:r w:rsidRPr="005D1063">
        <w:rPr>
          <w:sz w:val="24"/>
          <w:szCs w:val="24"/>
        </w:rPr>
        <w:t>oznamuje</w:t>
      </w:r>
      <w:r w:rsidRPr="005D1063">
        <w:rPr>
          <w:sz w:val="24"/>
          <w:szCs w:val="24"/>
          <w:vertAlign w:val="superscript"/>
        </w:rPr>
        <w:t>10</w:t>
      </w:r>
      <w:r w:rsidRPr="005D1063">
        <w:rPr>
          <w:sz w:val="24"/>
          <w:szCs w:val="24"/>
        </w:rPr>
        <w:t>) slovenský národný normalizačný orgán Európskej komisii,</w:t>
      </w:r>
    </w:p>
    <w:p w14:paraId="0B97DF89" w14:textId="77777777" w:rsidR="00AE1415" w:rsidRPr="005D1063" w:rsidRDefault="00AE1415" w:rsidP="00AE1415">
      <w:pPr>
        <w:numPr>
          <w:ilvl w:val="0"/>
          <w:numId w:val="40"/>
        </w:numPr>
        <w:spacing w:after="100" w:line="262" w:lineRule="auto"/>
        <w:ind w:hanging="283"/>
        <w:jc w:val="both"/>
        <w:rPr>
          <w:sz w:val="24"/>
          <w:szCs w:val="24"/>
        </w:rPr>
      </w:pPr>
      <w:r w:rsidRPr="005D1063">
        <w:rPr>
          <w:sz w:val="24"/>
          <w:szCs w:val="24"/>
        </w:rPr>
        <w:t>uhrádza poplatky za členstvo slovenského národného normalizačného orgánu v európskej normalizačnej organizácii a medzinárodnom normalizačnom orgáne,</w:t>
      </w:r>
    </w:p>
    <w:p w14:paraId="5C6738D9" w14:textId="77777777" w:rsidR="00AE1415" w:rsidRPr="005D1063" w:rsidRDefault="00AE1415" w:rsidP="00AE1415">
      <w:pPr>
        <w:numPr>
          <w:ilvl w:val="0"/>
          <w:numId w:val="40"/>
        </w:numPr>
        <w:spacing w:after="100" w:line="262" w:lineRule="auto"/>
        <w:ind w:hanging="283"/>
        <w:jc w:val="both"/>
        <w:rPr>
          <w:sz w:val="24"/>
          <w:szCs w:val="24"/>
        </w:rPr>
      </w:pPr>
      <w:r w:rsidRPr="005D1063">
        <w:rPr>
          <w:sz w:val="24"/>
          <w:szCs w:val="24"/>
        </w:rPr>
        <w:t>vykonáva dohľad nad dodržiavaním tohto zákona,</w:t>
      </w:r>
    </w:p>
    <w:p w14:paraId="7EFCD1DE" w14:textId="77777777" w:rsidR="00AE1415" w:rsidRPr="005D1063" w:rsidRDefault="00AE1415" w:rsidP="00AE1415">
      <w:pPr>
        <w:numPr>
          <w:ilvl w:val="0"/>
          <w:numId w:val="40"/>
        </w:numPr>
        <w:spacing w:after="100" w:line="262" w:lineRule="auto"/>
        <w:ind w:hanging="283"/>
        <w:jc w:val="both"/>
        <w:rPr>
          <w:sz w:val="24"/>
          <w:szCs w:val="24"/>
        </w:rPr>
      </w:pPr>
      <w:proofErr w:type="spellStart"/>
      <w:r w:rsidRPr="005D1063">
        <w:rPr>
          <w:sz w:val="24"/>
          <w:szCs w:val="24"/>
        </w:rPr>
        <w:t>prejednáva</w:t>
      </w:r>
      <w:proofErr w:type="spellEnd"/>
      <w:r w:rsidRPr="005D1063">
        <w:rPr>
          <w:sz w:val="24"/>
          <w:szCs w:val="24"/>
        </w:rPr>
        <w:t xml:space="preserve"> priestupky a iné správne delikty a ukladá pokuty podľa § 16 a 17,</w:t>
      </w:r>
    </w:p>
    <w:p w14:paraId="440C2736" w14:textId="77777777" w:rsidR="00AE1415" w:rsidRPr="005D1063" w:rsidRDefault="00AE1415" w:rsidP="00AE1415">
      <w:pPr>
        <w:numPr>
          <w:ilvl w:val="0"/>
          <w:numId w:val="40"/>
        </w:numPr>
        <w:spacing w:after="100" w:line="262" w:lineRule="auto"/>
        <w:ind w:hanging="283"/>
        <w:jc w:val="both"/>
        <w:rPr>
          <w:sz w:val="24"/>
          <w:szCs w:val="24"/>
        </w:rPr>
      </w:pPr>
      <w:r w:rsidRPr="005D1063">
        <w:rPr>
          <w:sz w:val="24"/>
          <w:szCs w:val="24"/>
        </w:rPr>
        <w:t>je slovenským národným normalizačným orgánom,</w:t>
      </w:r>
      <w:r w:rsidRPr="005D1063">
        <w:rPr>
          <w:sz w:val="24"/>
          <w:szCs w:val="24"/>
          <w:vertAlign w:val="superscript"/>
        </w:rPr>
        <w:t>11</w:t>
      </w:r>
      <w:r w:rsidRPr="005D1063">
        <w:rPr>
          <w:sz w:val="24"/>
          <w:szCs w:val="24"/>
        </w:rPr>
        <w:t>) ak vykonávaním všetkých činností slovenského národného normalizačného orgánu nepoverí právnickú osobu podľa § 4b,</w:t>
      </w:r>
    </w:p>
    <w:p w14:paraId="21491C4F" w14:textId="77777777" w:rsidR="00AE1415" w:rsidRPr="005D1063" w:rsidRDefault="00AE1415" w:rsidP="00AE1415">
      <w:pPr>
        <w:numPr>
          <w:ilvl w:val="0"/>
          <w:numId w:val="40"/>
        </w:numPr>
        <w:spacing w:after="226" w:line="262" w:lineRule="auto"/>
        <w:ind w:hanging="283"/>
        <w:jc w:val="both"/>
        <w:rPr>
          <w:sz w:val="24"/>
          <w:szCs w:val="24"/>
        </w:rPr>
      </w:pPr>
      <w:r w:rsidRPr="005D1063">
        <w:rPr>
          <w:bCs/>
          <w:sz w:val="24"/>
          <w:szCs w:val="24"/>
        </w:rPr>
        <w:t>môže poveriť právnickú osobu podľa § 4b vykonávaním niektorých činností slovenského národného normalizačného orgánu okrem § 4a písm. a),</w:t>
      </w:r>
    </w:p>
    <w:p w14:paraId="0CCFC670" w14:textId="77777777" w:rsidR="00AE1415" w:rsidRPr="005D1063" w:rsidRDefault="00AE1415" w:rsidP="00AE1415">
      <w:pPr>
        <w:pStyle w:val="Odsekzoznamu"/>
        <w:widowControl w:val="0"/>
        <w:numPr>
          <w:ilvl w:val="0"/>
          <w:numId w:val="40"/>
        </w:numPr>
        <w:autoSpaceDE w:val="0"/>
        <w:autoSpaceDN w:val="0"/>
        <w:spacing w:before="100"/>
        <w:ind w:right="103" w:hanging="360"/>
        <w:contextualSpacing w:val="0"/>
        <w:jc w:val="both"/>
        <w:rPr>
          <w:bCs/>
          <w:sz w:val="24"/>
          <w:szCs w:val="24"/>
        </w:rPr>
      </w:pPr>
      <w:r w:rsidRPr="005D1063">
        <w:rPr>
          <w:sz w:val="24"/>
          <w:szCs w:val="24"/>
        </w:rPr>
        <w:lastRenderedPageBreak/>
        <w:t>plní povinnosti podľa osobitného predpisu</w:t>
      </w:r>
      <w:r w:rsidRPr="005D1063">
        <w:rPr>
          <w:sz w:val="24"/>
          <w:szCs w:val="24"/>
          <w:vertAlign w:val="superscript"/>
        </w:rPr>
        <w:t>11a</w:t>
      </w:r>
      <w:r w:rsidRPr="005D1063">
        <w:rPr>
          <w:sz w:val="24"/>
          <w:szCs w:val="24"/>
        </w:rPr>
        <w:t>) v rozsahu ustanovenom osobitným predpisom,</w:t>
      </w:r>
      <w:r w:rsidRPr="005D1063">
        <w:rPr>
          <w:sz w:val="24"/>
          <w:szCs w:val="24"/>
          <w:vertAlign w:val="superscript"/>
        </w:rPr>
        <w:t>11b</w:t>
      </w:r>
      <w:r w:rsidRPr="005D1063">
        <w:rPr>
          <w:sz w:val="24"/>
          <w:szCs w:val="24"/>
        </w:rPr>
        <w:t>)</w:t>
      </w:r>
    </w:p>
    <w:p w14:paraId="19FC71F5" w14:textId="77777777" w:rsidR="00AE1415" w:rsidRPr="005D1063" w:rsidRDefault="00AE1415" w:rsidP="00AE1415">
      <w:pPr>
        <w:pStyle w:val="Odsekzoznamu"/>
        <w:widowControl w:val="0"/>
        <w:numPr>
          <w:ilvl w:val="0"/>
          <w:numId w:val="40"/>
        </w:numPr>
        <w:autoSpaceDE w:val="0"/>
        <w:autoSpaceDN w:val="0"/>
        <w:spacing w:before="100"/>
        <w:ind w:right="103" w:hanging="360"/>
        <w:contextualSpacing w:val="0"/>
        <w:jc w:val="both"/>
        <w:rPr>
          <w:bCs/>
          <w:sz w:val="24"/>
          <w:szCs w:val="24"/>
        </w:rPr>
      </w:pPr>
      <w:r w:rsidRPr="005D1063">
        <w:rPr>
          <w:bCs/>
          <w:sz w:val="24"/>
          <w:szCs w:val="24"/>
        </w:rPr>
        <w:t>môže zo štátneho rozpočtu prispievať na činnosť poverenej právnickej osoby podľa § 4b v oblasti technickej normalizácie; poverená právnická osoba podľa § 4b môže príspevok poskytnutý zo štátneho rozpočtu použiť len na činnosti súvisiace s tvorbou, poskytovaním, rozmnožovaním, rozširovaním, preverovaním a zrušením slovenských technických noriem a technických normalizačných informácií.“.</w:t>
      </w:r>
    </w:p>
    <w:p w14:paraId="04AC917C" w14:textId="77777777" w:rsidR="00AE1415" w:rsidRPr="005D1063" w:rsidRDefault="00AE1415" w:rsidP="00AE1415">
      <w:pPr>
        <w:pStyle w:val="Odsekzoznamu"/>
        <w:keepNext/>
        <w:keepLines/>
        <w:spacing w:before="240" w:after="120"/>
        <w:ind w:left="357"/>
        <w:contextualSpacing w:val="0"/>
        <w:jc w:val="both"/>
        <w:rPr>
          <w:sz w:val="24"/>
          <w:szCs w:val="24"/>
        </w:rPr>
      </w:pPr>
      <w:r w:rsidRPr="005D1063">
        <w:rPr>
          <w:sz w:val="24"/>
          <w:szCs w:val="24"/>
        </w:rPr>
        <w:t>Poznámky pod čiarou k odkazom 9a a 9b znejú:</w:t>
      </w:r>
    </w:p>
    <w:p w14:paraId="6B55EE7A" w14:textId="77777777" w:rsidR="00AE1415" w:rsidRPr="005D1063" w:rsidRDefault="00AE1415" w:rsidP="00AE1415">
      <w:pPr>
        <w:pStyle w:val="Odsekzoznamu"/>
        <w:keepNext/>
        <w:keepLines/>
        <w:spacing w:before="240" w:after="120"/>
        <w:ind w:left="357"/>
        <w:contextualSpacing w:val="0"/>
        <w:jc w:val="both"/>
        <w:rPr>
          <w:sz w:val="24"/>
          <w:szCs w:val="24"/>
        </w:rPr>
      </w:pPr>
      <w:r w:rsidRPr="005D1063">
        <w:rPr>
          <w:sz w:val="24"/>
          <w:szCs w:val="24"/>
        </w:rPr>
        <w:t>„</w:t>
      </w:r>
      <w:r w:rsidRPr="005D1063">
        <w:rPr>
          <w:sz w:val="24"/>
          <w:szCs w:val="24"/>
          <w:vertAlign w:val="superscript"/>
        </w:rPr>
        <w:t>9a</w:t>
      </w:r>
      <w:r w:rsidRPr="005D1063">
        <w:rPr>
          <w:sz w:val="24"/>
          <w:szCs w:val="24"/>
        </w:rPr>
        <w:t>) § 30 zákona č. 575/2001 Z. z. o organizácii činnosti vlády a organizácii ústrednej štátnej správy v znení zákona č. 505/2009 Z. z.</w:t>
      </w:r>
    </w:p>
    <w:p w14:paraId="5AAAB382" w14:textId="77777777" w:rsidR="00AE1415" w:rsidRPr="005D1063" w:rsidRDefault="00AE1415" w:rsidP="00AE1415">
      <w:pPr>
        <w:pStyle w:val="Odsekzoznamu"/>
        <w:keepNext/>
        <w:keepLines/>
        <w:spacing w:before="240"/>
        <w:ind w:left="357"/>
        <w:contextualSpacing w:val="0"/>
        <w:jc w:val="both"/>
        <w:rPr>
          <w:sz w:val="24"/>
          <w:szCs w:val="24"/>
        </w:rPr>
      </w:pPr>
      <w:r w:rsidRPr="005D1063">
        <w:rPr>
          <w:sz w:val="24"/>
          <w:szCs w:val="24"/>
          <w:vertAlign w:val="superscript"/>
        </w:rPr>
        <w:t>9b</w:t>
      </w:r>
      <w:r w:rsidRPr="005D1063">
        <w:rPr>
          <w:sz w:val="24"/>
          <w:szCs w:val="24"/>
        </w:rPr>
        <w:t>) Čl. 22 ods. 1 nariadenia (EÚ) č. 1025/2012 v platnom znení.</w:t>
      </w:r>
    </w:p>
    <w:p w14:paraId="61B55F5C" w14:textId="77777777" w:rsidR="00AE1415" w:rsidRPr="005D1063" w:rsidRDefault="00AE1415" w:rsidP="00AE1415">
      <w:pPr>
        <w:pStyle w:val="Odsekzoznamu"/>
        <w:keepNext/>
        <w:keepLines/>
        <w:spacing w:after="120"/>
        <w:ind w:left="357"/>
        <w:contextualSpacing w:val="0"/>
        <w:jc w:val="both"/>
        <w:rPr>
          <w:sz w:val="24"/>
          <w:szCs w:val="24"/>
        </w:rPr>
      </w:pPr>
      <w:r w:rsidRPr="005D1063">
        <w:rPr>
          <w:sz w:val="24"/>
          <w:szCs w:val="24"/>
        </w:rPr>
        <w:t>Čl. 4 nariadenia Európskeho parlamentu a Rady (EÚ) č. 182/2011 zo 16. februára 2011, ktorým sa ustanovujú pravidlá a všeobecné zásady mechanizmu, na základe ktorého členské štáty kontrolujú vykonávanie vykonávacích právomocí Komisie.“.</w:t>
      </w:r>
    </w:p>
    <w:p w14:paraId="06184429" w14:textId="77777777" w:rsidR="00AE1415" w:rsidRPr="005D1063" w:rsidRDefault="00AE1415" w:rsidP="00AE1415">
      <w:pPr>
        <w:pStyle w:val="Odsekzoznamu"/>
        <w:keepNext/>
        <w:keepLines/>
        <w:numPr>
          <w:ilvl w:val="0"/>
          <w:numId w:val="15"/>
        </w:numPr>
        <w:spacing w:before="240" w:after="120"/>
        <w:ind w:left="357" w:hanging="357"/>
        <w:contextualSpacing w:val="0"/>
        <w:jc w:val="both"/>
        <w:rPr>
          <w:w w:val="115"/>
          <w:sz w:val="24"/>
          <w:szCs w:val="24"/>
        </w:rPr>
      </w:pPr>
      <w:r w:rsidRPr="005D1063">
        <w:rPr>
          <w:sz w:val="24"/>
          <w:szCs w:val="24"/>
        </w:rPr>
        <w:t>Za § 4 sa vkladajú § 4a a 4b, ktoré vrátane nadpisov znejú:</w:t>
      </w:r>
    </w:p>
    <w:p w14:paraId="6BFB9669" w14:textId="77777777" w:rsidR="00AE1415" w:rsidRPr="005D1063" w:rsidRDefault="00AE1415" w:rsidP="00AE1415">
      <w:pPr>
        <w:jc w:val="center"/>
        <w:rPr>
          <w:b/>
          <w:sz w:val="24"/>
          <w:szCs w:val="24"/>
        </w:rPr>
      </w:pPr>
      <w:r w:rsidRPr="005D1063">
        <w:rPr>
          <w:w w:val="115"/>
          <w:sz w:val="24"/>
          <w:szCs w:val="24"/>
        </w:rPr>
        <w:t>„</w:t>
      </w:r>
      <w:r w:rsidRPr="005D1063">
        <w:rPr>
          <w:b/>
          <w:sz w:val="24"/>
          <w:szCs w:val="24"/>
        </w:rPr>
        <w:t>§ 4a</w:t>
      </w:r>
    </w:p>
    <w:p w14:paraId="2DC618DB" w14:textId="77777777" w:rsidR="00AE1415" w:rsidRPr="005D1063" w:rsidRDefault="00AE1415" w:rsidP="00AE1415">
      <w:pPr>
        <w:spacing w:after="240"/>
        <w:jc w:val="center"/>
        <w:rPr>
          <w:b/>
          <w:sz w:val="24"/>
          <w:szCs w:val="24"/>
        </w:rPr>
      </w:pPr>
      <w:r w:rsidRPr="005D1063">
        <w:rPr>
          <w:b/>
          <w:sz w:val="24"/>
          <w:szCs w:val="24"/>
        </w:rPr>
        <w:t>Slovenský národný normalizačný orgán</w:t>
      </w:r>
    </w:p>
    <w:p w14:paraId="23B453D1" w14:textId="77777777" w:rsidR="00AE1415" w:rsidRPr="005D1063" w:rsidRDefault="00AE1415" w:rsidP="00AE1415">
      <w:pPr>
        <w:spacing w:after="240"/>
        <w:rPr>
          <w:sz w:val="24"/>
          <w:szCs w:val="24"/>
        </w:rPr>
      </w:pPr>
      <w:r w:rsidRPr="005D1063">
        <w:rPr>
          <w:sz w:val="24"/>
          <w:szCs w:val="24"/>
        </w:rPr>
        <w:t>Slovenský národný normalizačný orgán</w:t>
      </w:r>
    </w:p>
    <w:p w14:paraId="58002CA0" w14:textId="77777777" w:rsidR="00AE1415" w:rsidRPr="005D1063" w:rsidRDefault="00AE1415" w:rsidP="00AE1415">
      <w:pPr>
        <w:numPr>
          <w:ilvl w:val="0"/>
          <w:numId w:val="41"/>
        </w:numPr>
        <w:spacing w:after="240" w:line="262" w:lineRule="auto"/>
        <w:ind w:hanging="340"/>
        <w:jc w:val="both"/>
        <w:rPr>
          <w:sz w:val="24"/>
          <w:szCs w:val="24"/>
        </w:rPr>
      </w:pPr>
      <w:r w:rsidRPr="005D1063">
        <w:rPr>
          <w:sz w:val="24"/>
          <w:szCs w:val="24"/>
        </w:rPr>
        <w:t>plní povinnosti, ktoré mu vyplývajú z členstva v európskej normalizačnej organizácii a medzinárodnom normalizačnom orgáne,</w:t>
      </w:r>
    </w:p>
    <w:p w14:paraId="19BCDCB4" w14:textId="77777777" w:rsidR="00AE1415" w:rsidRPr="005D1063" w:rsidRDefault="00AE1415" w:rsidP="00AE1415">
      <w:pPr>
        <w:numPr>
          <w:ilvl w:val="0"/>
          <w:numId w:val="41"/>
        </w:numPr>
        <w:spacing w:after="100" w:line="262" w:lineRule="auto"/>
        <w:ind w:hanging="340"/>
        <w:jc w:val="both"/>
        <w:rPr>
          <w:sz w:val="24"/>
          <w:szCs w:val="24"/>
        </w:rPr>
      </w:pPr>
      <w:r w:rsidRPr="005D1063">
        <w:rPr>
          <w:sz w:val="24"/>
          <w:szCs w:val="24"/>
        </w:rPr>
        <w:t>umožňuje účasť na tvorbe a zrušení európskej normy, európskeho normalizačného produktu,</w:t>
      </w:r>
      <w:r w:rsidRPr="005D1063">
        <w:rPr>
          <w:sz w:val="24"/>
          <w:szCs w:val="24"/>
          <w:vertAlign w:val="superscript"/>
        </w:rPr>
        <w:t>12</w:t>
      </w:r>
      <w:r w:rsidRPr="005D1063">
        <w:rPr>
          <w:sz w:val="24"/>
          <w:szCs w:val="24"/>
        </w:rPr>
        <w:t>) medzinárodnej normy a inej technickej normalizačnej informácie každému, kto spĺňa požiadavky a pravidlá európskej normalizačnej organizácie, medzinárodného normalizačného orgánu alebo požiadavky slovenského národného normalizačného orgánu zverejnené na svojom webovom sídle tak, že</w:t>
      </w:r>
    </w:p>
    <w:p w14:paraId="7D6BB26A" w14:textId="77777777" w:rsidR="00AE1415" w:rsidRPr="005D1063" w:rsidRDefault="00AE1415" w:rsidP="00AE1415">
      <w:pPr>
        <w:numPr>
          <w:ilvl w:val="1"/>
          <w:numId w:val="41"/>
        </w:numPr>
        <w:spacing w:after="100" w:line="262" w:lineRule="auto"/>
        <w:ind w:left="623" w:hanging="283"/>
        <w:jc w:val="both"/>
        <w:rPr>
          <w:sz w:val="24"/>
          <w:szCs w:val="24"/>
        </w:rPr>
      </w:pPr>
      <w:r w:rsidRPr="005D1063">
        <w:rPr>
          <w:sz w:val="24"/>
          <w:szCs w:val="24"/>
        </w:rPr>
        <w:t>zverejňuje na svojom webovom sídle oznámenie o návrhu európskej normy, návrhu európskeho normalizačného produktu, návrhu medzinárodnej normy a návrhu inej technickej normalizačnej informácie na verejné prerokovanie najneskôr jeden mesiac pred uplynutím lehoty určenej v oznámení,</w:t>
      </w:r>
    </w:p>
    <w:p w14:paraId="27A88239" w14:textId="77777777" w:rsidR="00AE1415" w:rsidRPr="005D1063" w:rsidRDefault="00AE1415" w:rsidP="00AE1415">
      <w:pPr>
        <w:numPr>
          <w:ilvl w:val="1"/>
          <w:numId w:val="41"/>
        </w:numPr>
        <w:spacing w:after="100" w:line="262" w:lineRule="auto"/>
        <w:ind w:left="623" w:hanging="283"/>
        <w:jc w:val="both"/>
        <w:rPr>
          <w:sz w:val="24"/>
          <w:szCs w:val="24"/>
        </w:rPr>
      </w:pPr>
      <w:r w:rsidRPr="005D1063">
        <w:rPr>
          <w:sz w:val="24"/>
          <w:szCs w:val="24"/>
        </w:rPr>
        <w:t>zabezpečuje verejné prerokovanie návrhu európskej normy, návrhu európskeho normalizačného produktu, návrhu medzinárodnej normy a návrhu inej technickej normalizačnej informácie s každým, kto požiada o účasť na verejnom prerokovaní v lehote určenej v oznámení zverejnenom na svojom webovom sídle,</w:t>
      </w:r>
    </w:p>
    <w:p w14:paraId="069885F9" w14:textId="77777777" w:rsidR="00AE1415" w:rsidRPr="005D1063" w:rsidRDefault="00AE1415" w:rsidP="00AE1415">
      <w:pPr>
        <w:numPr>
          <w:ilvl w:val="1"/>
          <w:numId w:val="41"/>
        </w:numPr>
        <w:spacing w:after="100" w:line="262" w:lineRule="auto"/>
        <w:ind w:left="623" w:hanging="283"/>
        <w:jc w:val="both"/>
        <w:rPr>
          <w:sz w:val="24"/>
          <w:szCs w:val="24"/>
        </w:rPr>
      </w:pPr>
      <w:r w:rsidRPr="005D1063">
        <w:rPr>
          <w:sz w:val="24"/>
          <w:szCs w:val="24"/>
        </w:rPr>
        <w:t>oznamuje vydanú európsku normu, vydaný európsky normalizačný produkt, vydanú medzinárodnú normu a vydanú inú technickú normalizačnú informáciu na svojom webovom sídle,</w:t>
      </w:r>
    </w:p>
    <w:p w14:paraId="24585CF4" w14:textId="77777777" w:rsidR="00AE1415" w:rsidRPr="005D1063" w:rsidRDefault="00AE1415" w:rsidP="00AE1415">
      <w:pPr>
        <w:numPr>
          <w:ilvl w:val="0"/>
          <w:numId w:val="41"/>
        </w:numPr>
        <w:spacing w:after="100" w:line="262" w:lineRule="auto"/>
        <w:ind w:hanging="340"/>
        <w:jc w:val="both"/>
        <w:rPr>
          <w:sz w:val="24"/>
          <w:szCs w:val="24"/>
        </w:rPr>
      </w:pPr>
      <w:r w:rsidRPr="005D1063">
        <w:rPr>
          <w:sz w:val="24"/>
          <w:szCs w:val="24"/>
        </w:rPr>
        <w:t>zverejňuje na svojom webovom sídle kritériá na tvorbu slovenskej technickej normy a technickej normalizačnej informácie v štátnom jazyku,</w:t>
      </w:r>
    </w:p>
    <w:p w14:paraId="6CF2B8A8" w14:textId="77777777" w:rsidR="00AE1415" w:rsidRPr="005D1063" w:rsidRDefault="00AE1415" w:rsidP="00AE1415">
      <w:pPr>
        <w:numPr>
          <w:ilvl w:val="0"/>
          <w:numId w:val="41"/>
        </w:numPr>
        <w:spacing w:after="100" w:line="262" w:lineRule="auto"/>
        <w:ind w:hanging="340"/>
        <w:jc w:val="both"/>
        <w:rPr>
          <w:sz w:val="24"/>
          <w:szCs w:val="24"/>
        </w:rPr>
      </w:pPr>
      <w:r w:rsidRPr="005D1063">
        <w:rPr>
          <w:sz w:val="24"/>
          <w:szCs w:val="24"/>
        </w:rPr>
        <w:t xml:space="preserve">zabezpečuje tvorbu a zrušenie slovenskej technickej normy a technickej normalizačnej informácie podľa pravidiel ustanovených európskou normalizačnou organizáciou alebo </w:t>
      </w:r>
      <w:r w:rsidRPr="005D1063">
        <w:rPr>
          <w:sz w:val="24"/>
          <w:szCs w:val="24"/>
        </w:rPr>
        <w:lastRenderedPageBreak/>
        <w:t>medzinárodným normalizačným orgánom, alebo podľa metodického postupu vydaného úradom,</w:t>
      </w:r>
    </w:p>
    <w:p w14:paraId="36A2F1D4" w14:textId="77777777" w:rsidR="00AE1415" w:rsidRPr="005D1063" w:rsidRDefault="00AE1415" w:rsidP="00AE1415">
      <w:pPr>
        <w:numPr>
          <w:ilvl w:val="0"/>
          <w:numId w:val="41"/>
        </w:numPr>
        <w:spacing w:after="100" w:line="262" w:lineRule="auto"/>
        <w:ind w:hanging="340"/>
        <w:jc w:val="both"/>
        <w:rPr>
          <w:sz w:val="24"/>
          <w:szCs w:val="24"/>
        </w:rPr>
      </w:pPr>
      <w:r w:rsidRPr="005D1063">
        <w:rPr>
          <w:sz w:val="24"/>
          <w:szCs w:val="24"/>
        </w:rPr>
        <w:t>označuje slovenskú technickú normu, predbežnú slovenskú technickú normu a technickú normalizačnú informáciu podľa § 3 ods. 12,</w:t>
      </w:r>
    </w:p>
    <w:p w14:paraId="242421F7" w14:textId="77777777" w:rsidR="00AE1415" w:rsidRPr="005D1063" w:rsidRDefault="00AE1415" w:rsidP="00AE1415">
      <w:pPr>
        <w:numPr>
          <w:ilvl w:val="0"/>
          <w:numId w:val="41"/>
        </w:numPr>
        <w:spacing w:after="100" w:line="262" w:lineRule="auto"/>
        <w:ind w:hanging="340"/>
        <w:jc w:val="both"/>
        <w:rPr>
          <w:sz w:val="24"/>
          <w:szCs w:val="24"/>
        </w:rPr>
      </w:pPr>
      <w:r w:rsidRPr="005D1063">
        <w:rPr>
          <w:sz w:val="24"/>
          <w:szCs w:val="24"/>
        </w:rPr>
        <w:t>preveruje v spolupráci so zainteresovanou stranou, či obsah pôvodnej slovenskej technickej normy a pôvodnej technickej normalizačnej informácie je v súlade s dosiahnutým stupňom rozvoja vedy a techniky,</w:t>
      </w:r>
    </w:p>
    <w:p w14:paraId="1937D34E" w14:textId="77777777" w:rsidR="00AE1415" w:rsidRPr="005D1063" w:rsidRDefault="00AE1415" w:rsidP="00AE1415">
      <w:pPr>
        <w:numPr>
          <w:ilvl w:val="0"/>
          <w:numId w:val="41"/>
        </w:numPr>
        <w:spacing w:after="100" w:line="262" w:lineRule="auto"/>
        <w:ind w:hanging="340"/>
        <w:jc w:val="both"/>
        <w:rPr>
          <w:sz w:val="24"/>
          <w:szCs w:val="24"/>
        </w:rPr>
      </w:pPr>
      <w:r w:rsidRPr="005D1063">
        <w:rPr>
          <w:sz w:val="24"/>
          <w:szCs w:val="24"/>
        </w:rPr>
        <w:t>oznamuje zámer prijatia novej pôvodnej slovenskej technickej normy európskej normalizačnej organizácii,</w:t>
      </w:r>
    </w:p>
    <w:p w14:paraId="0DB21142" w14:textId="77777777" w:rsidR="00AE1415" w:rsidRPr="005D1063" w:rsidRDefault="00AE1415" w:rsidP="00AE1415">
      <w:pPr>
        <w:numPr>
          <w:ilvl w:val="0"/>
          <w:numId w:val="41"/>
        </w:numPr>
        <w:spacing w:after="100" w:line="262" w:lineRule="auto"/>
        <w:ind w:hanging="340"/>
        <w:jc w:val="both"/>
        <w:rPr>
          <w:sz w:val="24"/>
          <w:szCs w:val="24"/>
        </w:rPr>
      </w:pPr>
      <w:r w:rsidRPr="005D1063">
        <w:rPr>
          <w:sz w:val="24"/>
          <w:szCs w:val="24"/>
        </w:rPr>
        <w:t>poskytuje podľa § 15 slovenskú technickú normu a jej opravu, technickú normalizačnú informáciu a jej opravu a inú technickú normu a jej zmenu a opravu,</w:t>
      </w:r>
    </w:p>
    <w:p w14:paraId="034CD41E" w14:textId="77777777" w:rsidR="00AE1415" w:rsidRPr="005D1063" w:rsidRDefault="00AE1415" w:rsidP="00AE1415">
      <w:pPr>
        <w:numPr>
          <w:ilvl w:val="0"/>
          <w:numId w:val="41"/>
        </w:numPr>
        <w:spacing w:after="100" w:line="262" w:lineRule="auto"/>
        <w:ind w:hanging="340"/>
        <w:jc w:val="both"/>
        <w:rPr>
          <w:sz w:val="24"/>
          <w:szCs w:val="24"/>
        </w:rPr>
      </w:pPr>
      <w:r w:rsidRPr="005D1063">
        <w:rPr>
          <w:sz w:val="24"/>
          <w:szCs w:val="24"/>
        </w:rPr>
        <w:t>vyberá úhradu za poskytnutie slovenskej technickej normy, technickej normalizačnej informácie, inej technickej normalizačnej informácie a inej technickej normy a jej zmeny,</w:t>
      </w:r>
    </w:p>
    <w:p w14:paraId="35722CC9" w14:textId="77777777" w:rsidR="00AE1415" w:rsidRPr="005D1063" w:rsidRDefault="00AE1415" w:rsidP="00AE1415">
      <w:pPr>
        <w:numPr>
          <w:ilvl w:val="0"/>
          <w:numId w:val="41"/>
        </w:numPr>
        <w:spacing w:after="100" w:line="262" w:lineRule="auto"/>
        <w:ind w:hanging="340"/>
        <w:jc w:val="both"/>
        <w:rPr>
          <w:sz w:val="24"/>
          <w:szCs w:val="24"/>
        </w:rPr>
      </w:pPr>
      <w:r w:rsidRPr="005D1063">
        <w:rPr>
          <w:sz w:val="24"/>
          <w:szCs w:val="24"/>
        </w:rPr>
        <w:t>najmenej raz mesačne zverejňuje na svojom webovom sídle zoznam slovenských technických noriem a technických normalizačných informácií a ich opráv prijatých do sústavy slovenských technických noriem, ktoré nie je zverejnením podľa § 10 ods. 2,</w:t>
      </w:r>
    </w:p>
    <w:p w14:paraId="782CE31A" w14:textId="77777777" w:rsidR="00AE1415" w:rsidRPr="005D1063" w:rsidRDefault="00AE1415" w:rsidP="00AE1415">
      <w:pPr>
        <w:numPr>
          <w:ilvl w:val="0"/>
          <w:numId w:val="41"/>
        </w:numPr>
        <w:spacing w:after="100" w:line="262" w:lineRule="auto"/>
        <w:ind w:hanging="340"/>
        <w:jc w:val="both"/>
        <w:rPr>
          <w:sz w:val="24"/>
          <w:szCs w:val="24"/>
        </w:rPr>
      </w:pPr>
      <w:r w:rsidRPr="005D1063">
        <w:rPr>
          <w:sz w:val="24"/>
          <w:szCs w:val="24"/>
        </w:rPr>
        <w:t>chráni slovenskú technickú normu, technickú normalizačnú informáciu a inú technickú normu a jej zmenu podľa tohto zákona,</w:t>
      </w:r>
    </w:p>
    <w:p w14:paraId="6D11433F" w14:textId="77777777" w:rsidR="00AE1415" w:rsidRPr="005D1063" w:rsidRDefault="00AE1415" w:rsidP="00AE1415">
      <w:pPr>
        <w:numPr>
          <w:ilvl w:val="0"/>
          <w:numId w:val="41"/>
        </w:numPr>
        <w:spacing w:after="100" w:line="262" w:lineRule="auto"/>
        <w:ind w:hanging="340"/>
        <w:jc w:val="both"/>
        <w:rPr>
          <w:sz w:val="24"/>
          <w:szCs w:val="24"/>
        </w:rPr>
      </w:pPr>
      <w:r w:rsidRPr="005D1063">
        <w:rPr>
          <w:sz w:val="24"/>
          <w:szCs w:val="24"/>
        </w:rPr>
        <w:t>prevádzkuje na svojom webovom sídle verejne prístupný portál slovenských technických noriem a technických normalizačných informácií a ich opráv (ďalej len „portál“),</w:t>
      </w:r>
    </w:p>
    <w:p w14:paraId="4A4DA9D1" w14:textId="77777777" w:rsidR="00AE1415" w:rsidRPr="005D1063" w:rsidRDefault="00AE1415" w:rsidP="00AE1415">
      <w:pPr>
        <w:numPr>
          <w:ilvl w:val="0"/>
          <w:numId w:val="41"/>
        </w:numPr>
        <w:spacing w:after="100" w:afterAutospacing="1" w:line="262" w:lineRule="auto"/>
        <w:ind w:hanging="340"/>
        <w:jc w:val="both"/>
        <w:rPr>
          <w:sz w:val="24"/>
          <w:szCs w:val="24"/>
        </w:rPr>
      </w:pPr>
      <w:r w:rsidRPr="005D1063">
        <w:rPr>
          <w:sz w:val="24"/>
          <w:szCs w:val="24"/>
        </w:rPr>
        <w:t>zodpovedá za jazykovú a terminologickú správnosť prijatej pôvodnej slovenskej technickej normy a pôvodnej technickej normalizačnej informácie v štátnom jazyku,</w:t>
      </w:r>
    </w:p>
    <w:p w14:paraId="2078A05A" w14:textId="77777777" w:rsidR="00AE1415" w:rsidRPr="005D1063" w:rsidRDefault="00AE1415" w:rsidP="00AE1415">
      <w:pPr>
        <w:numPr>
          <w:ilvl w:val="0"/>
          <w:numId w:val="41"/>
        </w:numPr>
        <w:spacing w:after="291" w:line="262" w:lineRule="auto"/>
        <w:ind w:hanging="340"/>
        <w:jc w:val="both"/>
        <w:rPr>
          <w:sz w:val="24"/>
          <w:szCs w:val="24"/>
        </w:rPr>
      </w:pPr>
      <w:r w:rsidRPr="005D1063">
        <w:rPr>
          <w:sz w:val="24"/>
          <w:szCs w:val="24"/>
        </w:rPr>
        <w:t xml:space="preserve">spracúva, tlačí a distribuuje časopis úradu a vyberá úhradu za jeho poskytnutie. </w:t>
      </w:r>
    </w:p>
    <w:p w14:paraId="4EAC65FA" w14:textId="77777777" w:rsidR="00AE1415" w:rsidRPr="005D1063" w:rsidRDefault="00AE1415" w:rsidP="00AE1415">
      <w:pPr>
        <w:ind w:left="340"/>
        <w:jc w:val="center"/>
        <w:rPr>
          <w:b/>
          <w:sz w:val="24"/>
          <w:szCs w:val="24"/>
        </w:rPr>
      </w:pPr>
    </w:p>
    <w:p w14:paraId="46D0F406" w14:textId="77777777" w:rsidR="00AE1415" w:rsidRPr="005D1063" w:rsidRDefault="00AE1415" w:rsidP="00AE1415">
      <w:pPr>
        <w:ind w:left="340"/>
        <w:jc w:val="center"/>
        <w:rPr>
          <w:b/>
          <w:sz w:val="24"/>
          <w:szCs w:val="24"/>
        </w:rPr>
      </w:pPr>
      <w:r w:rsidRPr="005D1063">
        <w:rPr>
          <w:b/>
          <w:sz w:val="24"/>
          <w:szCs w:val="24"/>
        </w:rPr>
        <w:t>§ 4b</w:t>
      </w:r>
    </w:p>
    <w:p w14:paraId="592E599A" w14:textId="77777777" w:rsidR="00AE1415" w:rsidRPr="005D1063" w:rsidRDefault="00AE1415" w:rsidP="00AE1415">
      <w:pPr>
        <w:spacing w:after="291"/>
        <w:ind w:left="340"/>
        <w:jc w:val="center"/>
        <w:rPr>
          <w:b/>
          <w:sz w:val="24"/>
          <w:szCs w:val="24"/>
        </w:rPr>
      </w:pPr>
      <w:r w:rsidRPr="005D1063">
        <w:rPr>
          <w:b/>
          <w:sz w:val="24"/>
          <w:szCs w:val="24"/>
        </w:rPr>
        <w:t>Poverená právnická osoba</w:t>
      </w:r>
    </w:p>
    <w:p w14:paraId="62305776" w14:textId="77777777" w:rsidR="00AE1415" w:rsidRPr="005D1063" w:rsidRDefault="00AE1415" w:rsidP="00AE1415">
      <w:pPr>
        <w:pStyle w:val="Odsekzoznamu"/>
        <w:widowControl w:val="0"/>
        <w:numPr>
          <w:ilvl w:val="0"/>
          <w:numId w:val="43"/>
        </w:numPr>
        <w:autoSpaceDE w:val="0"/>
        <w:autoSpaceDN w:val="0"/>
        <w:spacing w:before="100"/>
        <w:ind w:left="426" w:right="103" w:hanging="426"/>
        <w:contextualSpacing w:val="0"/>
        <w:jc w:val="both"/>
        <w:rPr>
          <w:bCs/>
          <w:sz w:val="24"/>
          <w:szCs w:val="24"/>
        </w:rPr>
      </w:pPr>
      <w:r w:rsidRPr="005D1063">
        <w:rPr>
          <w:bCs/>
          <w:sz w:val="24"/>
          <w:szCs w:val="24"/>
        </w:rPr>
        <w:t>Úrad môže poveriť právnickú osobu v zakladateľskej pôsobnosti</w:t>
      </w:r>
      <w:r w:rsidRPr="005D1063">
        <w:rPr>
          <w:bCs/>
          <w:sz w:val="24"/>
          <w:szCs w:val="24"/>
          <w:vertAlign w:val="superscript"/>
        </w:rPr>
        <w:t>13a</w:t>
      </w:r>
      <w:r w:rsidRPr="005D1063">
        <w:rPr>
          <w:bCs/>
          <w:sz w:val="24"/>
          <w:szCs w:val="24"/>
        </w:rPr>
        <w:t>) úradu, ktorá nebola založená za účelom dosahovania zisku (ďalej len „poverená právnická osoba“), vykonávaním všetkých alebo niektorých činností slovenského národného normalizačného orgánu uvedených v § 4a.</w:t>
      </w:r>
    </w:p>
    <w:p w14:paraId="739846FF" w14:textId="77777777" w:rsidR="00AE1415" w:rsidRPr="005D1063" w:rsidRDefault="00AE1415" w:rsidP="00AE1415">
      <w:pPr>
        <w:pStyle w:val="Odsekzoznamu"/>
        <w:widowControl w:val="0"/>
        <w:numPr>
          <w:ilvl w:val="0"/>
          <w:numId w:val="43"/>
        </w:numPr>
        <w:autoSpaceDE w:val="0"/>
        <w:autoSpaceDN w:val="0"/>
        <w:spacing w:before="100"/>
        <w:ind w:left="426" w:right="103" w:hanging="426"/>
        <w:contextualSpacing w:val="0"/>
        <w:jc w:val="both"/>
        <w:rPr>
          <w:bCs/>
          <w:sz w:val="24"/>
          <w:szCs w:val="24"/>
        </w:rPr>
      </w:pPr>
      <w:r w:rsidRPr="005D1063">
        <w:rPr>
          <w:bCs/>
          <w:sz w:val="24"/>
          <w:szCs w:val="24"/>
        </w:rPr>
        <w:t xml:space="preserve">Poverenou právnickou osobou podľa odseku 1 môže byť len právnická osoba, v ktorej má úrad rozhodujúci vplyv na strategické ciele, ako aj významné rozhodnutia a úrad nad ňou vykonáva kontrolu obdobnú kontrole, akú vykonáva nad vlastnými organizačnými zložkami. </w:t>
      </w:r>
    </w:p>
    <w:p w14:paraId="33E88B84" w14:textId="77777777" w:rsidR="00AE1415" w:rsidRPr="005D1063" w:rsidRDefault="00AE1415" w:rsidP="00AE1415">
      <w:pPr>
        <w:pStyle w:val="Odsekzoznamu"/>
        <w:widowControl w:val="0"/>
        <w:numPr>
          <w:ilvl w:val="0"/>
          <w:numId w:val="43"/>
        </w:numPr>
        <w:autoSpaceDE w:val="0"/>
        <w:autoSpaceDN w:val="0"/>
        <w:spacing w:before="100"/>
        <w:ind w:left="426" w:right="103" w:hanging="426"/>
        <w:contextualSpacing w:val="0"/>
        <w:jc w:val="both"/>
        <w:rPr>
          <w:rFonts w:eastAsia="Calibri"/>
          <w:bCs/>
          <w:color w:val="000000"/>
          <w:sz w:val="24"/>
          <w:szCs w:val="24"/>
        </w:rPr>
      </w:pPr>
      <w:r w:rsidRPr="005D1063">
        <w:rPr>
          <w:bCs/>
          <w:sz w:val="24"/>
          <w:szCs w:val="24"/>
        </w:rPr>
        <w:t>O poverení podľa odseku 1 úrad vydá rozhodnutie, ktoré sa vyhlasuje v Zbierke</w:t>
      </w:r>
      <w:r w:rsidRPr="005D1063">
        <w:rPr>
          <w:rFonts w:eastAsia="Calibri"/>
          <w:bCs/>
          <w:color w:val="000000"/>
          <w:sz w:val="24"/>
          <w:szCs w:val="24"/>
        </w:rPr>
        <w:t xml:space="preserve"> zákonov Slovenskej republiky, a ktoré obsahuje najmä</w:t>
      </w:r>
    </w:p>
    <w:p w14:paraId="7B3D0990" w14:textId="77777777" w:rsidR="00AE1415" w:rsidRPr="005D1063" w:rsidRDefault="00AE1415" w:rsidP="00AE1415">
      <w:pPr>
        <w:pStyle w:val="Odsekzoznamu"/>
        <w:widowControl w:val="0"/>
        <w:numPr>
          <w:ilvl w:val="3"/>
          <w:numId w:val="42"/>
        </w:numPr>
        <w:autoSpaceDE w:val="0"/>
        <w:autoSpaceDN w:val="0"/>
        <w:spacing w:before="100"/>
        <w:ind w:left="851" w:right="103" w:hanging="425"/>
        <w:contextualSpacing w:val="0"/>
        <w:jc w:val="both"/>
        <w:rPr>
          <w:bCs/>
          <w:sz w:val="24"/>
          <w:szCs w:val="24"/>
        </w:rPr>
      </w:pPr>
      <w:r w:rsidRPr="005D1063">
        <w:rPr>
          <w:bCs/>
          <w:sz w:val="24"/>
          <w:szCs w:val="24"/>
        </w:rPr>
        <w:t>označenie úradu,</w:t>
      </w:r>
    </w:p>
    <w:p w14:paraId="6FA4C582" w14:textId="77777777" w:rsidR="00AE1415" w:rsidRPr="005D1063" w:rsidRDefault="00AE1415" w:rsidP="00AE1415">
      <w:pPr>
        <w:pStyle w:val="Odsekzoznamu"/>
        <w:widowControl w:val="0"/>
        <w:numPr>
          <w:ilvl w:val="3"/>
          <w:numId w:val="42"/>
        </w:numPr>
        <w:autoSpaceDE w:val="0"/>
        <w:autoSpaceDN w:val="0"/>
        <w:spacing w:before="100"/>
        <w:ind w:left="851" w:right="103" w:hanging="425"/>
        <w:contextualSpacing w:val="0"/>
        <w:jc w:val="both"/>
        <w:rPr>
          <w:bCs/>
          <w:sz w:val="24"/>
          <w:szCs w:val="24"/>
        </w:rPr>
      </w:pPr>
      <w:r w:rsidRPr="005D1063">
        <w:rPr>
          <w:bCs/>
          <w:sz w:val="24"/>
          <w:szCs w:val="24"/>
        </w:rPr>
        <w:t>označenie poverenej právnickej osoby,</w:t>
      </w:r>
    </w:p>
    <w:p w14:paraId="1F39F128" w14:textId="77777777" w:rsidR="00AE1415" w:rsidRPr="005D1063" w:rsidRDefault="00AE1415" w:rsidP="00AE1415">
      <w:pPr>
        <w:pStyle w:val="Odsekzoznamu"/>
        <w:widowControl w:val="0"/>
        <w:numPr>
          <w:ilvl w:val="3"/>
          <w:numId w:val="42"/>
        </w:numPr>
        <w:autoSpaceDE w:val="0"/>
        <w:autoSpaceDN w:val="0"/>
        <w:spacing w:before="100"/>
        <w:ind w:left="851" w:right="103" w:hanging="425"/>
        <w:contextualSpacing w:val="0"/>
        <w:jc w:val="both"/>
        <w:rPr>
          <w:bCs/>
          <w:sz w:val="24"/>
          <w:szCs w:val="24"/>
        </w:rPr>
      </w:pPr>
      <w:r w:rsidRPr="005D1063">
        <w:rPr>
          <w:bCs/>
          <w:sz w:val="24"/>
          <w:szCs w:val="24"/>
        </w:rPr>
        <w:t>rozsah poverenia,</w:t>
      </w:r>
    </w:p>
    <w:p w14:paraId="0CE558C9" w14:textId="77777777" w:rsidR="00AE1415" w:rsidRPr="005D1063" w:rsidRDefault="00AE1415" w:rsidP="00AE1415">
      <w:pPr>
        <w:pStyle w:val="Odsekzoznamu"/>
        <w:widowControl w:val="0"/>
        <w:numPr>
          <w:ilvl w:val="3"/>
          <w:numId w:val="42"/>
        </w:numPr>
        <w:autoSpaceDE w:val="0"/>
        <w:autoSpaceDN w:val="0"/>
        <w:spacing w:before="100"/>
        <w:ind w:left="851" w:right="103" w:hanging="425"/>
        <w:contextualSpacing w:val="0"/>
        <w:jc w:val="both"/>
        <w:rPr>
          <w:bCs/>
          <w:sz w:val="24"/>
          <w:szCs w:val="24"/>
        </w:rPr>
      </w:pPr>
      <w:r w:rsidRPr="005D1063">
        <w:rPr>
          <w:bCs/>
          <w:sz w:val="24"/>
          <w:szCs w:val="24"/>
        </w:rPr>
        <w:t>deň nadobudnutia účinnosti rozhodnutia.</w:t>
      </w:r>
    </w:p>
    <w:p w14:paraId="558BD4E9" w14:textId="77777777" w:rsidR="00AE1415" w:rsidRPr="005D1063" w:rsidRDefault="00AE1415" w:rsidP="00AE1415">
      <w:pPr>
        <w:pStyle w:val="Odsekzoznamu"/>
        <w:widowControl w:val="0"/>
        <w:numPr>
          <w:ilvl w:val="0"/>
          <w:numId w:val="43"/>
        </w:numPr>
        <w:autoSpaceDE w:val="0"/>
        <w:autoSpaceDN w:val="0"/>
        <w:spacing w:before="100"/>
        <w:ind w:left="426" w:right="103" w:hanging="426"/>
        <w:contextualSpacing w:val="0"/>
        <w:jc w:val="both"/>
        <w:rPr>
          <w:bCs/>
          <w:sz w:val="24"/>
          <w:szCs w:val="24"/>
        </w:rPr>
      </w:pPr>
      <w:r w:rsidRPr="005D1063">
        <w:rPr>
          <w:bCs/>
          <w:sz w:val="24"/>
          <w:szCs w:val="24"/>
        </w:rPr>
        <w:lastRenderedPageBreak/>
        <w:t>Poverená právnická osoba je pri vykonávaní činností, ktorými bola poverená podľa odseku 3, povinná dodržiavať tento zákon a ostatné všeobecné záväzné právne predpisy súvisiace s jej postavením poverenej právnickej osoby.</w:t>
      </w:r>
    </w:p>
    <w:p w14:paraId="7073C9D4" w14:textId="77777777" w:rsidR="00AE1415" w:rsidRPr="005D1063" w:rsidRDefault="00AE1415" w:rsidP="00AE1415">
      <w:pPr>
        <w:pStyle w:val="Odsekzoznamu"/>
        <w:widowControl w:val="0"/>
        <w:numPr>
          <w:ilvl w:val="0"/>
          <w:numId w:val="43"/>
        </w:numPr>
        <w:autoSpaceDE w:val="0"/>
        <w:autoSpaceDN w:val="0"/>
        <w:spacing w:before="100"/>
        <w:ind w:left="426" w:right="103" w:hanging="426"/>
        <w:contextualSpacing w:val="0"/>
        <w:jc w:val="both"/>
        <w:rPr>
          <w:bCs/>
          <w:sz w:val="24"/>
          <w:szCs w:val="24"/>
        </w:rPr>
      </w:pPr>
      <w:r w:rsidRPr="005D1063">
        <w:rPr>
          <w:bCs/>
          <w:sz w:val="24"/>
          <w:szCs w:val="24"/>
        </w:rPr>
        <w:t>Úrad môže zmeniť rozsah poverenia podľa odseku3.</w:t>
      </w:r>
    </w:p>
    <w:p w14:paraId="2512CC65" w14:textId="77777777" w:rsidR="00AE1415" w:rsidRPr="005D1063" w:rsidRDefault="00AE1415" w:rsidP="00AE1415">
      <w:pPr>
        <w:pStyle w:val="Odsekzoznamu"/>
        <w:widowControl w:val="0"/>
        <w:numPr>
          <w:ilvl w:val="0"/>
          <w:numId w:val="43"/>
        </w:numPr>
        <w:autoSpaceDE w:val="0"/>
        <w:autoSpaceDN w:val="0"/>
        <w:spacing w:before="100"/>
        <w:ind w:left="426" w:right="103" w:hanging="426"/>
        <w:contextualSpacing w:val="0"/>
        <w:jc w:val="both"/>
        <w:rPr>
          <w:bCs/>
          <w:sz w:val="24"/>
          <w:szCs w:val="24"/>
        </w:rPr>
      </w:pPr>
      <w:r w:rsidRPr="005D1063">
        <w:rPr>
          <w:bCs/>
          <w:sz w:val="24"/>
          <w:szCs w:val="24"/>
        </w:rPr>
        <w:t>Úrad zruší poverenie podľa odseku 3, ak poverená právnická osoba riadne nevykonáva činnosti, ktorými bola poverená.</w:t>
      </w:r>
    </w:p>
    <w:p w14:paraId="5D37F444" w14:textId="77777777" w:rsidR="00AE1415" w:rsidRPr="005D1063" w:rsidRDefault="00AE1415" w:rsidP="00AE1415">
      <w:pPr>
        <w:pStyle w:val="Odsekzoznamu"/>
        <w:widowControl w:val="0"/>
        <w:numPr>
          <w:ilvl w:val="0"/>
          <w:numId w:val="43"/>
        </w:numPr>
        <w:autoSpaceDE w:val="0"/>
        <w:autoSpaceDN w:val="0"/>
        <w:spacing w:before="100"/>
        <w:ind w:left="426" w:right="103" w:hanging="426"/>
        <w:contextualSpacing w:val="0"/>
        <w:jc w:val="both"/>
        <w:rPr>
          <w:bCs/>
          <w:sz w:val="24"/>
          <w:szCs w:val="24"/>
        </w:rPr>
      </w:pPr>
      <w:r w:rsidRPr="005D1063">
        <w:rPr>
          <w:bCs/>
          <w:sz w:val="24"/>
          <w:szCs w:val="24"/>
        </w:rPr>
        <w:t>O zmene rozsahu poverenia alebo zrušení poverenia podľa odseku 3 vydá úrad rozhodnutie, ktoré sa vyhlasuje v Zbierke zákonov Slovenskej republiky a ktoré obsahuje</w:t>
      </w:r>
    </w:p>
    <w:p w14:paraId="46A2A9AC" w14:textId="77777777" w:rsidR="00AE1415" w:rsidRPr="005D1063" w:rsidRDefault="00AE1415" w:rsidP="00AE1415">
      <w:pPr>
        <w:pStyle w:val="Odsekzoznamu"/>
        <w:widowControl w:val="0"/>
        <w:numPr>
          <w:ilvl w:val="0"/>
          <w:numId w:val="44"/>
        </w:numPr>
        <w:autoSpaceDE w:val="0"/>
        <w:autoSpaceDN w:val="0"/>
        <w:spacing w:before="100"/>
        <w:ind w:right="103"/>
        <w:contextualSpacing w:val="0"/>
        <w:jc w:val="both"/>
        <w:rPr>
          <w:bCs/>
          <w:sz w:val="24"/>
          <w:szCs w:val="24"/>
        </w:rPr>
      </w:pPr>
      <w:r w:rsidRPr="005D1063">
        <w:rPr>
          <w:bCs/>
          <w:sz w:val="24"/>
          <w:szCs w:val="24"/>
        </w:rPr>
        <w:t>označenie úradu,</w:t>
      </w:r>
    </w:p>
    <w:p w14:paraId="69540492" w14:textId="77777777" w:rsidR="00AE1415" w:rsidRPr="005D1063" w:rsidRDefault="00AE1415" w:rsidP="00AE1415">
      <w:pPr>
        <w:pStyle w:val="Odsekzoznamu"/>
        <w:widowControl w:val="0"/>
        <w:numPr>
          <w:ilvl w:val="0"/>
          <w:numId w:val="44"/>
        </w:numPr>
        <w:autoSpaceDE w:val="0"/>
        <w:autoSpaceDN w:val="0"/>
        <w:spacing w:before="100"/>
        <w:ind w:right="103"/>
        <w:contextualSpacing w:val="0"/>
        <w:jc w:val="both"/>
        <w:rPr>
          <w:bCs/>
          <w:sz w:val="24"/>
          <w:szCs w:val="24"/>
        </w:rPr>
      </w:pPr>
      <w:r w:rsidRPr="005D1063">
        <w:rPr>
          <w:bCs/>
          <w:sz w:val="24"/>
          <w:szCs w:val="24"/>
        </w:rPr>
        <w:t>označenie poverenej právnickej osoby,</w:t>
      </w:r>
    </w:p>
    <w:p w14:paraId="5740541E" w14:textId="77777777" w:rsidR="00AE1415" w:rsidRPr="005D1063" w:rsidRDefault="00AE1415" w:rsidP="00AE1415">
      <w:pPr>
        <w:pStyle w:val="Odsekzoznamu"/>
        <w:widowControl w:val="0"/>
        <w:numPr>
          <w:ilvl w:val="0"/>
          <w:numId w:val="44"/>
        </w:numPr>
        <w:autoSpaceDE w:val="0"/>
        <w:autoSpaceDN w:val="0"/>
        <w:spacing w:before="100"/>
        <w:ind w:right="103"/>
        <w:contextualSpacing w:val="0"/>
        <w:jc w:val="both"/>
        <w:rPr>
          <w:bCs/>
          <w:sz w:val="24"/>
          <w:szCs w:val="24"/>
        </w:rPr>
      </w:pPr>
      <w:r w:rsidRPr="005D1063">
        <w:rPr>
          <w:bCs/>
          <w:sz w:val="24"/>
          <w:szCs w:val="24"/>
        </w:rPr>
        <w:t>dôvod a rozsah zmeny poverenia alebo dôvod zrušenia poverenia,</w:t>
      </w:r>
    </w:p>
    <w:p w14:paraId="59E7DF22" w14:textId="77777777" w:rsidR="00AE1415" w:rsidRPr="005D1063" w:rsidRDefault="00AE1415" w:rsidP="00AE1415">
      <w:pPr>
        <w:pStyle w:val="Odsekzoznamu"/>
        <w:widowControl w:val="0"/>
        <w:numPr>
          <w:ilvl w:val="0"/>
          <w:numId w:val="44"/>
        </w:numPr>
        <w:autoSpaceDE w:val="0"/>
        <w:autoSpaceDN w:val="0"/>
        <w:spacing w:before="100"/>
        <w:ind w:right="103"/>
        <w:contextualSpacing w:val="0"/>
        <w:jc w:val="both"/>
        <w:rPr>
          <w:bCs/>
          <w:sz w:val="24"/>
          <w:szCs w:val="24"/>
        </w:rPr>
      </w:pPr>
      <w:r w:rsidRPr="005D1063">
        <w:rPr>
          <w:bCs/>
          <w:sz w:val="24"/>
          <w:szCs w:val="24"/>
        </w:rPr>
        <w:t>deň nadobudnutia účinnosti rozhodnutia.</w:t>
      </w:r>
    </w:p>
    <w:p w14:paraId="2F680C32" w14:textId="77777777" w:rsidR="00AE1415" w:rsidRPr="005D1063" w:rsidRDefault="00AE1415" w:rsidP="00AE1415">
      <w:pPr>
        <w:pStyle w:val="Odsekzoznamu"/>
        <w:widowControl w:val="0"/>
        <w:numPr>
          <w:ilvl w:val="0"/>
          <w:numId w:val="43"/>
        </w:numPr>
        <w:autoSpaceDE w:val="0"/>
        <w:autoSpaceDN w:val="0"/>
        <w:spacing w:before="100"/>
        <w:ind w:left="426" w:right="103" w:hanging="426"/>
        <w:contextualSpacing w:val="0"/>
        <w:jc w:val="both"/>
        <w:rPr>
          <w:bCs/>
          <w:sz w:val="24"/>
          <w:szCs w:val="24"/>
        </w:rPr>
      </w:pPr>
      <w:r w:rsidRPr="005D1063">
        <w:rPr>
          <w:bCs/>
          <w:sz w:val="24"/>
          <w:szCs w:val="24"/>
        </w:rPr>
        <w:t>Poverenie právnickej osoby zanikne, ak úrad stratí rozhodujúci vplyv nad poverenou právnickou osobou podľa odseku 2.</w:t>
      </w:r>
    </w:p>
    <w:p w14:paraId="45A8A2C5" w14:textId="77777777" w:rsidR="00AE1415" w:rsidRPr="005D1063" w:rsidRDefault="00AE1415" w:rsidP="00AE1415">
      <w:pPr>
        <w:pStyle w:val="Odsekzoznamu"/>
        <w:widowControl w:val="0"/>
        <w:numPr>
          <w:ilvl w:val="0"/>
          <w:numId w:val="43"/>
        </w:numPr>
        <w:autoSpaceDE w:val="0"/>
        <w:autoSpaceDN w:val="0"/>
        <w:spacing w:before="100"/>
        <w:ind w:left="426" w:right="103" w:hanging="426"/>
        <w:contextualSpacing w:val="0"/>
        <w:jc w:val="both"/>
        <w:rPr>
          <w:b/>
          <w:sz w:val="24"/>
          <w:szCs w:val="24"/>
        </w:rPr>
      </w:pPr>
      <w:r w:rsidRPr="005D1063">
        <w:rPr>
          <w:bCs/>
          <w:sz w:val="24"/>
          <w:szCs w:val="24"/>
        </w:rPr>
        <w:t>Počas doby účinnosti rozhodnutia podľa odseku 3 úrad nevykonáva činnosti, ktorými poveril poverenú právnickú osobu.</w:t>
      </w:r>
    </w:p>
    <w:p w14:paraId="717939C7" w14:textId="77777777" w:rsidR="00AE1415" w:rsidRPr="005D1063" w:rsidRDefault="00AE1415" w:rsidP="00AE1415">
      <w:pPr>
        <w:pStyle w:val="Odsekzoznamu"/>
        <w:widowControl w:val="0"/>
        <w:numPr>
          <w:ilvl w:val="0"/>
          <w:numId w:val="43"/>
        </w:numPr>
        <w:autoSpaceDE w:val="0"/>
        <w:autoSpaceDN w:val="0"/>
        <w:spacing w:before="100"/>
        <w:ind w:left="426" w:right="103" w:hanging="426"/>
        <w:contextualSpacing w:val="0"/>
        <w:jc w:val="both"/>
        <w:rPr>
          <w:bCs/>
          <w:sz w:val="24"/>
          <w:szCs w:val="24"/>
        </w:rPr>
      </w:pPr>
      <w:r w:rsidRPr="005D1063">
        <w:rPr>
          <w:bCs/>
          <w:sz w:val="24"/>
          <w:szCs w:val="24"/>
        </w:rPr>
        <w:t>Ak úrad podľa odseku 3 poverí poverenú právnickú osobu vykonávaním všetkých činností slovenského národného normalizačného orgánu uvedených v § 4a, oznámi poverenú právnickú osobu ako slovenský národný normalizačný orgán podľa § 4 písm. e) Európskej komisii. Dňom oznámenia Európskej komisii prechádzajú na poverenú právnickú osobu všetky práva a povinnosti slovenského národného normalizačného orgánu.</w:t>
      </w:r>
    </w:p>
    <w:p w14:paraId="52AA7BCE" w14:textId="77777777" w:rsidR="00AE1415" w:rsidRPr="005D1063" w:rsidRDefault="00AE1415" w:rsidP="00AE1415">
      <w:pPr>
        <w:pStyle w:val="Odsekzoznamu"/>
        <w:widowControl w:val="0"/>
        <w:numPr>
          <w:ilvl w:val="0"/>
          <w:numId w:val="43"/>
        </w:numPr>
        <w:autoSpaceDE w:val="0"/>
        <w:autoSpaceDN w:val="0"/>
        <w:spacing w:before="100"/>
        <w:ind w:left="426" w:right="103" w:hanging="426"/>
        <w:contextualSpacing w:val="0"/>
        <w:jc w:val="both"/>
        <w:rPr>
          <w:bCs/>
          <w:sz w:val="24"/>
          <w:szCs w:val="24"/>
        </w:rPr>
      </w:pPr>
      <w:r w:rsidRPr="005D1063">
        <w:rPr>
          <w:bCs/>
          <w:sz w:val="24"/>
          <w:szCs w:val="24"/>
        </w:rPr>
        <w:t>Poverená právnická osoba je oprávnená vyberať úhradu za činnosti, ktorými bola poverená podľa odseku 3 podľa cenníka. Poverená právnická osoba určí spôsob výpočtu úhrad za činnosti, ktorými bola poverená, ktorý schvaľuje úrad. Úrad zverejní cenník na svojom webovom sídle a zabezpečí jeho zverejnenie na webovom sídle poverenej právnickej osoby, inak je cenník neplatný. Príjmy z úhrad sú príjmom poverenej právnickej osoby.</w:t>
      </w:r>
    </w:p>
    <w:p w14:paraId="715C790E" w14:textId="77777777" w:rsidR="00AE1415" w:rsidRPr="005D1063" w:rsidRDefault="00AE1415" w:rsidP="00AE1415">
      <w:pPr>
        <w:pStyle w:val="Odsekzoznamu"/>
        <w:widowControl w:val="0"/>
        <w:numPr>
          <w:ilvl w:val="0"/>
          <w:numId w:val="43"/>
        </w:numPr>
        <w:autoSpaceDE w:val="0"/>
        <w:autoSpaceDN w:val="0"/>
        <w:spacing w:before="100"/>
        <w:ind w:left="426" w:right="103" w:hanging="426"/>
        <w:contextualSpacing w:val="0"/>
        <w:jc w:val="both"/>
        <w:rPr>
          <w:bCs/>
          <w:sz w:val="24"/>
          <w:szCs w:val="24"/>
        </w:rPr>
      </w:pPr>
      <w:r w:rsidRPr="005D1063">
        <w:rPr>
          <w:bCs/>
          <w:sz w:val="24"/>
          <w:szCs w:val="24"/>
        </w:rPr>
        <w:t>Ak o to úrad požiada, poverená právnická osoba môže prispievať na úhradu poplatkov za členstvo slovenského národného normalizačného orgánu v európskej normalizačnej organizácii a medzinárodnom normalizačnom orgáne, a to najviac do polovice výšky týchto poplatkov.</w:t>
      </w:r>
    </w:p>
    <w:p w14:paraId="039D0B85" w14:textId="77777777" w:rsidR="00AE1415" w:rsidRPr="005D1063" w:rsidRDefault="00AE1415" w:rsidP="00AE1415">
      <w:pPr>
        <w:pStyle w:val="Odsekzoznamu"/>
        <w:widowControl w:val="0"/>
        <w:numPr>
          <w:ilvl w:val="0"/>
          <w:numId w:val="43"/>
        </w:numPr>
        <w:autoSpaceDE w:val="0"/>
        <w:autoSpaceDN w:val="0"/>
        <w:spacing w:before="100"/>
        <w:ind w:left="284" w:right="103" w:hanging="207"/>
        <w:contextualSpacing w:val="0"/>
        <w:jc w:val="both"/>
        <w:rPr>
          <w:bCs/>
          <w:sz w:val="24"/>
          <w:szCs w:val="24"/>
        </w:rPr>
      </w:pPr>
      <w:r w:rsidRPr="005D1063">
        <w:rPr>
          <w:bCs/>
          <w:sz w:val="24"/>
          <w:szCs w:val="24"/>
        </w:rPr>
        <w:t>Na rozhodnutia podľa odsekov  3 a 7sa nevzťahuje správny poriadok.</w:t>
      </w:r>
    </w:p>
    <w:p w14:paraId="3ACFA37D" w14:textId="77777777" w:rsidR="00AE1415" w:rsidRPr="005D1063" w:rsidRDefault="00AE1415" w:rsidP="00AE1415">
      <w:pPr>
        <w:pStyle w:val="Odsekzoznamu"/>
        <w:widowControl w:val="0"/>
        <w:autoSpaceDE w:val="0"/>
        <w:autoSpaceDN w:val="0"/>
        <w:spacing w:line="240" w:lineRule="exact"/>
        <w:ind w:left="284" w:right="102"/>
        <w:contextualSpacing w:val="0"/>
        <w:jc w:val="both"/>
        <w:rPr>
          <w:bCs/>
          <w:sz w:val="24"/>
          <w:szCs w:val="24"/>
        </w:rPr>
      </w:pPr>
    </w:p>
    <w:p w14:paraId="4ABFD8C3" w14:textId="77777777" w:rsidR="00AE1415" w:rsidRPr="005D1063" w:rsidRDefault="00AE1415" w:rsidP="00AE1415">
      <w:pPr>
        <w:pStyle w:val="Odsekzoznamu"/>
        <w:widowControl w:val="0"/>
        <w:autoSpaceDE w:val="0"/>
        <w:autoSpaceDN w:val="0"/>
        <w:spacing w:before="100"/>
        <w:ind w:left="284" w:right="103"/>
        <w:contextualSpacing w:val="0"/>
        <w:jc w:val="both"/>
        <w:rPr>
          <w:bCs/>
          <w:sz w:val="24"/>
          <w:szCs w:val="24"/>
        </w:rPr>
      </w:pPr>
      <w:r w:rsidRPr="005D1063">
        <w:rPr>
          <w:bCs/>
          <w:sz w:val="24"/>
          <w:szCs w:val="24"/>
        </w:rPr>
        <w:t xml:space="preserve">Poznámka pod čiarou k odkazu 13a znie: </w:t>
      </w:r>
    </w:p>
    <w:p w14:paraId="3CEB8F53" w14:textId="77777777" w:rsidR="00AE1415" w:rsidRPr="005D1063" w:rsidRDefault="00AE1415" w:rsidP="00AE1415">
      <w:pPr>
        <w:pStyle w:val="Odsekzoznamu"/>
        <w:widowControl w:val="0"/>
        <w:autoSpaceDE w:val="0"/>
        <w:autoSpaceDN w:val="0"/>
        <w:spacing w:before="100"/>
        <w:ind w:left="284" w:right="103"/>
        <w:contextualSpacing w:val="0"/>
        <w:jc w:val="both"/>
        <w:rPr>
          <w:bCs/>
          <w:sz w:val="24"/>
          <w:szCs w:val="24"/>
        </w:rPr>
      </w:pPr>
      <w:r w:rsidRPr="005D1063">
        <w:rPr>
          <w:w w:val="115"/>
          <w:sz w:val="24"/>
          <w:szCs w:val="24"/>
        </w:rPr>
        <w:t>„</w:t>
      </w:r>
      <w:r w:rsidRPr="005D1063">
        <w:rPr>
          <w:w w:val="115"/>
          <w:sz w:val="24"/>
          <w:szCs w:val="24"/>
          <w:vertAlign w:val="superscript"/>
        </w:rPr>
        <w:t>13a</w:t>
      </w:r>
      <w:r w:rsidRPr="005D1063">
        <w:rPr>
          <w:w w:val="115"/>
          <w:sz w:val="24"/>
          <w:szCs w:val="24"/>
        </w:rPr>
        <w:t xml:space="preserve">) </w:t>
      </w:r>
      <w:r w:rsidRPr="005D1063">
        <w:rPr>
          <w:bCs/>
          <w:sz w:val="24"/>
          <w:szCs w:val="24"/>
        </w:rPr>
        <w:t>§ 5 ods. 1 zákona č. 213/1997 Z. z. o neziskových organizáciách poskytujúcich všeobecne prospešné služby v znení zákona č. 35/2002 Z. z.</w:t>
      </w:r>
    </w:p>
    <w:p w14:paraId="33E63EDE" w14:textId="77777777" w:rsidR="00AE1415" w:rsidRPr="005D1063" w:rsidRDefault="00AE1415" w:rsidP="00AE1415">
      <w:pPr>
        <w:widowControl w:val="0"/>
        <w:autoSpaceDE w:val="0"/>
        <w:autoSpaceDN w:val="0"/>
        <w:ind w:right="103"/>
        <w:jc w:val="both"/>
        <w:rPr>
          <w:bCs/>
          <w:sz w:val="24"/>
          <w:szCs w:val="24"/>
        </w:rPr>
      </w:pPr>
    </w:p>
    <w:p w14:paraId="23068AB7" w14:textId="77777777" w:rsidR="00AE1415" w:rsidRPr="005D1063" w:rsidRDefault="00AE1415" w:rsidP="00AE1415">
      <w:pPr>
        <w:pStyle w:val="Odsekzoznamu"/>
        <w:widowControl w:val="0"/>
        <w:numPr>
          <w:ilvl w:val="0"/>
          <w:numId w:val="15"/>
        </w:numPr>
        <w:autoSpaceDE w:val="0"/>
        <w:autoSpaceDN w:val="0"/>
        <w:ind w:left="426" w:right="103" w:hanging="426"/>
        <w:jc w:val="both"/>
        <w:rPr>
          <w:bCs/>
          <w:sz w:val="24"/>
          <w:szCs w:val="24"/>
        </w:rPr>
      </w:pPr>
      <w:r w:rsidRPr="005D1063">
        <w:rPr>
          <w:sz w:val="24"/>
          <w:szCs w:val="24"/>
        </w:rPr>
        <w:t>Nadpis § 5 znie: „Rada pre technickú normalizáciu“.</w:t>
      </w:r>
    </w:p>
    <w:p w14:paraId="4D044D92" w14:textId="77777777" w:rsidR="00AE1415" w:rsidRPr="005D1063" w:rsidRDefault="00AE1415" w:rsidP="00AE1415">
      <w:pPr>
        <w:pStyle w:val="Odsekzoznamu"/>
        <w:widowControl w:val="0"/>
        <w:autoSpaceDE w:val="0"/>
        <w:autoSpaceDN w:val="0"/>
        <w:ind w:left="284" w:right="103"/>
        <w:jc w:val="both"/>
        <w:rPr>
          <w:bCs/>
          <w:sz w:val="24"/>
          <w:szCs w:val="24"/>
        </w:rPr>
      </w:pPr>
    </w:p>
    <w:p w14:paraId="3920B1A2" w14:textId="77777777" w:rsidR="00AE1415" w:rsidRPr="005D1063" w:rsidRDefault="00AE1415" w:rsidP="00AE1415">
      <w:pPr>
        <w:pStyle w:val="Odsekzoznamu"/>
        <w:widowControl w:val="0"/>
        <w:numPr>
          <w:ilvl w:val="0"/>
          <w:numId w:val="15"/>
        </w:numPr>
        <w:autoSpaceDE w:val="0"/>
        <w:autoSpaceDN w:val="0"/>
        <w:ind w:left="426" w:right="103" w:hanging="426"/>
        <w:jc w:val="both"/>
        <w:rPr>
          <w:bCs/>
          <w:sz w:val="24"/>
          <w:szCs w:val="24"/>
        </w:rPr>
      </w:pPr>
      <w:r w:rsidRPr="005D1063">
        <w:rPr>
          <w:sz w:val="24"/>
          <w:szCs w:val="24"/>
        </w:rPr>
        <w:t>V § 5 ods. 1 úvodná veta znie: „Rada pre technickú normalizáciu (ďalej len „rada“) ako odborný a poradný orgán slovenského národného normalizačného orgánu“.</w:t>
      </w:r>
    </w:p>
    <w:p w14:paraId="364B544A" w14:textId="77777777" w:rsidR="00AE1415" w:rsidRPr="005D1063" w:rsidRDefault="00AE1415" w:rsidP="00AE1415">
      <w:pPr>
        <w:pStyle w:val="Odsekzoznamu"/>
        <w:rPr>
          <w:bCs/>
          <w:sz w:val="24"/>
          <w:szCs w:val="24"/>
        </w:rPr>
      </w:pPr>
    </w:p>
    <w:p w14:paraId="02ED7CD1" w14:textId="77777777" w:rsidR="00AE1415" w:rsidRPr="005D1063" w:rsidRDefault="00AE1415" w:rsidP="00AE1415">
      <w:pPr>
        <w:pStyle w:val="Odsekzoznamu"/>
        <w:widowControl w:val="0"/>
        <w:numPr>
          <w:ilvl w:val="0"/>
          <w:numId w:val="15"/>
        </w:numPr>
        <w:autoSpaceDE w:val="0"/>
        <w:autoSpaceDN w:val="0"/>
        <w:ind w:left="426" w:right="103" w:hanging="426"/>
        <w:jc w:val="both"/>
        <w:rPr>
          <w:bCs/>
          <w:sz w:val="24"/>
          <w:szCs w:val="24"/>
        </w:rPr>
      </w:pPr>
      <w:r w:rsidRPr="005D1063">
        <w:rPr>
          <w:sz w:val="24"/>
          <w:szCs w:val="24"/>
        </w:rPr>
        <w:t>V § 5 ods. 1 písm. b) sa slová „</w:t>
      </w:r>
      <w:hyperlink r:id="rId9" w:anchor="paragraf-4.odsek-2.pismeno-a" w:tooltip="Odkaz na predpis alebo ustanovenie" w:history="1">
        <w:r w:rsidRPr="005D1063">
          <w:rPr>
            <w:sz w:val="24"/>
            <w:szCs w:val="24"/>
          </w:rPr>
          <w:t>§ 4 ods. 2 písm. a)</w:t>
        </w:r>
      </w:hyperlink>
      <w:r w:rsidRPr="005D1063">
        <w:rPr>
          <w:sz w:val="24"/>
          <w:szCs w:val="24"/>
        </w:rPr>
        <w:t>“ nahrádzajú slovami „§ 4a písm. a)“.</w:t>
      </w:r>
    </w:p>
    <w:p w14:paraId="6BDA20E9" w14:textId="77777777" w:rsidR="00AE1415" w:rsidRPr="005D1063" w:rsidRDefault="00AE1415" w:rsidP="00AE1415">
      <w:pPr>
        <w:pStyle w:val="Odsekzoznamu"/>
        <w:rPr>
          <w:sz w:val="24"/>
          <w:szCs w:val="24"/>
        </w:rPr>
      </w:pPr>
    </w:p>
    <w:p w14:paraId="2A2D7353" w14:textId="77777777" w:rsidR="00AE1415" w:rsidRPr="005D1063" w:rsidRDefault="00AE1415" w:rsidP="00AE1415">
      <w:pPr>
        <w:pStyle w:val="Odsekzoznamu"/>
        <w:widowControl w:val="0"/>
        <w:numPr>
          <w:ilvl w:val="0"/>
          <w:numId w:val="15"/>
        </w:numPr>
        <w:autoSpaceDE w:val="0"/>
        <w:autoSpaceDN w:val="0"/>
        <w:ind w:left="426" w:right="103" w:hanging="426"/>
        <w:jc w:val="both"/>
        <w:rPr>
          <w:bCs/>
          <w:sz w:val="24"/>
          <w:szCs w:val="24"/>
        </w:rPr>
      </w:pPr>
      <w:r w:rsidRPr="005D1063">
        <w:rPr>
          <w:sz w:val="24"/>
          <w:szCs w:val="24"/>
        </w:rPr>
        <w:t xml:space="preserve">V § 5 ods. 1 sa vypúšťa písmeno e). Doterajšie písmená f) až l) sa označujú ako písmená </w:t>
      </w:r>
      <w:r w:rsidRPr="005D1063">
        <w:rPr>
          <w:sz w:val="24"/>
          <w:szCs w:val="24"/>
        </w:rPr>
        <w:lastRenderedPageBreak/>
        <w:t>e) až k).</w:t>
      </w:r>
    </w:p>
    <w:p w14:paraId="2CADF81E" w14:textId="77777777" w:rsidR="00AE1415" w:rsidRPr="005D1063" w:rsidRDefault="00AE1415" w:rsidP="00AE1415">
      <w:pPr>
        <w:pStyle w:val="Odsekzoznamu"/>
        <w:rPr>
          <w:sz w:val="24"/>
          <w:szCs w:val="24"/>
        </w:rPr>
      </w:pPr>
    </w:p>
    <w:p w14:paraId="29145CE2" w14:textId="77777777" w:rsidR="00AE1415" w:rsidRPr="005D1063" w:rsidRDefault="00AE1415" w:rsidP="00AE1415">
      <w:pPr>
        <w:pStyle w:val="Odsekzoznamu"/>
        <w:widowControl w:val="0"/>
        <w:numPr>
          <w:ilvl w:val="0"/>
          <w:numId w:val="15"/>
        </w:numPr>
        <w:autoSpaceDE w:val="0"/>
        <w:autoSpaceDN w:val="0"/>
        <w:ind w:left="426" w:right="103" w:hanging="426"/>
        <w:jc w:val="both"/>
        <w:rPr>
          <w:bCs/>
          <w:sz w:val="24"/>
          <w:szCs w:val="24"/>
        </w:rPr>
      </w:pPr>
      <w:r w:rsidRPr="005D1063">
        <w:rPr>
          <w:sz w:val="24"/>
          <w:szCs w:val="24"/>
        </w:rPr>
        <w:t>V § 5 ods. 1 písm. e) sa za slovo „normy“ vkladajú slová „a technickej normalizačnej informácie“.</w:t>
      </w:r>
    </w:p>
    <w:p w14:paraId="0D3C169B" w14:textId="77777777" w:rsidR="00AE1415" w:rsidRPr="005D1063" w:rsidRDefault="00AE1415" w:rsidP="00AE1415">
      <w:pPr>
        <w:pStyle w:val="Odsekzoznamu"/>
        <w:rPr>
          <w:bCs/>
          <w:sz w:val="24"/>
          <w:szCs w:val="24"/>
        </w:rPr>
      </w:pPr>
    </w:p>
    <w:p w14:paraId="553BFD3E" w14:textId="77777777" w:rsidR="00AE1415" w:rsidRPr="005D1063" w:rsidRDefault="00AE1415" w:rsidP="00AE1415">
      <w:pPr>
        <w:pStyle w:val="Odsekzoznamu"/>
        <w:widowControl w:val="0"/>
        <w:numPr>
          <w:ilvl w:val="0"/>
          <w:numId w:val="15"/>
        </w:numPr>
        <w:autoSpaceDE w:val="0"/>
        <w:autoSpaceDN w:val="0"/>
        <w:ind w:left="426" w:right="103" w:hanging="426"/>
        <w:jc w:val="both"/>
        <w:rPr>
          <w:bCs/>
          <w:sz w:val="24"/>
          <w:szCs w:val="24"/>
        </w:rPr>
      </w:pPr>
      <w:r w:rsidRPr="005D1063">
        <w:rPr>
          <w:bCs/>
          <w:sz w:val="24"/>
          <w:szCs w:val="24"/>
        </w:rPr>
        <w:t>V § 5</w:t>
      </w:r>
      <w:r w:rsidRPr="005D1063">
        <w:rPr>
          <w:sz w:val="24"/>
          <w:szCs w:val="24"/>
        </w:rPr>
        <w:t xml:space="preserve"> ods. 1 písmeno f) znie:  </w:t>
      </w:r>
    </w:p>
    <w:p w14:paraId="796F118E" w14:textId="77777777" w:rsidR="00AE1415" w:rsidRPr="005D1063" w:rsidRDefault="00AE1415" w:rsidP="00AE1415">
      <w:pPr>
        <w:widowControl w:val="0"/>
        <w:autoSpaceDE w:val="0"/>
        <w:autoSpaceDN w:val="0"/>
        <w:ind w:right="103"/>
        <w:jc w:val="both"/>
        <w:rPr>
          <w:bCs/>
          <w:sz w:val="24"/>
          <w:szCs w:val="24"/>
        </w:rPr>
      </w:pPr>
    </w:p>
    <w:p w14:paraId="35017337" w14:textId="77777777" w:rsidR="00AE1415" w:rsidRPr="005D1063" w:rsidRDefault="00AE1415" w:rsidP="00AE1415">
      <w:pPr>
        <w:keepNext/>
        <w:keepLines/>
        <w:widowControl w:val="0"/>
        <w:autoSpaceDE w:val="0"/>
        <w:autoSpaceDN w:val="0"/>
        <w:spacing w:after="120"/>
        <w:ind w:right="103"/>
        <w:jc w:val="both"/>
        <w:rPr>
          <w:sz w:val="24"/>
          <w:szCs w:val="24"/>
        </w:rPr>
      </w:pPr>
      <w:r w:rsidRPr="005D1063">
        <w:rPr>
          <w:sz w:val="24"/>
          <w:szCs w:val="24"/>
        </w:rPr>
        <w:t xml:space="preserve">      „f) zabezpečuje účasť zainteresovanej strany na technickej normalizácii,“.</w:t>
      </w:r>
    </w:p>
    <w:p w14:paraId="13ADDDEC" w14:textId="77777777" w:rsidR="00AE1415" w:rsidRPr="005D1063" w:rsidRDefault="00AE1415" w:rsidP="00AE1415">
      <w:pPr>
        <w:rPr>
          <w:bCs/>
          <w:sz w:val="24"/>
          <w:szCs w:val="24"/>
        </w:rPr>
      </w:pPr>
    </w:p>
    <w:p w14:paraId="10277184" w14:textId="77777777" w:rsidR="00AE1415" w:rsidRPr="005D1063" w:rsidRDefault="00AE1415" w:rsidP="00AE1415">
      <w:pPr>
        <w:pStyle w:val="Odsekzoznamu"/>
        <w:widowControl w:val="0"/>
        <w:numPr>
          <w:ilvl w:val="0"/>
          <w:numId w:val="15"/>
        </w:numPr>
        <w:autoSpaceDE w:val="0"/>
        <w:autoSpaceDN w:val="0"/>
        <w:ind w:left="426" w:right="103" w:hanging="426"/>
        <w:jc w:val="both"/>
        <w:rPr>
          <w:bCs/>
          <w:sz w:val="24"/>
          <w:szCs w:val="24"/>
        </w:rPr>
      </w:pPr>
      <w:r w:rsidRPr="005D1063">
        <w:rPr>
          <w:sz w:val="24"/>
          <w:szCs w:val="24"/>
        </w:rPr>
        <w:t xml:space="preserve">V § 5 ods. 1 písmeno i) znie: </w:t>
      </w:r>
    </w:p>
    <w:p w14:paraId="543A9311" w14:textId="77777777" w:rsidR="00AE1415" w:rsidRPr="005D1063" w:rsidRDefault="00AE1415" w:rsidP="00AE1415">
      <w:pPr>
        <w:pStyle w:val="Odsekzoznamu"/>
        <w:widowControl w:val="0"/>
        <w:autoSpaceDE w:val="0"/>
        <w:autoSpaceDN w:val="0"/>
        <w:ind w:left="284" w:right="103"/>
        <w:jc w:val="both"/>
        <w:rPr>
          <w:sz w:val="24"/>
          <w:szCs w:val="24"/>
        </w:rPr>
      </w:pPr>
    </w:p>
    <w:p w14:paraId="6628E344" w14:textId="77777777" w:rsidR="00AE1415" w:rsidRPr="005D1063" w:rsidRDefault="00AE1415" w:rsidP="00AE1415">
      <w:pPr>
        <w:pStyle w:val="Odsekzoznamu"/>
        <w:widowControl w:val="0"/>
        <w:autoSpaceDE w:val="0"/>
        <w:autoSpaceDN w:val="0"/>
        <w:ind w:left="284" w:right="103"/>
        <w:jc w:val="both"/>
        <w:rPr>
          <w:sz w:val="24"/>
          <w:szCs w:val="24"/>
        </w:rPr>
      </w:pPr>
      <w:r w:rsidRPr="005D1063">
        <w:rPr>
          <w:sz w:val="24"/>
          <w:szCs w:val="24"/>
        </w:rPr>
        <w:t>„i) vyjadruje sa k ročnému plánu tvorby pôvodných slovenských technických noriem a pôvodných technických normalizačných informácií, ktorý jej úrad predkladá najneskôr do konca januára každého kalendárneho roka,“.</w:t>
      </w:r>
    </w:p>
    <w:p w14:paraId="49A39DB7" w14:textId="77777777" w:rsidR="00AE1415" w:rsidRPr="005D1063" w:rsidRDefault="00AE1415" w:rsidP="00AE1415">
      <w:pPr>
        <w:pStyle w:val="Odsekzoznamu"/>
        <w:widowControl w:val="0"/>
        <w:autoSpaceDE w:val="0"/>
        <w:autoSpaceDN w:val="0"/>
        <w:ind w:left="284" w:right="103"/>
        <w:jc w:val="both"/>
        <w:rPr>
          <w:sz w:val="24"/>
          <w:szCs w:val="24"/>
        </w:rPr>
      </w:pPr>
    </w:p>
    <w:p w14:paraId="24E6528B" w14:textId="77777777" w:rsidR="00AE1415" w:rsidRPr="005D1063" w:rsidRDefault="00AE1415" w:rsidP="00AE1415">
      <w:pPr>
        <w:pStyle w:val="Odsekzoznamu"/>
        <w:keepNext/>
        <w:keepLines/>
        <w:numPr>
          <w:ilvl w:val="0"/>
          <w:numId w:val="15"/>
        </w:numPr>
        <w:spacing w:before="240" w:after="120"/>
        <w:ind w:left="357" w:hanging="357"/>
        <w:contextualSpacing w:val="0"/>
        <w:jc w:val="both"/>
        <w:rPr>
          <w:sz w:val="24"/>
          <w:szCs w:val="24"/>
        </w:rPr>
      </w:pPr>
      <w:r w:rsidRPr="005D1063">
        <w:rPr>
          <w:sz w:val="24"/>
          <w:szCs w:val="24"/>
        </w:rPr>
        <w:t>§ 6 vrátane nadpisu znie:</w:t>
      </w:r>
    </w:p>
    <w:p w14:paraId="32F968E7" w14:textId="77777777" w:rsidR="00AE1415" w:rsidRPr="005D1063" w:rsidRDefault="00AE1415" w:rsidP="00AE1415">
      <w:pPr>
        <w:spacing w:after="20" w:line="248" w:lineRule="auto"/>
        <w:ind w:left="100" w:right="90"/>
        <w:jc w:val="center"/>
        <w:rPr>
          <w:sz w:val="24"/>
          <w:szCs w:val="24"/>
        </w:rPr>
      </w:pPr>
      <w:r w:rsidRPr="005D1063">
        <w:rPr>
          <w:sz w:val="24"/>
          <w:szCs w:val="24"/>
        </w:rPr>
        <w:t>„</w:t>
      </w:r>
      <w:r w:rsidRPr="005D1063">
        <w:rPr>
          <w:b/>
          <w:sz w:val="24"/>
          <w:szCs w:val="24"/>
        </w:rPr>
        <w:t>§ 6</w:t>
      </w:r>
    </w:p>
    <w:p w14:paraId="253A278F" w14:textId="77777777" w:rsidR="00AE1415" w:rsidRPr="005D1063" w:rsidRDefault="00AE1415" w:rsidP="00AE1415">
      <w:pPr>
        <w:pStyle w:val="Nadpis1"/>
        <w:spacing w:after="214"/>
        <w:ind w:left="100" w:right="90"/>
        <w:rPr>
          <w:rFonts w:ascii="Times New Roman" w:hAnsi="Times New Roman" w:cs="Times New Roman"/>
          <w:sz w:val="24"/>
          <w:szCs w:val="24"/>
        </w:rPr>
      </w:pPr>
      <w:r w:rsidRPr="005D1063">
        <w:rPr>
          <w:rFonts w:ascii="Times New Roman" w:hAnsi="Times New Roman" w:cs="Times New Roman"/>
          <w:sz w:val="24"/>
          <w:szCs w:val="24"/>
        </w:rPr>
        <w:t>Technická komisia a projektová komisia</w:t>
      </w:r>
    </w:p>
    <w:p w14:paraId="430C50EC" w14:textId="77777777" w:rsidR="00AE1415" w:rsidRPr="005D1063" w:rsidRDefault="00AE1415" w:rsidP="00AE1415">
      <w:pPr>
        <w:pStyle w:val="Odsekzoznamu"/>
        <w:widowControl w:val="0"/>
        <w:numPr>
          <w:ilvl w:val="0"/>
          <w:numId w:val="45"/>
        </w:numPr>
        <w:autoSpaceDE w:val="0"/>
        <w:autoSpaceDN w:val="0"/>
        <w:spacing w:before="100"/>
        <w:ind w:left="851" w:right="103" w:hanging="425"/>
        <w:contextualSpacing w:val="0"/>
        <w:jc w:val="both"/>
        <w:rPr>
          <w:sz w:val="24"/>
          <w:szCs w:val="24"/>
        </w:rPr>
      </w:pPr>
      <w:r w:rsidRPr="005D1063">
        <w:rPr>
          <w:sz w:val="24"/>
          <w:szCs w:val="24"/>
        </w:rPr>
        <w:t>Technická komisia je odborný poradný orgán slovenského národného normalizačného orgánu, ktorý sa podieľa na tvorbe slovenskej technickej normy, technickej normalizačnej informácie, na pripomienkovaní podľa § 9 ods. 2 písm. b) a ods. 3 písm. c) a ďalších činnostiach, ktoré súvisia s technickou normalizáciou. Technická komisia si môže zriadiť pracovný orgán na riešenie čiastkových úloh v jej pôsobnosti.</w:t>
      </w:r>
    </w:p>
    <w:p w14:paraId="4A893B82" w14:textId="77777777" w:rsidR="00AE1415" w:rsidRPr="005D1063" w:rsidRDefault="00AE1415" w:rsidP="00AE1415">
      <w:pPr>
        <w:pStyle w:val="Odsekzoznamu"/>
        <w:widowControl w:val="0"/>
        <w:numPr>
          <w:ilvl w:val="0"/>
          <w:numId w:val="45"/>
        </w:numPr>
        <w:autoSpaceDE w:val="0"/>
        <w:autoSpaceDN w:val="0"/>
        <w:spacing w:before="100"/>
        <w:ind w:left="851" w:right="103" w:hanging="425"/>
        <w:contextualSpacing w:val="0"/>
        <w:jc w:val="both"/>
        <w:rPr>
          <w:sz w:val="24"/>
          <w:szCs w:val="24"/>
        </w:rPr>
      </w:pPr>
      <w:r w:rsidRPr="005D1063">
        <w:rPr>
          <w:sz w:val="24"/>
          <w:szCs w:val="24"/>
        </w:rPr>
        <w:t>Zloženie, úlohy, organizačné zabezpečenie, spôsob rokovania technickej komisie a podmienky vytvorenia pracovného orgánu upraví štatút technickej komisie a rokovací poriadok technickej komisie, ktorý úrad vydá a  zverejní na svojom webovom sídle.</w:t>
      </w:r>
    </w:p>
    <w:p w14:paraId="0DBCD8E6" w14:textId="77777777" w:rsidR="00AE1415" w:rsidRPr="005D1063" w:rsidRDefault="00AE1415" w:rsidP="00AE1415">
      <w:pPr>
        <w:pStyle w:val="Odsekzoznamu"/>
        <w:widowControl w:val="0"/>
        <w:numPr>
          <w:ilvl w:val="0"/>
          <w:numId w:val="45"/>
        </w:numPr>
        <w:autoSpaceDE w:val="0"/>
        <w:autoSpaceDN w:val="0"/>
        <w:spacing w:before="100"/>
        <w:ind w:left="851" w:right="103" w:hanging="425"/>
        <w:contextualSpacing w:val="0"/>
        <w:jc w:val="both"/>
        <w:rPr>
          <w:sz w:val="24"/>
          <w:szCs w:val="24"/>
        </w:rPr>
      </w:pPr>
      <w:r w:rsidRPr="005D1063">
        <w:rPr>
          <w:sz w:val="24"/>
          <w:szCs w:val="24"/>
        </w:rPr>
        <w:t>Ak predmet slovenskej technickej normy alebo technickej normalizačnej informácie nespadá do pôsobnosti žiadnej existujúcej technickej komisie, slovenský národný normalizačný orgán môže zriadiť pre účel tvorby tejto slovenskej technickej normy alebo technickej normalizačnej informácie projektovú komisiu.</w:t>
      </w:r>
    </w:p>
    <w:p w14:paraId="20D9ADE6" w14:textId="77777777" w:rsidR="00AE1415" w:rsidRPr="005D1063" w:rsidRDefault="00AE1415" w:rsidP="00AE1415">
      <w:pPr>
        <w:pStyle w:val="Odsekzoznamu"/>
        <w:widowControl w:val="0"/>
        <w:numPr>
          <w:ilvl w:val="0"/>
          <w:numId w:val="45"/>
        </w:numPr>
        <w:autoSpaceDE w:val="0"/>
        <w:autoSpaceDN w:val="0"/>
        <w:spacing w:before="100"/>
        <w:ind w:left="851" w:right="103" w:hanging="425"/>
        <w:contextualSpacing w:val="0"/>
        <w:jc w:val="both"/>
        <w:rPr>
          <w:sz w:val="24"/>
          <w:szCs w:val="24"/>
        </w:rPr>
      </w:pPr>
      <w:r w:rsidRPr="005D1063">
        <w:rPr>
          <w:sz w:val="24"/>
          <w:szCs w:val="24"/>
        </w:rPr>
        <w:t>Zloženie, úlohy, organizačné zabezpečenie a spôsob rokovania projektovej komisie upraví metodický postup, ktorý úrad vydá a zverejní na svojom webovom sídle.“.</w:t>
      </w:r>
    </w:p>
    <w:p w14:paraId="59F108D3" w14:textId="77777777" w:rsidR="00AE1415" w:rsidRPr="005D1063" w:rsidRDefault="00AE1415" w:rsidP="00AE1415">
      <w:pPr>
        <w:pStyle w:val="Odsekzoznamu"/>
        <w:widowControl w:val="0"/>
        <w:autoSpaceDE w:val="0"/>
        <w:autoSpaceDN w:val="0"/>
        <w:spacing w:before="100"/>
        <w:ind w:left="426" w:right="103"/>
        <w:contextualSpacing w:val="0"/>
        <w:jc w:val="both"/>
        <w:rPr>
          <w:sz w:val="24"/>
          <w:szCs w:val="24"/>
        </w:rPr>
      </w:pPr>
    </w:p>
    <w:p w14:paraId="0EEC704E" w14:textId="77777777" w:rsidR="00AE1415" w:rsidRPr="005D1063" w:rsidRDefault="00AE1415" w:rsidP="00AE1415">
      <w:pPr>
        <w:pStyle w:val="Odsekzoznamu"/>
        <w:widowControl w:val="0"/>
        <w:numPr>
          <w:ilvl w:val="0"/>
          <w:numId w:val="15"/>
        </w:numPr>
        <w:autoSpaceDE w:val="0"/>
        <w:autoSpaceDN w:val="0"/>
        <w:spacing w:before="100"/>
        <w:ind w:left="426" w:right="103" w:hanging="426"/>
        <w:jc w:val="both"/>
        <w:rPr>
          <w:sz w:val="24"/>
          <w:szCs w:val="24"/>
        </w:rPr>
      </w:pPr>
      <w:r w:rsidRPr="005D1063">
        <w:rPr>
          <w:sz w:val="24"/>
          <w:szCs w:val="24"/>
        </w:rPr>
        <w:t>V § 7 ods. 1 sa slová „§ 4 ods. 2 písm. d)“ nahrádzajú slovami „§ 4a písm. d)“ a slová „s úradom ako“ sa nahrádzajú slovom „so“.</w:t>
      </w:r>
    </w:p>
    <w:p w14:paraId="1F9D1829" w14:textId="77777777" w:rsidR="00AE1415" w:rsidRPr="005D1063" w:rsidRDefault="00AE1415" w:rsidP="00AE1415">
      <w:pPr>
        <w:pStyle w:val="Odsekzoznamu"/>
        <w:widowControl w:val="0"/>
        <w:autoSpaceDE w:val="0"/>
        <w:autoSpaceDN w:val="0"/>
        <w:spacing w:before="100"/>
        <w:ind w:left="426" w:right="103"/>
        <w:jc w:val="both"/>
        <w:rPr>
          <w:sz w:val="24"/>
          <w:szCs w:val="24"/>
        </w:rPr>
      </w:pPr>
    </w:p>
    <w:p w14:paraId="68B49CBB" w14:textId="77777777" w:rsidR="00AE1415" w:rsidRPr="005D1063" w:rsidRDefault="00AE1415" w:rsidP="00AE1415">
      <w:pPr>
        <w:pStyle w:val="Odsekzoznamu"/>
        <w:widowControl w:val="0"/>
        <w:numPr>
          <w:ilvl w:val="0"/>
          <w:numId w:val="15"/>
        </w:numPr>
        <w:autoSpaceDE w:val="0"/>
        <w:autoSpaceDN w:val="0"/>
        <w:spacing w:before="100"/>
        <w:ind w:left="426" w:right="103" w:hanging="426"/>
        <w:jc w:val="both"/>
        <w:rPr>
          <w:sz w:val="24"/>
          <w:szCs w:val="24"/>
        </w:rPr>
      </w:pPr>
      <w:r w:rsidRPr="005D1063">
        <w:rPr>
          <w:sz w:val="24"/>
          <w:szCs w:val="24"/>
        </w:rPr>
        <w:t xml:space="preserve">V § 7 ods. 3 písmeno a) znie: </w:t>
      </w:r>
    </w:p>
    <w:p w14:paraId="73EDA8D8" w14:textId="77777777" w:rsidR="00AE1415" w:rsidRPr="005D1063" w:rsidRDefault="00AE1415" w:rsidP="00AE1415">
      <w:pPr>
        <w:pStyle w:val="Odsekzoznamu"/>
        <w:keepNext/>
        <w:keepLines/>
        <w:ind w:left="357"/>
        <w:contextualSpacing w:val="0"/>
        <w:jc w:val="both"/>
        <w:rPr>
          <w:sz w:val="24"/>
          <w:szCs w:val="24"/>
        </w:rPr>
      </w:pPr>
      <w:r w:rsidRPr="005D1063">
        <w:rPr>
          <w:sz w:val="24"/>
          <w:szCs w:val="24"/>
        </w:rPr>
        <w:lastRenderedPageBreak/>
        <w:t>„a) zostavenie mesačného zoznamu normalizačných úloh (ďalej len „plán technickej normalizácie“),“.</w:t>
      </w:r>
    </w:p>
    <w:p w14:paraId="7F734A6B" w14:textId="77777777" w:rsidR="00AE1415" w:rsidRPr="005D1063" w:rsidRDefault="00AE1415" w:rsidP="00AE1415">
      <w:pPr>
        <w:keepNext/>
        <w:keepLines/>
        <w:jc w:val="both"/>
        <w:rPr>
          <w:sz w:val="24"/>
          <w:szCs w:val="24"/>
        </w:rPr>
      </w:pPr>
    </w:p>
    <w:p w14:paraId="04FAF711" w14:textId="77777777" w:rsidR="00AE1415" w:rsidRPr="005D1063" w:rsidRDefault="00AE1415" w:rsidP="00AE1415">
      <w:pPr>
        <w:pStyle w:val="Odsekzoznamu"/>
        <w:keepNext/>
        <w:keepLines/>
        <w:numPr>
          <w:ilvl w:val="0"/>
          <w:numId w:val="15"/>
        </w:numPr>
        <w:ind w:left="357" w:hanging="357"/>
        <w:contextualSpacing w:val="0"/>
        <w:jc w:val="both"/>
        <w:rPr>
          <w:sz w:val="24"/>
          <w:szCs w:val="24"/>
        </w:rPr>
      </w:pPr>
      <w:r w:rsidRPr="005D1063">
        <w:rPr>
          <w:sz w:val="24"/>
          <w:szCs w:val="24"/>
        </w:rPr>
        <w:t>V § 8 ods. 2 úvodnej vete sa vypúšťajú slová „medzinárodnej norme,“.</w:t>
      </w:r>
    </w:p>
    <w:p w14:paraId="2AE4F4F5" w14:textId="77777777" w:rsidR="00AE1415" w:rsidRPr="005D1063" w:rsidRDefault="00AE1415" w:rsidP="00AE1415">
      <w:pPr>
        <w:pStyle w:val="Odsekzoznamu"/>
        <w:keepNext/>
        <w:keepLines/>
        <w:ind w:left="357"/>
        <w:contextualSpacing w:val="0"/>
        <w:jc w:val="both"/>
        <w:rPr>
          <w:sz w:val="24"/>
          <w:szCs w:val="24"/>
        </w:rPr>
      </w:pPr>
    </w:p>
    <w:p w14:paraId="2C96342C" w14:textId="77777777" w:rsidR="00AE1415" w:rsidRPr="005D1063" w:rsidRDefault="00AE1415" w:rsidP="00AE1415">
      <w:pPr>
        <w:pStyle w:val="Odsekzoznamu"/>
        <w:keepNext/>
        <w:keepLines/>
        <w:numPr>
          <w:ilvl w:val="0"/>
          <w:numId w:val="15"/>
        </w:numPr>
        <w:ind w:left="357" w:hanging="357"/>
        <w:contextualSpacing w:val="0"/>
        <w:jc w:val="both"/>
        <w:rPr>
          <w:sz w:val="24"/>
          <w:szCs w:val="24"/>
        </w:rPr>
      </w:pPr>
      <w:r w:rsidRPr="005D1063">
        <w:rPr>
          <w:sz w:val="24"/>
          <w:szCs w:val="24"/>
        </w:rPr>
        <w:t>V § 9 ods. 1 druhej vete sa slovo „úrad“ nahrádza slovami „slovenský národný normalizačný orgán“.</w:t>
      </w:r>
    </w:p>
    <w:p w14:paraId="195C354F" w14:textId="77777777" w:rsidR="00AE1415" w:rsidRPr="005D1063" w:rsidRDefault="00AE1415" w:rsidP="00AE1415">
      <w:pPr>
        <w:pStyle w:val="Odsekzoznamu"/>
        <w:keepNext/>
        <w:keepLines/>
        <w:ind w:left="357"/>
        <w:contextualSpacing w:val="0"/>
        <w:jc w:val="both"/>
        <w:rPr>
          <w:sz w:val="24"/>
          <w:szCs w:val="24"/>
        </w:rPr>
      </w:pPr>
    </w:p>
    <w:p w14:paraId="0175C975" w14:textId="77777777" w:rsidR="00AE1415" w:rsidRPr="005D1063" w:rsidRDefault="00AE1415" w:rsidP="00AE1415">
      <w:pPr>
        <w:pStyle w:val="Odsekzoznamu"/>
        <w:keepNext/>
        <w:keepLines/>
        <w:numPr>
          <w:ilvl w:val="0"/>
          <w:numId w:val="15"/>
        </w:numPr>
        <w:ind w:left="357" w:hanging="357"/>
        <w:contextualSpacing w:val="0"/>
        <w:jc w:val="both"/>
        <w:rPr>
          <w:sz w:val="24"/>
          <w:szCs w:val="24"/>
        </w:rPr>
      </w:pPr>
      <w:r w:rsidRPr="005D1063">
        <w:rPr>
          <w:sz w:val="24"/>
          <w:szCs w:val="24"/>
        </w:rPr>
        <w:t>V § 9 ods. 2 písm. b) sa za slovo „komisie“ vkladá čiarka a slová „pracovného orgánu alebo projektovej komisie na to vytvorenej“.</w:t>
      </w:r>
    </w:p>
    <w:p w14:paraId="1EBE31FF" w14:textId="77777777" w:rsidR="00AE1415" w:rsidRPr="005D1063" w:rsidRDefault="00AE1415" w:rsidP="00AE1415">
      <w:pPr>
        <w:pStyle w:val="Odsekzoznamu"/>
        <w:keepNext/>
        <w:keepLines/>
        <w:ind w:left="357"/>
        <w:contextualSpacing w:val="0"/>
        <w:jc w:val="both"/>
        <w:rPr>
          <w:sz w:val="24"/>
          <w:szCs w:val="24"/>
        </w:rPr>
      </w:pPr>
    </w:p>
    <w:p w14:paraId="0190C8BA" w14:textId="77777777" w:rsidR="00AE1415" w:rsidRPr="005D1063" w:rsidRDefault="00AE1415" w:rsidP="00AE1415">
      <w:pPr>
        <w:pStyle w:val="Odsekzoznamu"/>
        <w:keepNext/>
        <w:keepLines/>
        <w:numPr>
          <w:ilvl w:val="0"/>
          <w:numId w:val="15"/>
        </w:numPr>
        <w:ind w:left="357" w:hanging="357"/>
        <w:contextualSpacing w:val="0"/>
        <w:jc w:val="both"/>
        <w:rPr>
          <w:sz w:val="24"/>
          <w:szCs w:val="24"/>
        </w:rPr>
      </w:pPr>
      <w:r w:rsidRPr="005D1063">
        <w:rPr>
          <w:sz w:val="24"/>
          <w:szCs w:val="24"/>
        </w:rPr>
        <w:t>V § 9 ods. 6 sa na konci pripájajú tieto slová: „pôvodnej slovenskej technickej normy alebo pôvodnej technickej normalizačnej informácie.“.</w:t>
      </w:r>
    </w:p>
    <w:p w14:paraId="2A713252" w14:textId="77777777" w:rsidR="00AE1415" w:rsidRPr="005D1063" w:rsidRDefault="00AE1415" w:rsidP="00AE1415">
      <w:pPr>
        <w:pStyle w:val="Odsekzoznamu"/>
        <w:keepNext/>
        <w:keepLines/>
        <w:ind w:left="357"/>
        <w:contextualSpacing w:val="0"/>
        <w:jc w:val="both"/>
        <w:rPr>
          <w:sz w:val="24"/>
          <w:szCs w:val="24"/>
        </w:rPr>
      </w:pPr>
    </w:p>
    <w:p w14:paraId="53A42C19" w14:textId="77777777" w:rsidR="00AE1415" w:rsidRPr="005D1063" w:rsidRDefault="00AE1415" w:rsidP="00AE1415">
      <w:pPr>
        <w:pStyle w:val="Odsekzoznamu"/>
        <w:keepNext/>
        <w:keepLines/>
        <w:numPr>
          <w:ilvl w:val="0"/>
          <w:numId w:val="15"/>
        </w:numPr>
        <w:ind w:left="357" w:hanging="357"/>
        <w:contextualSpacing w:val="0"/>
        <w:jc w:val="both"/>
        <w:rPr>
          <w:sz w:val="24"/>
          <w:szCs w:val="24"/>
        </w:rPr>
      </w:pPr>
      <w:r w:rsidRPr="005D1063">
        <w:rPr>
          <w:sz w:val="24"/>
          <w:szCs w:val="24"/>
        </w:rPr>
        <w:t>V § 10 ods. 2 sa za slová „v odôvodnených prípadoch“ vkladá slovo „bezodkladne“.</w:t>
      </w:r>
    </w:p>
    <w:p w14:paraId="5C3CA089" w14:textId="77777777" w:rsidR="00AE1415" w:rsidRPr="005D1063" w:rsidRDefault="00AE1415" w:rsidP="00AE1415">
      <w:pPr>
        <w:pStyle w:val="Odsekzoznamu"/>
        <w:keepNext/>
        <w:keepLines/>
        <w:ind w:left="357"/>
        <w:contextualSpacing w:val="0"/>
        <w:jc w:val="both"/>
        <w:rPr>
          <w:sz w:val="24"/>
          <w:szCs w:val="24"/>
        </w:rPr>
      </w:pPr>
    </w:p>
    <w:p w14:paraId="1CE77F5D" w14:textId="77777777" w:rsidR="00AE1415" w:rsidRPr="005D1063" w:rsidRDefault="00AE1415" w:rsidP="00AE1415">
      <w:pPr>
        <w:pStyle w:val="Odsekzoznamu"/>
        <w:numPr>
          <w:ilvl w:val="0"/>
          <w:numId w:val="15"/>
        </w:numPr>
        <w:ind w:left="426" w:hanging="426"/>
        <w:jc w:val="both"/>
        <w:rPr>
          <w:sz w:val="24"/>
          <w:szCs w:val="24"/>
        </w:rPr>
      </w:pPr>
      <w:r w:rsidRPr="005D1063">
        <w:rPr>
          <w:sz w:val="24"/>
          <w:szCs w:val="24"/>
        </w:rPr>
        <w:t>V § 10 ods. 3 sa slovo „úradu“ nahrádza slovami „slovenského národného normalizačného orgánu“.</w:t>
      </w:r>
    </w:p>
    <w:p w14:paraId="780DD338" w14:textId="77777777" w:rsidR="00AE1415" w:rsidRPr="005D1063" w:rsidRDefault="00AE1415" w:rsidP="00AE1415">
      <w:pPr>
        <w:pStyle w:val="Odsekzoznamu"/>
        <w:ind w:left="426"/>
        <w:jc w:val="both"/>
        <w:rPr>
          <w:sz w:val="24"/>
          <w:szCs w:val="24"/>
        </w:rPr>
      </w:pPr>
    </w:p>
    <w:p w14:paraId="456D13A3" w14:textId="77777777" w:rsidR="00AE1415" w:rsidRPr="005D1063" w:rsidRDefault="00AE1415" w:rsidP="00AE1415">
      <w:pPr>
        <w:pStyle w:val="Odsekzoznamu"/>
        <w:widowControl w:val="0"/>
        <w:numPr>
          <w:ilvl w:val="0"/>
          <w:numId w:val="15"/>
        </w:numPr>
        <w:autoSpaceDE w:val="0"/>
        <w:autoSpaceDN w:val="0"/>
        <w:spacing w:before="100"/>
        <w:ind w:left="426" w:right="103" w:hanging="426"/>
        <w:jc w:val="both"/>
        <w:rPr>
          <w:sz w:val="24"/>
          <w:szCs w:val="24"/>
        </w:rPr>
      </w:pPr>
      <w:r w:rsidRPr="005D1063">
        <w:rPr>
          <w:sz w:val="24"/>
          <w:szCs w:val="24"/>
        </w:rPr>
        <w:t>V § 12 ods. 1 sa slová „§ 4 ods. 2 písm. c), uhrádza úrad.“ nahrádzajú slovami „§ 4a písm. c), uhrádza slovenský národný normalizačný orgán“.</w:t>
      </w:r>
    </w:p>
    <w:p w14:paraId="04973DA5" w14:textId="77777777" w:rsidR="00AE1415" w:rsidRPr="005D1063" w:rsidRDefault="00AE1415" w:rsidP="00AE1415">
      <w:pPr>
        <w:pStyle w:val="Odsekzoznamu"/>
        <w:rPr>
          <w:sz w:val="24"/>
          <w:szCs w:val="24"/>
        </w:rPr>
      </w:pPr>
    </w:p>
    <w:p w14:paraId="392485DC" w14:textId="77777777" w:rsidR="00AE1415" w:rsidRPr="005D1063" w:rsidRDefault="00AE1415" w:rsidP="00AE1415">
      <w:pPr>
        <w:pStyle w:val="Odsekzoznamu"/>
        <w:widowControl w:val="0"/>
        <w:numPr>
          <w:ilvl w:val="0"/>
          <w:numId w:val="15"/>
        </w:numPr>
        <w:autoSpaceDE w:val="0"/>
        <w:autoSpaceDN w:val="0"/>
        <w:spacing w:before="100"/>
        <w:ind w:left="426" w:right="103" w:hanging="426"/>
        <w:jc w:val="both"/>
        <w:rPr>
          <w:sz w:val="24"/>
          <w:szCs w:val="24"/>
        </w:rPr>
      </w:pPr>
      <w:r w:rsidRPr="005D1063">
        <w:rPr>
          <w:sz w:val="24"/>
          <w:szCs w:val="24"/>
        </w:rPr>
        <w:t>V § 13 ods. 1 sa nad slovom „normy“ odkaz „</w:t>
      </w:r>
      <w:r w:rsidRPr="005D1063">
        <w:rPr>
          <w:sz w:val="24"/>
          <w:szCs w:val="24"/>
          <w:vertAlign w:val="superscript"/>
        </w:rPr>
        <w:t>17</w:t>
      </w:r>
      <w:r w:rsidRPr="005D1063">
        <w:rPr>
          <w:sz w:val="24"/>
          <w:szCs w:val="24"/>
        </w:rPr>
        <w:t>)“ nahrádza odkazom „</w:t>
      </w:r>
      <w:r w:rsidRPr="005D1063">
        <w:rPr>
          <w:sz w:val="24"/>
          <w:szCs w:val="24"/>
          <w:vertAlign w:val="superscript"/>
        </w:rPr>
        <w:t>2b</w:t>
      </w:r>
      <w:r w:rsidRPr="005D1063">
        <w:rPr>
          <w:sz w:val="24"/>
          <w:szCs w:val="24"/>
        </w:rPr>
        <w:t>)“.</w:t>
      </w:r>
    </w:p>
    <w:p w14:paraId="49301520" w14:textId="77777777" w:rsidR="00AE1415" w:rsidRPr="005D1063" w:rsidRDefault="00AE1415" w:rsidP="00AE1415">
      <w:pPr>
        <w:widowControl w:val="0"/>
        <w:autoSpaceDE w:val="0"/>
        <w:autoSpaceDN w:val="0"/>
        <w:spacing w:before="100"/>
        <w:ind w:right="103"/>
        <w:jc w:val="both"/>
        <w:rPr>
          <w:sz w:val="24"/>
          <w:szCs w:val="24"/>
        </w:rPr>
      </w:pPr>
      <w:r w:rsidRPr="005D1063">
        <w:rPr>
          <w:sz w:val="24"/>
          <w:szCs w:val="24"/>
        </w:rPr>
        <w:t>Poznámka pod čiarou k odkazu 17 sa vypúšťa.</w:t>
      </w:r>
    </w:p>
    <w:p w14:paraId="54A73C0C" w14:textId="77777777" w:rsidR="00AE1415" w:rsidRPr="005D1063" w:rsidRDefault="00AE1415" w:rsidP="00AE1415">
      <w:pPr>
        <w:pStyle w:val="Odsekzoznamu"/>
        <w:keepNext/>
        <w:keepLines/>
        <w:numPr>
          <w:ilvl w:val="0"/>
          <w:numId w:val="15"/>
        </w:numPr>
        <w:spacing w:before="240" w:after="120"/>
        <w:ind w:left="357" w:hanging="357"/>
        <w:contextualSpacing w:val="0"/>
        <w:jc w:val="both"/>
        <w:rPr>
          <w:sz w:val="24"/>
          <w:szCs w:val="24"/>
        </w:rPr>
      </w:pPr>
      <w:r w:rsidRPr="005D1063">
        <w:rPr>
          <w:sz w:val="24"/>
          <w:szCs w:val="24"/>
        </w:rPr>
        <w:t>V § 14 ods. 2 sa slovo „a“ nahrádza slovom „alebo“.</w:t>
      </w:r>
    </w:p>
    <w:p w14:paraId="2EB786E1" w14:textId="77777777" w:rsidR="00AE1415" w:rsidRPr="005D1063" w:rsidRDefault="00AE1415" w:rsidP="00AE1415">
      <w:pPr>
        <w:pStyle w:val="Odsekzoznamu"/>
        <w:keepNext/>
        <w:keepLines/>
        <w:numPr>
          <w:ilvl w:val="0"/>
          <w:numId w:val="15"/>
        </w:numPr>
        <w:spacing w:before="240" w:after="120"/>
        <w:ind w:left="357" w:hanging="357"/>
        <w:contextualSpacing w:val="0"/>
        <w:jc w:val="both"/>
        <w:rPr>
          <w:sz w:val="24"/>
          <w:szCs w:val="24"/>
        </w:rPr>
      </w:pPr>
      <w:r w:rsidRPr="005D1063">
        <w:rPr>
          <w:sz w:val="24"/>
          <w:szCs w:val="24"/>
        </w:rPr>
        <w:t xml:space="preserve">V § 14 sa odsek 4 dopĺňa písmenom c), ktoré znie: </w:t>
      </w:r>
    </w:p>
    <w:p w14:paraId="51BE3C81" w14:textId="77777777" w:rsidR="00AE1415" w:rsidRPr="005D1063" w:rsidRDefault="00AE1415" w:rsidP="00AE1415">
      <w:pPr>
        <w:pStyle w:val="Odsekzoznamu"/>
        <w:keepNext/>
        <w:keepLines/>
        <w:spacing w:before="240" w:after="120"/>
        <w:ind w:left="357"/>
        <w:contextualSpacing w:val="0"/>
        <w:jc w:val="both"/>
        <w:rPr>
          <w:sz w:val="24"/>
          <w:szCs w:val="24"/>
        </w:rPr>
      </w:pPr>
      <w:r w:rsidRPr="005D1063">
        <w:rPr>
          <w:sz w:val="24"/>
          <w:szCs w:val="24"/>
        </w:rPr>
        <w:t>„c) rozširovanie časti pôvodnej slovenskej technickej normy alebo pôvodnej technickej normalizačnej informácie jej spracovateľom na účely zvyšovania informovanosti a vzdelávania odbornej verejnosti.“.</w:t>
      </w:r>
    </w:p>
    <w:p w14:paraId="0A2407BE" w14:textId="77777777" w:rsidR="00AE1415" w:rsidRPr="005D1063" w:rsidRDefault="00AE1415" w:rsidP="00AE1415">
      <w:pPr>
        <w:pStyle w:val="Odsekzoznamu"/>
        <w:keepNext/>
        <w:keepLines/>
        <w:numPr>
          <w:ilvl w:val="0"/>
          <w:numId w:val="15"/>
        </w:numPr>
        <w:spacing w:before="240" w:after="120"/>
        <w:ind w:left="357" w:hanging="357"/>
        <w:contextualSpacing w:val="0"/>
        <w:jc w:val="both"/>
        <w:rPr>
          <w:sz w:val="24"/>
          <w:szCs w:val="24"/>
        </w:rPr>
      </w:pPr>
      <w:r w:rsidRPr="005D1063">
        <w:rPr>
          <w:sz w:val="24"/>
          <w:szCs w:val="24"/>
        </w:rPr>
        <w:t>V § 15 ods. 3 sa slovo „každému“ sa nahrádza slovom „tomu“.</w:t>
      </w:r>
    </w:p>
    <w:p w14:paraId="2349C690" w14:textId="77777777" w:rsidR="00AE1415" w:rsidRPr="005D1063" w:rsidRDefault="00AE1415" w:rsidP="00AE1415">
      <w:pPr>
        <w:pStyle w:val="Odsekzoznamu"/>
        <w:keepNext/>
        <w:keepLines/>
        <w:numPr>
          <w:ilvl w:val="0"/>
          <w:numId w:val="15"/>
        </w:numPr>
        <w:spacing w:before="240" w:after="120"/>
        <w:ind w:left="357" w:hanging="357"/>
        <w:contextualSpacing w:val="0"/>
        <w:jc w:val="both"/>
        <w:rPr>
          <w:sz w:val="24"/>
          <w:szCs w:val="24"/>
        </w:rPr>
      </w:pPr>
      <w:r w:rsidRPr="005D1063">
        <w:rPr>
          <w:sz w:val="24"/>
          <w:szCs w:val="24"/>
        </w:rPr>
        <w:t xml:space="preserve"> V § 15 sa za odsek 7 vkladá nový odsek 8, ktorý znie:  </w:t>
      </w:r>
    </w:p>
    <w:p w14:paraId="6053412D" w14:textId="77777777" w:rsidR="00AE1415" w:rsidRPr="005D1063" w:rsidRDefault="00AE1415" w:rsidP="00AE1415">
      <w:pPr>
        <w:pStyle w:val="Odsekzoznamu"/>
        <w:widowControl w:val="0"/>
        <w:autoSpaceDE w:val="0"/>
        <w:autoSpaceDN w:val="0"/>
        <w:spacing w:before="100"/>
        <w:ind w:left="284" w:right="103"/>
        <w:contextualSpacing w:val="0"/>
        <w:jc w:val="both"/>
        <w:rPr>
          <w:rFonts w:eastAsiaTheme="minorHAnsi"/>
          <w:sz w:val="24"/>
          <w:szCs w:val="24"/>
        </w:rPr>
      </w:pPr>
      <w:r w:rsidRPr="005D1063">
        <w:rPr>
          <w:w w:val="115"/>
          <w:sz w:val="24"/>
          <w:szCs w:val="24"/>
        </w:rPr>
        <w:t>„</w:t>
      </w:r>
      <w:r w:rsidRPr="005D1063">
        <w:rPr>
          <w:rFonts w:eastAsiaTheme="minorHAnsi"/>
          <w:sz w:val="24"/>
          <w:szCs w:val="24"/>
        </w:rPr>
        <w:t>(8) Nárok na vrátenie úhrady za poskytnutie pôvodnej slovenskej technickej normy alebo pôvodnej technickej normalizačnej informácie nevzniká pri poskytnutí pôvodnej slovenskej technickej normy alebo pôvodnej technickej normalizačnej informácie prostredníctvom portálu, ak sa uplatní § 15a ods. 2.“.</w:t>
      </w:r>
    </w:p>
    <w:p w14:paraId="74F84465" w14:textId="77777777" w:rsidR="00AE1415" w:rsidRPr="005D1063" w:rsidRDefault="00AE1415" w:rsidP="00AE1415">
      <w:pPr>
        <w:pStyle w:val="Odsekzoznamu"/>
        <w:widowControl w:val="0"/>
        <w:autoSpaceDE w:val="0"/>
        <w:autoSpaceDN w:val="0"/>
        <w:spacing w:before="100"/>
        <w:ind w:left="284" w:right="103"/>
        <w:contextualSpacing w:val="0"/>
        <w:jc w:val="both"/>
        <w:rPr>
          <w:rFonts w:eastAsiaTheme="minorHAnsi"/>
          <w:sz w:val="24"/>
          <w:szCs w:val="24"/>
        </w:rPr>
      </w:pPr>
      <w:r w:rsidRPr="005D1063">
        <w:rPr>
          <w:rFonts w:eastAsiaTheme="minorHAnsi"/>
          <w:sz w:val="24"/>
          <w:szCs w:val="24"/>
        </w:rPr>
        <w:t>Doterajší odsek 8 sa označuje ako odsek 9.</w:t>
      </w:r>
    </w:p>
    <w:p w14:paraId="7364C9DA" w14:textId="77777777" w:rsidR="00AE1415" w:rsidRPr="005D1063" w:rsidRDefault="00AE1415" w:rsidP="00AE1415">
      <w:pPr>
        <w:pStyle w:val="Odsekzoznamu"/>
        <w:keepNext/>
        <w:keepLines/>
        <w:numPr>
          <w:ilvl w:val="0"/>
          <w:numId w:val="15"/>
        </w:numPr>
        <w:spacing w:before="240" w:after="120"/>
        <w:ind w:left="357" w:hanging="357"/>
        <w:contextualSpacing w:val="0"/>
        <w:jc w:val="both"/>
        <w:rPr>
          <w:sz w:val="24"/>
          <w:szCs w:val="24"/>
        </w:rPr>
      </w:pPr>
      <w:r w:rsidRPr="005D1063">
        <w:rPr>
          <w:sz w:val="24"/>
          <w:szCs w:val="24"/>
        </w:rPr>
        <w:lastRenderedPageBreak/>
        <w:t xml:space="preserve">V 15a ods. 1 druhej vete a ods. 2 druhej vete sa slovo „Úrad“ nahrádza slovami „Slovenský národný normalizačný orgán“. </w:t>
      </w:r>
    </w:p>
    <w:p w14:paraId="7CA0B770" w14:textId="77777777" w:rsidR="00AE1415" w:rsidRPr="005D1063" w:rsidRDefault="00AE1415" w:rsidP="00AE1415">
      <w:pPr>
        <w:pStyle w:val="Odsekzoznamu"/>
        <w:keepNext/>
        <w:keepLines/>
        <w:numPr>
          <w:ilvl w:val="0"/>
          <w:numId w:val="15"/>
        </w:numPr>
        <w:spacing w:before="240" w:after="120"/>
        <w:ind w:left="357" w:hanging="357"/>
        <w:contextualSpacing w:val="0"/>
        <w:jc w:val="both"/>
        <w:rPr>
          <w:sz w:val="24"/>
          <w:szCs w:val="24"/>
        </w:rPr>
      </w:pPr>
      <w:r w:rsidRPr="005D1063">
        <w:rPr>
          <w:sz w:val="24"/>
          <w:szCs w:val="24"/>
        </w:rPr>
        <w:t>V § 17 ods. 1 sa slová „do 500 eur“ nahrádzajú slovami „do 1 500 eur“.</w:t>
      </w:r>
    </w:p>
    <w:p w14:paraId="3CAA3EA5" w14:textId="77777777" w:rsidR="00AE1415" w:rsidRPr="005D1063" w:rsidRDefault="00AE1415" w:rsidP="00AE1415">
      <w:pPr>
        <w:pStyle w:val="Odsekzoznamu"/>
        <w:keepNext/>
        <w:keepLines/>
        <w:numPr>
          <w:ilvl w:val="0"/>
          <w:numId w:val="15"/>
        </w:numPr>
        <w:spacing w:before="240" w:after="120"/>
        <w:ind w:left="357" w:hanging="357"/>
        <w:contextualSpacing w:val="0"/>
        <w:jc w:val="both"/>
        <w:rPr>
          <w:sz w:val="24"/>
          <w:szCs w:val="24"/>
        </w:rPr>
      </w:pPr>
      <w:r w:rsidRPr="005D1063">
        <w:rPr>
          <w:sz w:val="24"/>
          <w:szCs w:val="24"/>
        </w:rPr>
        <w:t>§ 19 sa dopĺňa písmenom g), ktoré znie:</w:t>
      </w:r>
    </w:p>
    <w:p w14:paraId="6A321CA0" w14:textId="77777777" w:rsidR="00AE1415" w:rsidRPr="005D1063" w:rsidRDefault="00AE1415" w:rsidP="00AE1415">
      <w:pPr>
        <w:pStyle w:val="Odsekzoznamu"/>
        <w:keepNext/>
        <w:keepLines/>
        <w:spacing w:before="240" w:after="120"/>
        <w:ind w:left="357"/>
        <w:contextualSpacing w:val="0"/>
        <w:jc w:val="both"/>
        <w:rPr>
          <w:sz w:val="24"/>
          <w:szCs w:val="24"/>
        </w:rPr>
      </w:pPr>
      <w:r w:rsidRPr="005D1063">
        <w:rPr>
          <w:sz w:val="24"/>
          <w:szCs w:val="24"/>
        </w:rPr>
        <w:t>„g) výšku úhrady za poskytnutie časopisu úradu.“</w:t>
      </w:r>
    </w:p>
    <w:p w14:paraId="1F811A6A" w14:textId="77777777" w:rsidR="00AE1415" w:rsidRPr="005D1063" w:rsidRDefault="00AE1415" w:rsidP="00AE1415">
      <w:pPr>
        <w:pStyle w:val="Odsekzoznamu"/>
        <w:keepNext/>
        <w:keepLines/>
        <w:numPr>
          <w:ilvl w:val="0"/>
          <w:numId w:val="15"/>
        </w:numPr>
        <w:spacing w:before="240" w:after="120"/>
        <w:ind w:left="357" w:hanging="357"/>
        <w:contextualSpacing w:val="0"/>
        <w:jc w:val="both"/>
        <w:rPr>
          <w:sz w:val="24"/>
          <w:szCs w:val="24"/>
        </w:rPr>
      </w:pPr>
      <w:r w:rsidRPr="005D1063">
        <w:rPr>
          <w:sz w:val="24"/>
          <w:szCs w:val="24"/>
        </w:rPr>
        <w:t>Slová „úrad ako“ vo všetkých tvaroch sa v celom texte zákona okrem § 4 vypúšťajú.</w:t>
      </w:r>
    </w:p>
    <w:p w14:paraId="36DF2AC0" w14:textId="77777777" w:rsidR="00AE1415" w:rsidRPr="005D1063" w:rsidRDefault="00AE1415" w:rsidP="00AE1415">
      <w:pPr>
        <w:pStyle w:val="Odsekzoznamu"/>
        <w:keepNext/>
        <w:keepLines/>
        <w:numPr>
          <w:ilvl w:val="0"/>
          <w:numId w:val="15"/>
        </w:numPr>
        <w:spacing w:before="240" w:after="120"/>
        <w:ind w:left="357" w:hanging="357"/>
        <w:contextualSpacing w:val="0"/>
        <w:jc w:val="both"/>
        <w:rPr>
          <w:sz w:val="24"/>
          <w:szCs w:val="24"/>
        </w:rPr>
      </w:pPr>
      <w:r w:rsidRPr="005D1063">
        <w:rPr>
          <w:sz w:val="24"/>
          <w:szCs w:val="24"/>
        </w:rPr>
        <w:t>Slová „Úrad ako slovenský národný normalizačný orgán“ vo všetkých tvaroch sa v celom texte zákona nahrádzajú slovami „Slovenský národný normalizačný orgán“ v príslušnom tvare.</w:t>
      </w:r>
    </w:p>
    <w:p w14:paraId="2A77E437" w14:textId="77777777" w:rsidR="00AE1415" w:rsidRPr="005D1063" w:rsidRDefault="00AE1415" w:rsidP="00AE1415">
      <w:pPr>
        <w:keepNext/>
        <w:keepLines/>
        <w:spacing w:before="240" w:after="120"/>
        <w:jc w:val="center"/>
        <w:rPr>
          <w:b/>
          <w:w w:val="115"/>
          <w:sz w:val="24"/>
          <w:szCs w:val="24"/>
        </w:rPr>
      </w:pPr>
      <w:r w:rsidRPr="005D1063">
        <w:rPr>
          <w:b/>
          <w:w w:val="115"/>
          <w:sz w:val="24"/>
          <w:szCs w:val="24"/>
        </w:rPr>
        <w:t>Čl. II</w:t>
      </w:r>
    </w:p>
    <w:p w14:paraId="547ACB00" w14:textId="77777777" w:rsidR="00AE1415" w:rsidRPr="005D1063" w:rsidRDefault="00AE1415" w:rsidP="00AE1415">
      <w:pPr>
        <w:keepNext/>
        <w:keepLines/>
        <w:spacing w:before="240"/>
        <w:rPr>
          <w:color w:val="000000" w:themeColor="text1"/>
          <w:sz w:val="24"/>
          <w:szCs w:val="24"/>
        </w:rPr>
      </w:pPr>
      <w:r w:rsidRPr="005D1063">
        <w:rPr>
          <w:color w:val="000000" w:themeColor="text1"/>
          <w:sz w:val="24"/>
          <w:szCs w:val="24"/>
        </w:rPr>
        <w:t>Tento zákon nadobúda účinnosť 1. septembra 2023.</w:t>
      </w:r>
    </w:p>
    <w:p w14:paraId="362ACEEC" w14:textId="77777777" w:rsidR="0018613D" w:rsidRPr="00AE6CE4" w:rsidRDefault="0018613D" w:rsidP="00AE1415">
      <w:pPr>
        <w:keepNext/>
        <w:keepLines/>
        <w:spacing w:before="240" w:after="200"/>
        <w:jc w:val="center"/>
        <w:rPr>
          <w:sz w:val="24"/>
          <w:szCs w:val="24"/>
        </w:rPr>
      </w:pPr>
    </w:p>
    <w:sectPr w:rsidR="0018613D" w:rsidRPr="00AE6CE4">
      <w:footerReference w:type="default" r:id="rId1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98079" w16cex:dateUtc="2021-10-07T12:19:00Z"/>
  <w16cex:commentExtensible w16cex:durableId="2509808B" w16cex:dateUtc="2021-10-07T12:19:00Z"/>
  <w16cex:commentExtensible w16cex:durableId="250A8F71" w16cex:dateUtc="2021-10-08T07: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5A9BC" w14:textId="77777777" w:rsidR="005C55EA" w:rsidRDefault="005C55EA" w:rsidP="00BF2212">
      <w:r>
        <w:separator/>
      </w:r>
    </w:p>
  </w:endnote>
  <w:endnote w:type="continuationSeparator" w:id="0">
    <w:p w14:paraId="026C69A5" w14:textId="77777777" w:rsidR="005C55EA" w:rsidRDefault="005C55EA" w:rsidP="00BF2212">
      <w:r>
        <w:continuationSeparator/>
      </w:r>
    </w:p>
  </w:endnote>
  <w:endnote w:type="continuationNotice" w:id="1">
    <w:p w14:paraId="4C591220" w14:textId="77777777" w:rsidR="005C55EA" w:rsidRDefault="005C55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0637199"/>
      <w:docPartObj>
        <w:docPartGallery w:val="Page Numbers (Bottom of Page)"/>
        <w:docPartUnique/>
      </w:docPartObj>
    </w:sdtPr>
    <w:sdtEndPr/>
    <w:sdtContent>
      <w:p w14:paraId="02B7B5CE" w14:textId="0AF48383" w:rsidR="00430794" w:rsidRDefault="00430794">
        <w:pPr>
          <w:pStyle w:val="Pta"/>
          <w:jc w:val="center"/>
        </w:pPr>
        <w:r>
          <w:fldChar w:fldCharType="begin"/>
        </w:r>
        <w:r>
          <w:instrText>PAGE   \* MERGEFORMAT</w:instrText>
        </w:r>
        <w:r>
          <w:fldChar w:fldCharType="separate"/>
        </w:r>
        <w:r w:rsidR="00AE1415">
          <w:rPr>
            <w:noProof/>
          </w:rPr>
          <w:t>2</w:t>
        </w:r>
        <w:r>
          <w:fldChar w:fldCharType="end"/>
        </w:r>
      </w:p>
    </w:sdtContent>
  </w:sdt>
  <w:p w14:paraId="5CC65D5A" w14:textId="77777777" w:rsidR="00430794" w:rsidRDefault="00430794">
    <w:pPr>
      <w:pStyle w:val="Pta"/>
    </w:pPr>
  </w:p>
  <w:p w14:paraId="65413356" w14:textId="77777777" w:rsidR="0093084E" w:rsidRDefault="0093084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84CE2" w14:textId="77777777" w:rsidR="005C55EA" w:rsidRDefault="005C55EA" w:rsidP="00BF2212">
      <w:r>
        <w:separator/>
      </w:r>
    </w:p>
  </w:footnote>
  <w:footnote w:type="continuationSeparator" w:id="0">
    <w:p w14:paraId="647227DE" w14:textId="77777777" w:rsidR="005C55EA" w:rsidRDefault="005C55EA" w:rsidP="00BF2212">
      <w:r>
        <w:continuationSeparator/>
      </w:r>
    </w:p>
  </w:footnote>
  <w:footnote w:type="continuationNotice" w:id="1">
    <w:p w14:paraId="111EEDD1" w14:textId="77777777" w:rsidR="005C55EA" w:rsidRDefault="005C55E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64"/>
    <w:multiLevelType w:val="hybridMultilevel"/>
    <w:tmpl w:val="3FA62AC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45F5C96"/>
    <w:multiLevelType w:val="hybridMultilevel"/>
    <w:tmpl w:val="49F0FF7C"/>
    <w:lvl w:ilvl="0" w:tplc="5C8E2DE2">
      <w:start w:val="1"/>
      <w:numFmt w:val="decimal"/>
      <w:lvlText w:val="%1."/>
      <w:lvlJc w:val="left"/>
      <w:pPr>
        <w:ind w:left="1020" w:hanging="360"/>
      </w:pPr>
      <w:rPr>
        <w:rFonts w:hint="default"/>
        <w:sz w:val="24"/>
      </w:rPr>
    </w:lvl>
    <w:lvl w:ilvl="1" w:tplc="041B0019" w:tentative="1">
      <w:start w:val="1"/>
      <w:numFmt w:val="lowerLetter"/>
      <w:lvlText w:val="%2."/>
      <w:lvlJc w:val="left"/>
      <w:pPr>
        <w:ind w:left="1770" w:hanging="360"/>
      </w:pPr>
    </w:lvl>
    <w:lvl w:ilvl="2" w:tplc="041B001B" w:tentative="1">
      <w:start w:val="1"/>
      <w:numFmt w:val="lowerRoman"/>
      <w:lvlText w:val="%3."/>
      <w:lvlJc w:val="right"/>
      <w:pPr>
        <w:ind w:left="2490" w:hanging="180"/>
      </w:pPr>
    </w:lvl>
    <w:lvl w:ilvl="3" w:tplc="041B000F" w:tentative="1">
      <w:start w:val="1"/>
      <w:numFmt w:val="decimal"/>
      <w:lvlText w:val="%4."/>
      <w:lvlJc w:val="left"/>
      <w:pPr>
        <w:ind w:left="3210" w:hanging="360"/>
      </w:pPr>
    </w:lvl>
    <w:lvl w:ilvl="4" w:tplc="041B0019" w:tentative="1">
      <w:start w:val="1"/>
      <w:numFmt w:val="lowerLetter"/>
      <w:lvlText w:val="%5."/>
      <w:lvlJc w:val="left"/>
      <w:pPr>
        <w:ind w:left="3930" w:hanging="360"/>
      </w:pPr>
    </w:lvl>
    <w:lvl w:ilvl="5" w:tplc="041B001B" w:tentative="1">
      <w:start w:val="1"/>
      <w:numFmt w:val="lowerRoman"/>
      <w:lvlText w:val="%6."/>
      <w:lvlJc w:val="right"/>
      <w:pPr>
        <w:ind w:left="4650" w:hanging="180"/>
      </w:pPr>
    </w:lvl>
    <w:lvl w:ilvl="6" w:tplc="041B000F" w:tentative="1">
      <w:start w:val="1"/>
      <w:numFmt w:val="decimal"/>
      <w:lvlText w:val="%7."/>
      <w:lvlJc w:val="left"/>
      <w:pPr>
        <w:ind w:left="5370" w:hanging="360"/>
      </w:pPr>
    </w:lvl>
    <w:lvl w:ilvl="7" w:tplc="041B0019" w:tentative="1">
      <w:start w:val="1"/>
      <w:numFmt w:val="lowerLetter"/>
      <w:lvlText w:val="%8."/>
      <w:lvlJc w:val="left"/>
      <w:pPr>
        <w:ind w:left="6090" w:hanging="360"/>
      </w:pPr>
    </w:lvl>
    <w:lvl w:ilvl="8" w:tplc="041B001B" w:tentative="1">
      <w:start w:val="1"/>
      <w:numFmt w:val="lowerRoman"/>
      <w:lvlText w:val="%9."/>
      <w:lvlJc w:val="right"/>
      <w:pPr>
        <w:ind w:left="6810" w:hanging="180"/>
      </w:pPr>
    </w:lvl>
  </w:abstractNum>
  <w:abstractNum w:abstractNumId="2" w15:restartNumberingAfterBreak="0">
    <w:nsid w:val="04B71455"/>
    <w:multiLevelType w:val="hybridMultilevel"/>
    <w:tmpl w:val="4588DF0C"/>
    <w:lvl w:ilvl="0" w:tplc="B4220B10">
      <w:start w:val="1"/>
      <w:numFmt w:val="decimal"/>
      <w:lvlText w:val="%1."/>
      <w:lvlJc w:val="left"/>
      <w:pPr>
        <w:ind w:left="1020" w:hanging="360"/>
      </w:pPr>
      <w:rPr>
        <w:rFonts w:hint="default"/>
      </w:rPr>
    </w:lvl>
    <w:lvl w:ilvl="1" w:tplc="041B0019" w:tentative="1">
      <w:start w:val="1"/>
      <w:numFmt w:val="lowerLetter"/>
      <w:lvlText w:val="%2."/>
      <w:lvlJc w:val="left"/>
      <w:pPr>
        <w:ind w:left="1770" w:hanging="360"/>
      </w:pPr>
    </w:lvl>
    <w:lvl w:ilvl="2" w:tplc="041B001B" w:tentative="1">
      <w:start w:val="1"/>
      <w:numFmt w:val="lowerRoman"/>
      <w:lvlText w:val="%3."/>
      <w:lvlJc w:val="right"/>
      <w:pPr>
        <w:ind w:left="2490" w:hanging="180"/>
      </w:pPr>
    </w:lvl>
    <w:lvl w:ilvl="3" w:tplc="041B000F" w:tentative="1">
      <w:start w:val="1"/>
      <w:numFmt w:val="decimal"/>
      <w:lvlText w:val="%4."/>
      <w:lvlJc w:val="left"/>
      <w:pPr>
        <w:ind w:left="3210" w:hanging="360"/>
      </w:pPr>
    </w:lvl>
    <w:lvl w:ilvl="4" w:tplc="041B0019" w:tentative="1">
      <w:start w:val="1"/>
      <w:numFmt w:val="lowerLetter"/>
      <w:lvlText w:val="%5."/>
      <w:lvlJc w:val="left"/>
      <w:pPr>
        <w:ind w:left="3930" w:hanging="360"/>
      </w:pPr>
    </w:lvl>
    <w:lvl w:ilvl="5" w:tplc="041B001B" w:tentative="1">
      <w:start w:val="1"/>
      <w:numFmt w:val="lowerRoman"/>
      <w:lvlText w:val="%6."/>
      <w:lvlJc w:val="right"/>
      <w:pPr>
        <w:ind w:left="4650" w:hanging="180"/>
      </w:pPr>
    </w:lvl>
    <w:lvl w:ilvl="6" w:tplc="041B000F" w:tentative="1">
      <w:start w:val="1"/>
      <w:numFmt w:val="decimal"/>
      <w:lvlText w:val="%7."/>
      <w:lvlJc w:val="left"/>
      <w:pPr>
        <w:ind w:left="5370" w:hanging="360"/>
      </w:pPr>
    </w:lvl>
    <w:lvl w:ilvl="7" w:tplc="041B0019" w:tentative="1">
      <w:start w:val="1"/>
      <w:numFmt w:val="lowerLetter"/>
      <w:lvlText w:val="%8."/>
      <w:lvlJc w:val="left"/>
      <w:pPr>
        <w:ind w:left="6090" w:hanging="360"/>
      </w:pPr>
    </w:lvl>
    <w:lvl w:ilvl="8" w:tplc="041B001B" w:tentative="1">
      <w:start w:val="1"/>
      <w:numFmt w:val="lowerRoman"/>
      <w:lvlText w:val="%9."/>
      <w:lvlJc w:val="right"/>
      <w:pPr>
        <w:ind w:left="6810" w:hanging="180"/>
      </w:pPr>
    </w:lvl>
  </w:abstractNum>
  <w:abstractNum w:abstractNumId="3" w15:restartNumberingAfterBreak="0">
    <w:nsid w:val="079F01D2"/>
    <w:multiLevelType w:val="hybridMultilevel"/>
    <w:tmpl w:val="C0ECA6F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9D23B4"/>
    <w:multiLevelType w:val="hybridMultilevel"/>
    <w:tmpl w:val="2A66F1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9F37305"/>
    <w:multiLevelType w:val="hybridMultilevel"/>
    <w:tmpl w:val="A58A20BA"/>
    <w:lvl w:ilvl="0" w:tplc="041B0017">
      <w:start w:val="1"/>
      <w:numFmt w:val="lowerLetter"/>
      <w:lvlText w:val="%1)"/>
      <w:lvlJc w:val="left"/>
      <w:pPr>
        <w:ind w:left="1120" w:hanging="360"/>
      </w:pPr>
    </w:lvl>
    <w:lvl w:ilvl="1" w:tplc="041B0017">
      <w:start w:val="1"/>
      <w:numFmt w:val="lowerLetter"/>
      <w:lvlText w:val="%2)"/>
      <w:lvlJc w:val="left"/>
      <w:pPr>
        <w:ind w:left="1840" w:hanging="360"/>
      </w:pPr>
    </w:lvl>
    <w:lvl w:ilvl="2" w:tplc="4E88405A">
      <w:start w:val="1"/>
      <w:numFmt w:val="decimal"/>
      <w:lvlText w:val="%3."/>
      <w:lvlJc w:val="left"/>
      <w:pPr>
        <w:ind w:left="2740" w:hanging="360"/>
      </w:pPr>
      <w:rPr>
        <w:rFonts w:hint="default"/>
      </w:rPr>
    </w:lvl>
    <w:lvl w:ilvl="3" w:tplc="041B000F" w:tentative="1">
      <w:start w:val="1"/>
      <w:numFmt w:val="decimal"/>
      <w:lvlText w:val="%4."/>
      <w:lvlJc w:val="left"/>
      <w:pPr>
        <w:ind w:left="3280" w:hanging="360"/>
      </w:pPr>
    </w:lvl>
    <w:lvl w:ilvl="4" w:tplc="041B0019" w:tentative="1">
      <w:start w:val="1"/>
      <w:numFmt w:val="lowerLetter"/>
      <w:lvlText w:val="%5."/>
      <w:lvlJc w:val="left"/>
      <w:pPr>
        <w:ind w:left="4000" w:hanging="360"/>
      </w:pPr>
    </w:lvl>
    <w:lvl w:ilvl="5" w:tplc="041B001B" w:tentative="1">
      <w:start w:val="1"/>
      <w:numFmt w:val="lowerRoman"/>
      <w:lvlText w:val="%6."/>
      <w:lvlJc w:val="right"/>
      <w:pPr>
        <w:ind w:left="4720" w:hanging="180"/>
      </w:pPr>
    </w:lvl>
    <w:lvl w:ilvl="6" w:tplc="041B000F" w:tentative="1">
      <w:start w:val="1"/>
      <w:numFmt w:val="decimal"/>
      <w:lvlText w:val="%7."/>
      <w:lvlJc w:val="left"/>
      <w:pPr>
        <w:ind w:left="5440" w:hanging="360"/>
      </w:pPr>
    </w:lvl>
    <w:lvl w:ilvl="7" w:tplc="041B0019" w:tentative="1">
      <w:start w:val="1"/>
      <w:numFmt w:val="lowerLetter"/>
      <w:lvlText w:val="%8."/>
      <w:lvlJc w:val="left"/>
      <w:pPr>
        <w:ind w:left="6160" w:hanging="360"/>
      </w:pPr>
    </w:lvl>
    <w:lvl w:ilvl="8" w:tplc="041B001B" w:tentative="1">
      <w:start w:val="1"/>
      <w:numFmt w:val="lowerRoman"/>
      <w:lvlText w:val="%9."/>
      <w:lvlJc w:val="right"/>
      <w:pPr>
        <w:ind w:left="6880" w:hanging="180"/>
      </w:pPr>
    </w:lvl>
  </w:abstractNum>
  <w:abstractNum w:abstractNumId="6" w15:restartNumberingAfterBreak="0">
    <w:nsid w:val="0B281E29"/>
    <w:multiLevelType w:val="hybridMultilevel"/>
    <w:tmpl w:val="1CB01132"/>
    <w:lvl w:ilvl="0" w:tplc="0CFC79B0">
      <w:start w:val="1"/>
      <w:numFmt w:val="decimal"/>
      <w:lvlText w:val="%1."/>
      <w:lvlJc w:val="left"/>
      <w:rPr>
        <w:rFonts w:ascii="Times New Roman" w:eastAsia="Arial" w:hAnsi="Times New Roman" w:cs="Times New Roman"/>
      </w:rPr>
    </w:lvl>
    <w:lvl w:ilvl="1" w:tplc="16028934">
      <w:start w:val="1"/>
      <w:numFmt w:val="bullet"/>
      <w:lvlText w:val=""/>
      <w:lvlJc w:val="left"/>
    </w:lvl>
    <w:lvl w:ilvl="2" w:tplc="2C760A74">
      <w:start w:val="1"/>
      <w:numFmt w:val="bullet"/>
      <w:lvlText w:val=""/>
      <w:lvlJc w:val="left"/>
    </w:lvl>
    <w:lvl w:ilvl="3" w:tplc="6C1CDA6C">
      <w:start w:val="1"/>
      <w:numFmt w:val="bullet"/>
      <w:lvlText w:val=""/>
      <w:lvlJc w:val="left"/>
    </w:lvl>
    <w:lvl w:ilvl="4" w:tplc="F6943C5C">
      <w:start w:val="1"/>
      <w:numFmt w:val="bullet"/>
      <w:lvlText w:val=""/>
      <w:lvlJc w:val="left"/>
    </w:lvl>
    <w:lvl w:ilvl="5" w:tplc="0E9264B4">
      <w:start w:val="1"/>
      <w:numFmt w:val="bullet"/>
      <w:lvlText w:val=""/>
      <w:lvlJc w:val="left"/>
    </w:lvl>
    <w:lvl w:ilvl="6" w:tplc="C65090DA">
      <w:start w:val="1"/>
      <w:numFmt w:val="bullet"/>
      <w:lvlText w:val=""/>
      <w:lvlJc w:val="left"/>
    </w:lvl>
    <w:lvl w:ilvl="7" w:tplc="9DA656BE">
      <w:start w:val="1"/>
      <w:numFmt w:val="bullet"/>
      <w:lvlText w:val=""/>
      <w:lvlJc w:val="left"/>
    </w:lvl>
    <w:lvl w:ilvl="8" w:tplc="3CD4FE5A">
      <w:start w:val="1"/>
      <w:numFmt w:val="bullet"/>
      <w:lvlText w:val=""/>
      <w:lvlJc w:val="left"/>
    </w:lvl>
  </w:abstractNum>
  <w:abstractNum w:abstractNumId="7" w15:restartNumberingAfterBreak="0">
    <w:nsid w:val="10037C83"/>
    <w:multiLevelType w:val="hybridMultilevel"/>
    <w:tmpl w:val="E2F2005A"/>
    <w:lvl w:ilvl="0" w:tplc="C3CE2D68">
      <w:start w:val="1"/>
      <w:numFmt w:val="decimal"/>
      <w:lvlText w:val="%1."/>
      <w:lvlJc w:val="left"/>
      <w:pPr>
        <w:ind w:left="502" w:hanging="397"/>
      </w:pPr>
      <w:rPr>
        <w:rFonts w:ascii="Palatino Linotype" w:eastAsia="Palatino Linotype" w:hAnsi="Palatino Linotype" w:cs="Palatino Linotype" w:hint="default"/>
        <w:b w:val="0"/>
        <w:bCs w:val="0"/>
        <w:i w:val="0"/>
        <w:iCs w:val="0"/>
        <w:w w:val="125"/>
        <w:sz w:val="20"/>
        <w:szCs w:val="20"/>
        <w:lang w:val="sk-SK" w:eastAsia="en-US" w:bidi="ar-SA"/>
      </w:rPr>
    </w:lvl>
    <w:lvl w:ilvl="1" w:tplc="7CF8B6BC">
      <w:numFmt w:val="bullet"/>
      <w:lvlText w:val="•"/>
      <w:lvlJc w:val="left"/>
      <w:pPr>
        <w:ind w:left="1440" w:hanging="397"/>
      </w:pPr>
      <w:rPr>
        <w:rFonts w:hint="default"/>
        <w:lang w:val="sk-SK" w:eastAsia="en-US" w:bidi="ar-SA"/>
      </w:rPr>
    </w:lvl>
    <w:lvl w:ilvl="2" w:tplc="FA4820DE">
      <w:numFmt w:val="bullet"/>
      <w:lvlText w:val="•"/>
      <w:lvlJc w:val="left"/>
      <w:pPr>
        <w:ind w:left="2380" w:hanging="397"/>
      </w:pPr>
      <w:rPr>
        <w:rFonts w:hint="default"/>
        <w:lang w:val="sk-SK" w:eastAsia="en-US" w:bidi="ar-SA"/>
      </w:rPr>
    </w:lvl>
    <w:lvl w:ilvl="3" w:tplc="482089D4">
      <w:numFmt w:val="bullet"/>
      <w:lvlText w:val="•"/>
      <w:lvlJc w:val="left"/>
      <w:pPr>
        <w:ind w:left="3321" w:hanging="397"/>
      </w:pPr>
      <w:rPr>
        <w:rFonts w:hint="default"/>
        <w:lang w:val="sk-SK" w:eastAsia="en-US" w:bidi="ar-SA"/>
      </w:rPr>
    </w:lvl>
    <w:lvl w:ilvl="4" w:tplc="293A1198">
      <w:numFmt w:val="bullet"/>
      <w:lvlText w:val="•"/>
      <w:lvlJc w:val="left"/>
      <w:pPr>
        <w:ind w:left="4261" w:hanging="397"/>
      </w:pPr>
      <w:rPr>
        <w:rFonts w:hint="default"/>
        <w:lang w:val="sk-SK" w:eastAsia="en-US" w:bidi="ar-SA"/>
      </w:rPr>
    </w:lvl>
    <w:lvl w:ilvl="5" w:tplc="64A21C42">
      <w:numFmt w:val="bullet"/>
      <w:lvlText w:val="•"/>
      <w:lvlJc w:val="left"/>
      <w:pPr>
        <w:ind w:left="5202" w:hanging="397"/>
      </w:pPr>
      <w:rPr>
        <w:rFonts w:hint="default"/>
        <w:lang w:val="sk-SK" w:eastAsia="en-US" w:bidi="ar-SA"/>
      </w:rPr>
    </w:lvl>
    <w:lvl w:ilvl="6" w:tplc="99AC03C6">
      <w:numFmt w:val="bullet"/>
      <w:lvlText w:val="•"/>
      <w:lvlJc w:val="left"/>
      <w:pPr>
        <w:ind w:left="6142" w:hanging="397"/>
      </w:pPr>
      <w:rPr>
        <w:rFonts w:hint="default"/>
        <w:lang w:val="sk-SK" w:eastAsia="en-US" w:bidi="ar-SA"/>
      </w:rPr>
    </w:lvl>
    <w:lvl w:ilvl="7" w:tplc="2A741222">
      <w:numFmt w:val="bullet"/>
      <w:lvlText w:val="•"/>
      <w:lvlJc w:val="left"/>
      <w:pPr>
        <w:ind w:left="7083" w:hanging="397"/>
      </w:pPr>
      <w:rPr>
        <w:rFonts w:hint="default"/>
        <w:lang w:val="sk-SK" w:eastAsia="en-US" w:bidi="ar-SA"/>
      </w:rPr>
    </w:lvl>
    <w:lvl w:ilvl="8" w:tplc="E87EE202">
      <w:numFmt w:val="bullet"/>
      <w:lvlText w:val="•"/>
      <w:lvlJc w:val="left"/>
      <w:pPr>
        <w:ind w:left="8023" w:hanging="397"/>
      </w:pPr>
      <w:rPr>
        <w:rFonts w:hint="default"/>
        <w:lang w:val="sk-SK" w:eastAsia="en-US" w:bidi="ar-SA"/>
      </w:rPr>
    </w:lvl>
  </w:abstractNum>
  <w:abstractNum w:abstractNumId="8" w15:restartNumberingAfterBreak="0">
    <w:nsid w:val="133E585D"/>
    <w:multiLevelType w:val="hybridMultilevel"/>
    <w:tmpl w:val="9F38D35E"/>
    <w:lvl w:ilvl="0" w:tplc="D3D40554">
      <w:start w:val="1"/>
      <w:numFmt w:val="lowerLetter"/>
      <w:lvlText w:val="%1)"/>
      <w:lvlJc w:val="left"/>
      <w:pPr>
        <w:ind w:left="717" w:hanging="360"/>
      </w:pPr>
      <w:rPr>
        <w:rFonts w:hint="default"/>
        <w:sz w:val="24"/>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9" w15:restartNumberingAfterBreak="0">
    <w:nsid w:val="14AD5BBD"/>
    <w:multiLevelType w:val="hybridMultilevel"/>
    <w:tmpl w:val="6FC44B3C"/>
    <w:lvl w:ilvl="0" w:tplc="041B000F">
      <w:start w:val="1"/>
      <w:numFmt w:val="decimal"/>
      <w:lvlText w:val="%1."/>
      <w:lvlJc w:val="left"/>
      <w:pPr>
        <w:ind w:left="1050" w:hanging="360"/>
      </w:pPr>
    </w:lvl>
    <w:lvl w:ilvl="1" w:tplc="041B0019" w:tentative="1">
      <w:start w:val="1"/>
      <w:numFmt w:val="lowerLetter"/>
      <w:lvlText w:val="%2."/>
      <w:lvlJc w:val="left"/>
      <w:pPr>
        <w:ind w:left="1770" w:hanging="360"/>
      </w:pPr>
    </w:lvl>
    <w:lvl w:ilvl="2" w:tplc="041B001B" w:tentative="1">
      <w:start w:val="1"/>
      <w:numFmt w:val="lowerRoman"/>
      <w:lvlText w:val="%3."/>
      <w:lvlJc w:val="right"/>
      <w:pPr>
        <w:ind w:left="2490" w:hanging="180"/>
      </w:pPr>
    </w:lvl>
    <w:lvl w:ilvl="3" w:tplc="041B000F" w:tentative="1">
      <w:start w:val="1"/>
      <w:numFmt w:val="decimal"/>
      <w:lvlText w:val="%4."/>
      <w:lvlJc w:val="left"/>
      <w:pPr>
        <w:ind w:left="3210" w:hanging="360"/>
      </w:pPr>
    </w:lvl>
    <w:lvl w:ilvl="4" w:tplc="041B0019" w:tentative="1">
      <w:start w:val="1"/>
      <w:numFmt w:val="lowerLetter"/>
      <w:lvlText w:val="%5."/>
      <w:lvlJc w:val="left"/>
      <w:pPr>
        <w:ind w:left="3930" w:hanging="360"/>
      </w:pPr>
    </w:lvl>
    <w:lvl w:ilvl="5" w:tplc="041B001B" w:tentative="1">
      <w:start w:val="1"/>
      <w:numFmt w:val="lowerRoman"/>
      <w:lvlText w:val="%6."/>
      <w:lvlJc w:val="right"/>
      <w:pPr>
        <w:ind w:left="4650" w:hanging="180"/>
      </w:pPr>
    </w:lvl>
    <w:lvl w:ilvl="6" w:tplc="041B000F" w:tentative="1">
      <w:start w:val="1"/>
      <w:numFmt w:val="decimal"/>
      <w:lvlText w:val="%7."/>
      <w:lvlJc w:val="left"/>
      <w:pPr>
        <w:ind w:left="5370" w:hanging="360"/>
      </w:pPr>
    </w:lvl>
    <w:lvl w:ilvl="7" w:tplc="041B0019" w:tentative="1">
      <w:start w:val="1"/>
      <w:numFmt w:val="lowerLetter"/>
      <w:lvlText w:val="%8."/>
      <w:lvlJc w:val="left"/>
      <w:pPr>
        <w:ind w:left="6090" w:hanging="360"/>
      </w:pPr>
    </w:lvl>
    <w:lvl w:ilvl="8" w:tplc="041B001B" w:tentative="1">
      <w:start w:val="1"/>
      <w:numFmt w:val="lowerRoman"/>
      <w:lvlText w:val="%9."/>
      <w:lvlJc w:val="right"/>
      <w:pPr>
        <w:ind w:left="6810" w:hanging="180"/>
      </w:pPr>
    </w:lvl>
  </w:abstractNum>
  <w:abstractNum w:abstractNumId="10" w15:restartNumberingAfterBreak="0">
    <w:nsid w:val="169339EF"/>
    <w:multiLevelType w:val="hybridMultilevel"/>
    <w:tmpl w:val="A8009F8A"/>
    <w:lvl w:ilvl="0" w:tplc="0E5A19B2">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3B56B17C">
      <w:start w:val="1"/>
      <w:numFmt w:val="decimal"/>
      <w:lvlText w:val="(%2)"/>
      <w:lvlJc w:val="left"/>
      <w:pPr>
        <w:ind w:left="648" w:hanging="316"/>
      </w:pPr>
      <w:rPr>
        <w:rFonts w:ascii="Palatino Linotype" w:eastAsia="Palatino Linotype" w:hAnsi="Palatino Linotype" w:cs="Palatino Linotype" w:hint="default"/>
        <w:b w:val="0"/>
        <w:bCs w:val="0"/>
        <w:i w:val="0"/>
        <w:iCs w:val="0"/>
        <w:w w:val="104"/>
        <w:sz w:val="20"/>
        <w:szCs w:val="20"/>
        <w:lang w:val="sk-SK" w:eastAsia="en-US" w:bidi="ar-SA"/>
      </w:rPr>
    </w:lvl>
    <w:lvl w:ilvl="2" w:tplc="55D09018">
      <w:numFmt w:val="bullet"/>
      <w:lvlText w:val="•"/>
      <w:lvlJc w:val="left"/>
      <w:pPr>
        <w:ind w:left="1669" w:hanging="316"/>
      </w:pPr>
      <w:rPr>
        <w:rFonts w:hint="default"/>
        <w:lang w:val="sk-SK" w:eastAsia="en-US" w:bidi="ar-SA"/>
      </w:rPr>
    </w:lvl>
    <w:lvl w:ilvl="3" w:tplc="4C1414E4">
      <w:numFmt w:val="bullet"/>
      <w:lvlText w:val="•"/>
      <w:lvlJc w:val="left"/>
      <w:pPr>
        <w:ind w:left="2698" w:hanging="316"/>
      </w:pPr>
      <w:rPr>
        <w:rFonts w:hint="default"/>
        <w:lang w:val="sk-SK" w:eastAsia="en-US" w:bidi="ar-SA"/>
      </w:rPr>
    </w:lvl>
    <w:lvl w:ilvl="4" w:tplc="B0AAE874">
      <w:numFmt w:val="bullet"/>
      <w:lvlText w:val="•"/>
      <w:lvlJc w:val="left"/>
      <w:pPr>
        <w:ind w:left="3728" w:hanging="316"/>
      </w:pPr>
      <w:rPr>
        <w:rFonts w:hint="default"/>
        <w:lang w:val="sk-SK" w:eastAsia="en-US" w:bidi="ar-SA"/>
      </w:rPr>
    </w:lvl>
    <w:lvl w:ilvl="5" w:tplc="2FA09036">
      <w:numFmt w:val="bullet"/>
      <w:lvlText w:val="•"/>
      <w:lvlJc w:val="left"/>
      <w:pPr>
        <w:ind w:left="4757" w:hanging="316"/>
      </w:pPr>
      <w:rPr>
        <w:rFonts w:hint="default"/>
        <w:lang w:val="sk-SK" w:eastAsia="en-US" w:bidi="ar-SA"/>
      </w:rPr>
    </w:lvl>
    <w:lvl w:ilvl="6" w:tplc="00E807B6">
      <w:numFmt w:val="bullet"/>
      <w:lvlText w:val="•"/>
      <w:lvlJc w:val="left"/>
      <w:pPr>
        <w:ind w:left="5787" w:hanging="316"/>
      </w:pPr>
      <w:rPr>
        <w:rFonts w:hint="default"/>
        <w:lang w:val="sk-SK" w:eastAsia="en-US" w:bidi="ar-SA"/>
      </w:rPr>
    </w:lvl>
    <w:lvl w:ilvl="7" w:tplc="29DA0294">
      <w:numFmt w:val="bullet"/>
      <w:lvlText w:val="•"/>
      <w:lvlJc w:val="left"/>
      <w:pPr>
        <w:ind w:left="6816" w:hanging="316"/>
      </w:pPr>
      <w:rPr>
        <w:rFonts w:hint="default"/>
        <w:lang w:val="sk-SK" w:eastAsia="en-US" w:bidi="ar-SA"/>
      </w:rPr>
    </w:lvl>
    <w:lvl w:ilvl="8" w:tplc="24BA7B1A">
      <w:numFmt w:val="bullet"/>
      <w:lvlText w:val="•"/>
      <w:lvlJc w:val="left"/>
      <w:pPr>
        <w:ind w:left="7845" w:hanging="316"/>
      </w:pPr>
      <w:rPr>
        <w:rFonts w:hint="default"/>
        <w:lang w:val="sk-SK" w:eastAsia="en-US" w:bidi="ar-SA"/>
      </w:rPr>
    </w:lvl>
  </w:abstractNum>
  <w:abstractNum w:abstractNumId="11" w15:restartNumberingAfterBreak="0">
    <w:nsid w:val="1D3F3899"/>
    <w:multiLevelType w:val="hybridMultilevel"/>
    <w:tmpl w:val="04C454BA"/>
    <w:styleLink w:val="Importovantl1"/>
    <w:lvl w:ilvl="0" w:tplc="BB8C86E8">
      <w:start w:val="1"/>
      <w:numFmt w:val="decimal"/>
      <w:lvlText w:val="%1."/>
      <w:lvlJc w:val="left"/>
      <w:pPr>
        <w:ind w:left="426" w:hanging="284"/>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FA8FA84">
      <w:start w:val="1"/>
      <w:numFmt w:val="lowerLetter"/>
      <w:lvlText w:val="%2."/>
      <w:lvlJc w:val="left"/>
      <w:pPr>
        <w:ind w:left="1364" w:hanging="284"/>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BBC00F0">
      <w:start w:val="1"/>
      <w:numFmt w:val="lowerRoman"/>
      <w:lvlText w:val="%3."/>
      <w:lvlJc w:val="left"/>
      <w:pPr>
        <w:ind w:left="2084" w:hanging="224"/>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7254F4">
      <w:start w:val="1"/>
      <w:numFmt w:val="decimal"/>
      <w:lvlText w:val="%4."/>
      <w:lvlJc w:val="left"/>
      <w:pPr>
        <w:ind w:left="2804" w:hanging="284"/>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A8A93C">
      <w:start w:val="1"/>
      <w:numFmt w:val="lowerLetter"/>
      <w:lvlText w:val="%5."/>
      <w:lvlJc w:val="left"/>
      <w:pPr>
        <w:ind w:left="3524" w:hanging="284"/>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32C1570">
      <w:start w:val="1"/>
      <w:numFmt w:val="lowerRoman"/>
      <w:lvlText w:val="%6."/>
      <w:lvlJc w:val="left"/>
      <w:pPr>
        <w:ind w:left="4244" w:hanging="224"/>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E0A6708">
      <w:start w:val="1"/>
      <w:numFmt w:val="decimal"/>
      <w:lvlText w:val="%7."/>
      <w:lvlJc w:val="left"/>
      <w:pPr>
        <w:ind w:left="4964" w:hanging="284"/>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0E688FA">
      <w:start w:val="1"/>
      <w:numFmt w:val="lowerLetter"/>
      <w:lvlText w:val="%8."/>
      <w:lvlJc w:val="left"/>
      <w:pPr>
        <w:ind w:left="5684" w:hanging="284"/>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9E7750">
      <w:start w:val="1"/>
      <w:numFmt w:val="lowerRoman"/>
      <w:lvlText w:val="%9."/>
      <w:lvlJc w:val="left"/>
      <w:pPr>
        <w:ind w:left="6404" w:hanging="224"/>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2AD0FC2"/>
    <w:multiLevelType w:val="hybridMultilevel"/>
    <w:tmpl w:val="C488144A"/>
    <w:lvl w:ilvl="0" w:tplc="68B4230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15:restartNumberingAfterBreak="0">
    <w:nsid w:val="24854641"/>
    <w:multiLevelType w:val="hybridMultilevel"/>
    <w:tmpl w:val="5E1E3340"/>
    <w:lvl w:ilvl="0" w:tplc="5C8E2DE2">
      <w:start w:val="1"/>
      <w:numFmt w:val="decimal"/>
      <w:lvlText w:val="%1."/>
      <w:lvlJc w:val="left"/>
      <w:pPr>
        <w:ind w:left="690" w:hanging="360"/>
      </w:pPr>
      <w:rPr>
        <w:rFonts w:hint="default"/>
        <w:sz w:val="24"/>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4" w15:restartNumberingAfterBreak="0">
    <w:nsid w:val="25AD238A"/>
    <w:multiLevelType w:val="hybridMultilevel"/>
    <w:tmpl w:val="04C454BA"/>
    <w:numStyleLink w:val="Importovantl1"/>
  </w:abstractNum>
  <w:abstractNum w:abstractNumId="15" w15:restartNumberingAfterBreak="0">
    <w:nsid w:val="344E5FC5"/>
    <w:multiLevelType w:val="hybridMultilevel"/>
    <w:tmpl w:val="A72E1490"/>
    <w:lvl w:ilvl="0" w:tplc="22F69CDC">
      <w:start w:val="1"/>
      <w:numFmt w:val="lowerLetter"/>
      <w:lvlText w:val="%1)"/>
      <w:lvlJc w:val="left"/>
      <w:pPr>
        <w:ind w:left="284"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3E105984">
      <w:start w:val="1"/>
      <w:numFmt w:val="decimal"/>
      <w:lvlText w:val="(%2)"/>
      <w:lvlJc w:val="left"/>
      <w:pPr>
        <w:ind w:left="640" w:hanging="308"/>
      </w:pPr>
      <w:rPr>
        <w:rFonts w:ascii="Palatino Linotype" w:eastAsia="Palatino Linotype" w:hAnsi="Palatino Linotype" w:cs="Palatino Linotype" w:hint="default"/>
        <w:b w:val="0"/>
        <w:bCs w:val="0"/>
        <w:i w:val="0"/>
        <w:iCs w:val="0"/>
        <w:w w:val="104"/>
        <w:sz w:val="20"/>
        <w:szCs w:val="20"/>
        <w:lang w:val="sk-SK" w:eastAsia="en-US" w:bidi="ar-SA"/>
      </w:rPr>
    </w:lvl>
    <w:lvl w:ilvl="2" w:tplc="95904816">
      <w:numFmt w:val="bullet"/>
      <w:lvlText w:val="•"/>
      <w:lvlJc w:val="left"/>
      <w:pPr>
        <w:ind w:left="1669" w:hanging="308"/>
      </w:pPr>
      <w:rPr>
        <w:rFonts w:hint="default"/>
        <w:lang w:val="sk-SK" w:eastAsia="en-US" w:bidi="ar-SA"/>
      </w:rPr>
    </w:lvl>
    <w:lvl w:ilvl="3" w:tplc="E402BAD4">
      <w:numFmt w:val="bullet"/>
      <w:lvlText w:val="•"/>
      <w:lvlJc w:val="left"/>
      <w:pPr>
        <w:ind w:left="2698" w:hanging="308"/>
      </w:pPr>
      <w:rPr>
        <w:rFonts w:hint="default"/>
        <w:lang w:val="sk-SK" w:eastAsia="en-US" w:bidi="ar-SA"/>
      </w:rPr>
    </w:lvl>
    <w:lvl w:ilvl="4" w:tplc="D4D6D2D6">
      <w:numFmt w:val="bullet"/>
      <w:lvlText w:val="•"/>
      <w:lvlJc w:val="left"/>
      <w:pPr>
        <w:ind w:left="3728" w:hanging="308"/>
      </w:pPr>
      <w:rPr>
        <w:rFonts w:hint="default"/>
        <w:lang w:val="sk-SK" w:eastAsia="en-US" w:bidi="ar-SA"/>
      </w:rPr>
    </w:lvl>
    <w:lvl w:ilvl="5" w:tplc="D9E240FA">
      <w:numFmt w:val="bullet"/>
      <w:lvlText w:val="•"/>
      <w:lvlJc w:val="left"/>
      <w:pPr>
        <w:ind w:left="4757" w:hanging="308"/>
      </w:pPr>
      <w:rPr>
        <w:rFonts w:hint="default"/>
        <w:lang w:val="sk-SK" w:eastAsia="en-US" w:bidi="ar-SA"/>
      </w:rPr>
    </w:lvl>
    <w:lvl w:ilvl="6" w:tplc="3886DAC2">
      <w:numFmt w:val="bullet"/>
      <w:lvlText w:val="•"/>
      <w:lvlJc w:val="left"/>
      <w:pPr>
        <w:ind w:left="5787" w:hanging="308"/>
      </w:pPr>
      <w:rPr>
        <w:rFonts w:hint="default"/>
        <w:lang w:val="sk-SK" w:eastAsia="en-US" w:bidi="ar-SA"/>
      </w:rPr>
    </w:lvl>
    <w:lvl w:ilvl="7" w:tplc="E5BC0BE8">
      <w:numFmt w:val="bullet"/>
      <w:lvlText w:val="•"/>
      <w:lvlJc w:val="left"/>
      <w:pPr>
        <w:ind w:left="6816" w:hanging="308"/>
      </w:pPr>
      <w:rPr>
        <w:rFonts w:hint="default"/>
        <w:lang w:val="sk-SK" w:eastAsia="en-US" w:bidi="ar-SA"/>
      </w:rPr>
    </w:lvl>
    <w:lvl w:ilvl="8" w:tplc="181C2F2C">
      <w:numFmt w:val="bullet"/>
      <w:lvlText w:val="•"/>
      <w:lvlJc w:val="left"/>
      <w:pPr>
        <w:ind w:left="7845" w:hanging="308"/>
      </w:pPr>
      <w:rPr>
        <w:rFonts w:hint="default"/>
        <w:lang w:val="sk-SK" w:eastAsia="en-US" w:bidi="ar-SA"/>
      </w:rPr>
    </w:lvl>
  </w:abstractNum>
  <w:abstractNum w:abstractNumId="16" w15:restartNumberingAfterBreak="0">
    <w:nsid w:val="356639AE"/>
    <w:multiLevelType w:val="hybridMultilevel"/>
    <w:tmpl w:val="98941546"/>
    <w:lvl w:ilvl="0" w:tplc="E8B867AC">
      <w:start w:val="1"/>
      <w:numFmt w:val="lowerLetter"/>
      <w:lvlText w:val="%1)"/>
      <w:lvlJc w:val="left"/>
      <w:pPr>
        <w:ind w:left="340"/>
      </w:pPr>
      <w:rPr>
        <w:rFonts w:ascii="Times New Roman" w:eastAsia="Calibri" w:hAnsi="Times New Roman" w:cs="Times New Roman" w:hint="default"/>
        <w:b w:val="0"/>
        <w:i w:val="0"/>
        <w:strike w:val="0"/>
        <w:dstrike w:val="0"/>
        <w:color w:val="000000"/>
        <w:sz w:val="24"/>
        <w:szCs w:val="20"/>
        <w:u w:val="none" w:color="000000"/>
        <w:bdr w:val="none" w:sz="0" w:space="0" w:color="auto"/>
        <w:shd w:val="clear" w:color="auto" w:fill="auto"/>
        <w:vertAlign w:val="baseline"/>
      </w:rPr>
    </w:lvl>
    <w:lvl w:ilvl="1" w:tplc="5E8C93F8">
      <w:start w:val="1"/>
      <w:numFmt w:val="decimal"/>
      <w:lvlText w:val="%2."/>
      <w:lvlJc w:val="left"/>
      <w:pPr>
        <w:ind w:left="624"/>
      </w:pPr>
      <w:rPr>
        <w:rFonts w:ascii="Times New Roman" w:eastAsia="Calibri" w:hAnsi="Times New Roman" w:cs="Times New Roman" w:hint="default"/>
        <w:b w:val="0"/>
        <w:i w:val="0"/>
        <w:strike w:val="0"/>
        <w:dstrike w:val="0"/>
        <w:color w:val="000000"/>
        <w:sz w:val="24"/>
        <w:szCs w:val="20"/>
        <w:u w:val="none" w:color="000000"/>
        <w:bdr w:val="none" w:sz="0" w:space="0" w:color="auto"/>
        <w:shd w:val="clear" w:color="auto" w:fill="auto"/>
        <w:vertAlign w:val="baseline"/>
      </w:rPr>
    </w:lvl>
    <w:lvl w:ilvl="2" w:tplc="1E9838DC">
      <w:start w:val="1"/>
      <w:numFmt w:val="lowerRoman"/>
      <w:lvlText w:val="%3"/>
      <w:lvlJc w:val="left"/>
      <w:pPr>
        <w:ind w:left="1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E729942">
      <w:start w:val="1"/>
      <w:numFmt w:val="decimal"/>
      <w:lvlText w:val="%4"/>
      <w:lvlJc w:val="left"/>
      <w:pPr>
        <w:ind w:left="2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0FAE1DE">
      <w:start w:val="1"/>
      <w:numFmt w:val="lowerLetter"/>
      <w:lvlText w:val="%5"/>
      <w:lvlJc w:val="left"/>
      <w:pPr>
        <w:ind w:left="28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93A9934">
      <w:start w:val="1"/>
      <w:numFmt w:val="lowerRoman"/>
      <w:lvlText w:val="%6"/>
      <w:lvlJc w:val="left"/>
      <w:pPr>
        <w:ind w:left="35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CE4EBA6">
      <w:start w:val="1"/>
      <w:numFmt w:val="decimal"/>
      <w:lvlText w:val="%7"/>
      <w:lvlJc w:val="left"/>
      <w:pPr>
        <w:ind w:left="4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CBC573C">
      <w:start w:val="1"/>
      <w:numFmt w:val="lowerLetter"/>
      <w:lvlText w:val="%8"/>
      <w:lvlJc w:val="left"/>
      <w:pPr>
        <w:ind w:left="50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08A9894">
      <w:start w:val="1"/>
      <w:numFmt w:val="lowerRoman"/>
      <w:lvlText w:val="%9"/>
      <w:lvlJc w:val="left"/>
      <w:pPr>
        <w:ind w:left="5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5703A4B"/>
    <w:multiLevelType w:val="hybridMultilevel"/>
    <w:tmpl w:val="752EF41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9F10057"/>
    <w:multiLevelType w:val="hybridMultilevel"/>
    <w:tmpl w:val="58FAE13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BA86877"/>
    <w:multiLevelType w:val="hybridMultilevel"/>
    <w:tmpl w:val="EB1AE012"/>
    <w:lvl w:ilvl="0" w:tplc="5C8E2DE2">
      <w:start w:val="1"/>
      <w:numFmt w:val="decimal"/>
      <w:lvlText w:val="%1."/>
      <w:lvlJc w:val="left"/>
      <w:pPr>
        <w:ind w:left="1047" w:hanging="360"/>
      </w:pPr>
      <w:rPr>
        <w:rFonts w:hint="default"/>
        <w:sz w:val="24"/>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0" w15:restartNumberingAfterBreak="0">
    <w:nsid w:val="3CDB68D6"/>
    <w:multiLevelType w:val="hybridMultilevel"/>
    <w:tmpl w:val="71867DB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E6A3AD4"/>
    <w:multiLevelType w:val="hybridMultilevel"/>
    <w:tmpl w:val="2FE25B10"/>
    <w:lvl w:ilvl="0" w:tplc="4E88405A">
      <w:start w:val="1"/>
      <w:numFmt w:val="decimal"/>
      <w:lvlText w:val="%1."/>
      <w:lvlJc w:val="left"/>
      <w:pPr>
        <w:ind w:left="27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FEC72B1"/>
    <w:multiLevelType w:val="hybridMultilevel"/>
    <w:tmpl w:val="1CB01132"/>
    <w:lvl w:ilvl="0" w:tplc="0CFC79B0">
      <w:start w:val="1"/>
      <w:numFmt w:val="decimal"/>
      <w:lvlText w:val="%1."/>
      <w:lvlJc w:val="left"/>
      <w:rPr>
        <w:rFonts w:ascii="Times New Roman" w:eastAsia="Arial" w:hAnsi="Times New Roman" w:cs="Times New Roman"/>
      </w:rPr>
    </w:lvl>
    <w:lvl w:ilvl="1" w:tplc="16028934">
      <w:start w:val="1"/>
      <w:numFmt w:val="bullet"/>
      <w:lvlText w:val=""/>
      <w:lvlJc w:val="left"/>
    </w:lvl>
    <w:lvl w:ilvl="2" w:tplc="2C760A74">
      <w:start w:val="1"/>
      <w:numFmt w:val="bullet"/>
      <w:lvlText w:val=""/>
      <w:lvlJc w:val="left"/>
    </w:lvl>
    <w:lvl w:ilvl="3" w:tplc="6C1CDA6C">
      <w:start w:val="1"/>
      <w:numFmt w:val="bullet"/>
      <w:lvlText w:val=""/>
      <w:lvlJc w:val="left"/>
    </w:lvl>
    <w:lvl w:ilvl="4" w:tplc="F6943C5C">
      <w:start w:val="1"/>
      <w:numFmt w:val="bullet"/>
      <w:lvlText w:val=""/>
      <w:lvlJc w:val="left"/>
    </w:lvl>
    <w:lvl w:ilvl="5" w:tplc="0E9264B4">
      <w:start w:val="1"/>
      <w:numFmt w:val="bullet"/>
      <w:lvlText w:val=""/>
      <w:lvlJc w:val="left"/>
    </w:lvl>
    <w:lvl w:ilvl="6" w:tplc="C65090DA">
      <w:start w:val="1"/>
      <w:numFmt w:val="bullet"/>
      <w:lvlText w:val=""/>
      <w:lvlJc w:val="left"/>
    </w:lvl>
    <w:lvl w:ilvl="7" w:tplc="9DA656BE">
      <w:start w:val="1"/>
      <w:numFmt w:val="bullet"/>
      <w:lvlText w:val=""/>
      <w:lvlJc w:val="left"/>
    </w:lvl>
    <w:lvl w:ilvl="8" w:tplc="3CD4FE5A">
      <w:start w:val="1"/>
      <w:numFmt w:val="bullet"/>
      <w:lvlText w:val=""/>
      <w:lvlJc w:val="left"/>
    </w:lvl>
  </w:abstractNum>
  <w:abstractNum w:abstractNumId="23" w15:restartNumberingAfterBreak="0">
    <w:nsid w:val="429C16BC"/>
    <w:multiLevelType w:val="hybridMultilevel"/>
    <w:tmpl w:val="7BD2BAFE"/>
    <w:lvl w:ilvl="0" w:tplc="D7928CB6">
      <w:start w:val="1"/>
      <w:numFmt w:val="decimal"/>
      <w:lvlText w:val="(%1)"/>
      <w:lvlJc w:val="left"/>
      <w:pPr>
        <w:ind w:left="36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B9A18E5"/>
    <w:multiLevelType w:val="hybridMultilevel"/>
    <w:tmpl w:val="26F324BA"/>
    <w:lvl w:ilvl="0" w:tplc="622E16F2">
      <w:start w:val="1"/>
      <w:numFmt w:val="decimal"/>
      <w:lvlText w:val="%1."/>
      <w:lvlJc w:val="left"/>
    </w:lvl>
    <w:lvl w:ilvl="1" w:tplc="B9BCD368">
      <w:start w:val="1"/>
      <w:numFmt w:val="bullet"/>
      <w:lvlText w:val=""/>
      <w:lvlJc w:val="left"/>
    </w:lvl>
    <w:lvl w:ilvl="2" w:tplc="CE32C8AE">
      <w:start w:val="1"/>
      <w:numFmt w:val="bullet"/>
      <w:lvlText w:val=""/>
      <w:lvlJc w:val="left"/>
    </w:lvl>
    <w:lvl w:ilvl="3" w:tplc="6656911C">
      <w:start w:val="1"/>
      <w:numFmt w:val="bullet"/>
      <w:lvlText w:val=""/>
      <w:lvlJc w:val="left"/>
    </w:lvl>
    <w:lvl w:ilvl="4" w:tplc="65CEE4BE">
      <w:start w:val="1"/>
      <w:numFmt w:val="bullet"/>
      <w:lvlText w:val=""/>
      <w:lvlJc w:val="left"/>
    </w:lvl>
    <w:lvl w:ilvl="5" w:tplc="FEA464D0">
      <w:start w:val="1"/>
      <w:numFmt w:val="bullet"/>
      <w:lvlText w:val=""/>
      <w:lvlJc w:val="left"/>
    </w:lvl>
    <w:lvl w:ilvl="6" w:tplc="EC483FB4">
      <w:start w:val="1"/>
      <w:numFmt w:val="bullet"/>
      <w:lvlText w:val=""/>
      <w:lvlJc w:val="left"/>
    </w:lvl>
    <w:lvl w:ilvl="7" w:tplc="704810B8">
      <w:start w:val="1"/>
      <w:numFmt w:val="bullet"/>
      <w:lvlText w:val=""/>
      <w:lvlJc w:val="left"/>
    </w:lvl>
    <w:lvl w:ilvl="8" w:tplc="B54239F4">
      <w:start w:val="1"/>
      <w:numFmt w:val="bullet"/>
      <w:lvlText w:val=""/>
      <w:lvlJc w:val="left"/>
    </w:lvl>
  </w:abstractNum>
  <w:abstractNum w:abstractNumId="25" w15:restartNumberingAfterBreak="0">
    <w:nsid w:val="4BFF4D7A"/>
    <w:multiLevelType w:val="hybridMultilevel"/>
    <w:tmpl w:val="0702464E"/>
    <w:lvl w:ilvl="0" w:tplc="7A20A9F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CDA0AC2"/>
    <w:multiLevelType w:val="hybridMultilevel"/>
    <w:tmpl w:val="745671E2"/>
    <w:lvl w:ilvl="0" w:tplc="71C6291C">
      <w:start w:val="1"/>
      <w:numFmt w:val="lowerLetter"/>
      <w:lvlText w:val="%1)"/>
      <w:lvlJc w:val="left"/>
      <w:pPr>
        <w:ind w:left="717" w:hanging="360"/>
      </w:pPr>
    </w:lvl>
    <w:lvl w:ilvl="1" w:tplc="041B0019">
      <w:start w:val="1"/>
      <w:numFmt w:val="lowerLetter"/>
      <w:lvlText w:val="%2."/>
      <w:lvlJc w:val="left"/>
      <w:pPr>
        <w:ind w:left="1437" w:hanging="360"/>
      </w:pPr>
    </w:lvl>
    <w:lvl w:ilvl="2" w:tplc="041B001B">
      <w:start w:val="1"/>
      <w:numFmt w:val="lowerRoman"/>
      <w:lvlText w:val="%3."/>
      <w:lvlJc w:val="right"/>
      <w:pPr>
        <w:ind w:left="2157" w:hanging="180"/>
      </w:pPr>
    </w:lvl>
    <w:lvl w:ilvl="3" w:tplc="041B000F">
      <w:start w:val="1"/>
      <w:numFmt w:val="decimal"/>
      <w:lvlText w:val="%4."/>
      <w:lvlJc w:val="left"/>
      <w:pPr>
        <w:ind w:left="2877" w:hanging="360"/>
      </w:pPr>
    </w:lvl>
    <w:lvl w:ilvl="4" w:tplc="041B0019">
      <w:start w:val="1"/>
      <w:numFmt w:val="lowerLetter"/>
      <w:lvlText w:val="%5."/>
      <w:lvlJc w:val="left"/>
      <w:pPr>
        <w:ind w:left="3597" w:hanging="360"/>
      </w:pPr>
    </w:lvl>
    <w:lvl w:ilvl="5" w:tplc="041B001B">
      <w:start w:val="1"/>
      <w:numFmt w:val="lowerRoman"/>
      <w:lvlText w:val="%6."/>
      <w:lvlJc w:val="right"/>
      <w:pPr>
        <w:ind w:left="4317" w:hanging="180"/>
      </w:pPr>
    </w:lvl>
    <w:lvl w:ilvl="6" w:tplc="041B000F">
      <w:start w:val="1"/>
      <w:numFmt w:val="decimal"/>
      <w:lvlText w:val="%7."/>
      <w:lvlJc w:val="left"/>
      <w:pPr>
        <w:ind w:left="5037" w:hanging="360"/>
      </w:pPr>
    </w:lvl>
    <w:lvl w:ilvl="7" w:tplc="041B0019">
      <w:start w:val="1"/>
      <w:numFmt w:val="lowerLetter"/>
      <w:lvlText w:val="%8."/>
      <w:lvlJc w:val="left"/>
      <w:pPr>
        <w:ind w:left="5757" w:hanging="360"/>
      </w:pPr>
    </w:lvl>
    <w:lvl w:ilvl="8" w:tplc="041B001B">
      <w:start w:val="1"/>
      <w:numFmt w:val="lowerRoman"/>
      <w:lvlText w:val="%9."/>
      <w:lvlJc w:val="right"/>
      <w:pPr>
        <w:ind w:left="6477" w:hanging="180"/>
      </w:pPr>
    </w:lvl>
  </w:abstractNum>
  <w:abstractNum w:abstractNumId="27" w15:restartNumberingAfterBreak="0">
    <w:nsid w:val="4D52137A"/>
    <w:multiLevelType w:val="hybridMultilevel"/>
    <w:tmpl w:val="E83034A6"/>
    <w:lvl w:ilvl="0" w:tplc="2C981438">
      <w:start w:val="1"/>
      <w:numFmt w:val="lowerLetter"/>
      <w:lvlText w:val="%1)"/>
      <w:lvlJc w:val="left"/>
      <w:pPr>
        <w:ind w:left="283"/>
      </w:pPr>
      <w:rPr>
        <w:rFonts w:ascii="Times New Roman" w:eastAsia="Calibri" w:hAnsi="Times New Roman" w:cs="Times New Roman" w:hint="default"/>
        <w:b w:val="0"/>
        <w:i w:val="0"/>
        <w:strike w:val="0"/>
        <w:dstrike w:val="0"/>
        <w:color w:val="000000"/>
        <w:sz w:val="24"/>
        <w:szCs w:val="20"/>
        <w:u w:val="none" w:color="000000"/>
        <w:bdr w:val="none" w:sz="0" w:space="0" w:color="auto"/>
        <w:shd w:val="clear" w:color="auto" w:fill="auto"/>
        <w:vertAlign w:val="baseline"/>
      </w:rPr>
    </w:lvl>
    <w:lvl w:ilvl="1" w:tplc="E138CE5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0F0887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62CA39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2FE147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02A6F8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B8AA9E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69C970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D7C377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0131D8A"/>
    <w:multiLevelType w:val="hybridMultilevel"/>
    <w:tmpl w:val="93B88BAA"/>
    <w:lvl w:ilvl="0" w:tplc="B72EEF0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50AA5AE6"/>
    <w:multiLevelType w:val="hybridMultilevel"/>
    <w:tmpl w:val="E1C6F08A"/>
    <w:lvl w:ilvl="0" w:tplc="9ADC81E0">
      <w:start w:val="1"/>
      <w:numFmt w:val="decimal"/>
      <w:lvlText w:val="%1."/>
      <w:lvlJc w:val="left"/>
      <w:pPr>
        <w:ind w:left="388" w:hanging="284"/>
      </w:pPr>
      <w:rPr>
        <w:rFonts w:ascii="Palatino Linotype" w:eastAsia="Palatino Linotype" w:hAnsi="Palatino Linotype" w:cs="Palatino Linotype" w:hint="default"/>
        <w:b w:val="0"/>
        <w:bCs w:val="0"/>
        <w:i w:val="0"/>
        <w:iCs w:val="0"/>
        <w:w w:val="125"/>
        <w:sz w:val="20"/>
        <w:szCs w:val="20"/>
        <w:lang w:val="sk-SK" w:eastAsia="en-US" w:bidi="ar-SA"/>
      </w:rPr>
    </w:lvl>
    <w:lvl w:ilvl="1" w:tplc="B3A699E8">
      <w:numFmt w:val="bullet"/>
      <w:lvlText w:val="•"/>
      <w:lvlJc w:val="left"/>
      <w:pPr>
        <w:ind w:left="1332" w:hanging="284"/>
      </w:pPr>
      <w:rPr>
        <w:rFonts w:hint="default"/>
        <w:lang w:val="sk-SK" w:eastAsia="en-US" w:bidi="ar-SA"/>
      </w:rPr>
    </w:lvl>
    <w:lvl w:ilvl="2" w:tplc="D3B20F3A">
      <w:numFmt w:val="bullet"/>
      <w:lvlText w:val="•"/>
      <w:lvlJc w:val="left"/>
      <w:pPr>
        <w:ind w:left="2284" w:hanging="284"/>
      </w:pPr>
      <w:rPr>
        <w:rFonts w:hint="default"/>
        <w:lang w:val="sk-SK" w:eastAsia="en-US" w:bidi="ar-SA"/>
      </w:rPr>
    </w:lvl>
    <w:lvl w:ilvl="3" w:tplc="9448112C">
      <w:numFmt w:val="bullet"/>
      <w:lvlText w:val="•"/>
      <w:lvlJc w:val="left"/>
      <w:pPr>
        <w:ind w:left="3237" w:hanging="284"/>
      </w:pPr>
      <w:rPr>
        <w:rFonts w:hint="default"/>
        <w:lang w:val="sk-SK" w:eastAsia="en-US" w:bidi="ar-SA"/>
      </w:rPr>
    </w:lvl>
    <w:lvl w:ilvl="4" w:tplc="42623C88">
      <w:numFmt w:val="bullet"/>
      <w:lvlText w:val="•"/>
      <w:lvlJc w:val="left"/>
      <w:pPr>
        <w:ind w:left="4189" w:hanging="284"/>
      </w:pPr>
      <w:rPr>
        <w:rFonts w:hint="default"/>
        <w:lang w:val="sk-SK" w:eastAsia="en-US" w:bidi="ar-SA"/>
      </w:rPr>
    </w:lvl>
    <w:lvl w:ilvl="5" w:tplc="A40CF716">
      <w:numFmt w:val="bullet"/>
      <w:lvlText w:val="•"/>
      <w:lvlJc w:val="left"/>
      <w:pPr>
        <w:ind w:left="5142" w:hanging="284"/>
      </w:pPr>
      <w:rPr>
        <w:rFonts w:hint="default"/>
        <w:lang w:val="sk-SK" w:eastAsia="en-US" w:bidi="ar-SA"/>
      </w:rPr>
    </w:lvl>
    <w:lvl w:ilvl="6" w:tplc="AF8AC808">
      <w:numFmt w:val="bullet"/>
      <w:lvlText w:val="•"/>
      <w:lvlJc w:val="left"/>
      <w:pPr>
        <w:ind w:left="6094" w:hanging="284"/>
      </w:pPr>
      <w:rPr>
        <w:rFonts w:hint="default"/>
        <w:lang w:val="sk-SK" w:eastAsia="en-US" w:bidi="ar-SA"/>
      </w:rPr>
    </w:lvl>
    <w:lvl w:ilvl="7" w:tplc="5922C98E">
      <w:numFmt w:val="bullet"/>
      <w:lvlText w:val="•"/>
      <w:lvlJc w:val="left"/>
      <w:pPr>
        <w:ind w:left="7047" w:hanging="284"/>
      </w:pPr>
      <w:rPr>
        <w:rFonts w:hint="default"/>
        <w:lang w:val="sk-SK" w:eastAsia="en-US" w:bidi="ar-SA"/>
      </w:rPr>
    </w:lvl>
    <w:lvl w:ilvl="8" w:tplc="085288B0">
      <w:numFmt w:val="bullet"/>
      <w:lvlText w:val="•"/>
      <w:lvlJc w:val="left"/>
      <w:pPr>
        <w:ind w:left="7999" w:hanging="284"/>
      </w:pPr>
      <w:rPr>
        <w:rFonts w:hint="default"/>
        <w:lang w:val="sk-SK" w:eastAsia="en-US" w:bidi="ar-SA"/>
      </w:rPr>
    </w:lvl>
  </w:abstractNum>
  <w:abstractNum w:abstractNumId="30" w15:restartNumberingAfterBreak="0">
    <w:nsid w:val="53E70A92"/>
    <w:multiLevelType w:val="hybridMultilevel"/>
    <w:tmpl w:val="2A66F1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E660B8"/>
    <w:multiLevelType w:val="hybridMultilevel"/>
    <w:tmpl w:val="885CDC42"/>
    <w:lvl w:ilvl="0" w:tplc="75B06610">
      <w:start w:val="1"/>
      <w:numFmt w:val="decimal"/>
      <w:lvlText w:val="%1."/>
      <w:lvlJc w:val="left"/>
      <w:pPr>
        <w:ind w:left="502" w:hanging="397"/>
      </w:pPr>
      <w:rPr>
        <w:rFonts w:ascii="Palatino Linotype" w:eastAsia="Palatino Linotype" w:hAnsi="Palatino Linotype" w:cs="Palatino Linotype" w:hint="default"/>
        <w:b w:val="0"/>
        <w:bCs w:val="0"/>
        <w:i w:val="0"/>
        <w:iCs w:val="0"/>
        <w:w w:val="125"/>
        <w:sz w:val="20"/>
        <w:szCs w:val="20"/>
        <w:lang w:val="sk-SK" w:eastAsia="en-US" w:bidi="ar-SA"/>
      </w:rPr>
    </w:lvl>
    <w:lvl w:ilvl="1" w:tplc="DB168914">
      <w:start w:val="1"/>
      <w:numFmt w:val="lowerLetter"/>
      <w:lvlText w:val="%2)"/>
      <w:lvlJc w:val="left"/>
      <w:pPr>
        <w:ind w:left="785" w:hanging="284"/>
      </w:pPr>
      <w:rPr>
        <w:rFonts w:ascii="Palatino Linotype" w:eastAsia="Palatino Linotype" w:hAnsi="Palatino Linotype" w:cs="Palatino Linotype" w:hint="default"/>
        <w:b w:val="0"/>
        <w:bCs w:val="0"/>
        <w:i w:val="0"/>
        <w:iCs w:val="0"/>
        <w:w w:val="105"/>
        <w:sz w:val="20"/>
        <w:szCs w:val="20"/>
        <w:lang w:val="sk-SK" w:eastAsia="en-US" w:bidi="ar-SA"/>
      </w:rPr>
    </w:lvl>
    <w:lvl w:ilvl="2" w:tplc="2A405838">
      <w:numFmt w:val="bullet"/>
      <w:lvlText w:val="•"/>
      <w:lvlJc w:val="left"/>
      <w:pPr>
        <w:ind w:left="1793" w:hanging="284"/>
      </w:pPr>
      <w:rPr>
        <w:rFonts w:hint="default"/>
        <w:lang w:val="sk-SK" w:eastAsia="en-US" w:bidi="ar-SA"/>
      </w:rPr>
    </w:lvl>
    <w:lvl w:ilvl="3" w:tplc="E6B2F5CE">
      <w:numFmt w:val="bullet"/>
      <w:lvlText w:val="•"/>
      <w:lvlJc w:val="left"/>
      <w:pPr>
        <w:ind w:left="2807" w:hanging="284"/>
      </w:pPr>
      <w:rPr>
        <w:rFonts w:hint="default"/>
        <w:lang w:val="sk-SK" w:eastAsia="en-US" w:bidi="ar-SA"/>
      </w:rPr>
    </w:lvl>
    <w:lvl w:ilvl="4" w:tplc="619E71F2">
      <w:numFmt w:val="bullet"/>
      <w:lvlText w:val="•"/>
      <w:lvlJc w:val="left"/>
      <w:pPr>
        <w:ind w:left="3821" w:hanging="284"/>
      </w:pPr>
      <w:rPr>
        <w:rFonts w:hint="default"/>
        <w:lang w:val="sk-SK" w:eastAsia="en-US" w:bidi="ar-SA"/>
      </w:rPr>
    </w:lvl>
    <w:lvl w:ilvl="5" w:tplc="D8A8634E">
      <w:numFmt w:val="bullet"/>
      <w:lvlText w:val="•"/>
      <w:lvlJc w:val="left"/>
      <w:pPr>
        <w:ind w:left="4835" w:hanging="284"/>
      </w:pPr>
      <w:rPr>
        <w:rFonts w:hint="default"/>
        <w:lang w:val="sk-SK" w:eastAsia="en-US" w:bidi="ar-SA"/>
      </w:rPr>
    </w:lvl>
    <w:lvl w:ilvl="6" w:tplc="2BF4B256">
      <w:numFmt w:val="bullet"/>
      <w:lvlText w:val="•"/>
      <w:lvlJc w:val="left"/>
      <w:pPr>
        <w:ind w:left="5849" w:hanging="284"/>
      </w:pPr>
      <w:rPr>
        <w:rFonts w:hint="default"/>
        <w:lang w:val="sk-SK" w:eastAsia="en-US" w:bidi="ar-SA"/>
      </w:rPr>
    </w:lvl>
    <w:lvl w:ilvl="7" w:tplc="2DBC033C">
      <w:numFmt w:val="bullet"/>
      <w:lvlText w:val="•"/>
      <w:lvlJc w:val="left"/>
      <w:pPr>
        <w:ind w:left="6863" w:hanging="284"/>
      </w:pPr>
      <w:rPr>
        <w:rFonts w:hint="default"/>
        <w:lang w:val="sk-SK" w:eastAsia="en-US" w:bidi="ar-SA"/>
      </w:rPr>
    </w:lvl>
    <w:lvl w:ilvl="8" w:tplc="8F60BF68">
      <w:numFmt w:val="bullet"/>
      <w:lvlText w:val="•"/>
      <w:lvlJc w:val="left"/>
      <w:pPr>
        <w:ind w:left="7877" w:hanging="284"/>
      </w:pPr>
      <w:rPr>
        <w:rFonts w:hint="default"/>
        <w:lang w:val="sk-SK" w:eastAsia="en-US" w:bidi="ar-SA"/>
      </w:rPr>
    </w:lvl>
  </w:abstractNum>
  <w:abstractNum w:abstractNumId="32" w15:restartNumberingAfterBreak="0">
    <w:nsid w:val="625F24AC"/>
    <w:multiLevelType w:val="hybridMultilevel"/>
    <w:tmpl w:val="BC56D4C2"/>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A1C216D2">
      <w:start w:val="1"/>
      <w:numFmt w:val="decimal"/>
      <w:lvlText w:val="(%3)"/>
      <w:lvlJc w:val="left"/>
      <w:pPr>
        <w:ind w:left="2340" w:hanging="360"/>
      </w:pPr>
      <w:rPr>
        <w:rFonts w:hint="default"/>
      </w:rPr>
    </w:lvl>
    <w:lvl w:ilvl="3" w:tplc="2EF02C84">
      <w:start w:val="1"/>
      <w:numFmt w:val="lowerLetter"/>
      <w:lvlText w:val="%4)"/>
      <w:lvlJc w:val="left"/>
      <w:pPr>
        <w:ind w:left="2880" w:hanging="360"/>
      </w:pPr>
      <w:rPr>
        <w:rFonts w:hint="default"/>
      </w:rPr>
    </w:lvl>
    <w:lvl w:ilvl="4" w:tplc="A7E20D0C">
      <w:start w:val="1"/>
      <w:numFmt w:val="upperLetter"/>
      <w:lvlText w:val="%5)"/>
      <w:lvlJc w:val="left"/>
      <w:pPr>
        <w:ind w:left="3600" w:hanging="360"/>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56C2E94"/>
    <w:multiLevelType w:val="hybridMultilevel"/>
    <w:tmpl w:val="2718342C"/>
    <w:lvl w:ilvl="0" w:tplc="E73EF83C">
      <w:start w:val="1"/>
      <w:numFmt w:val="decimal"/>
      <w:lvlText w:val="%1."/>
      <w:lvlJc w:val="left"/>
      <w:pPr>
        <w:ind w:left="388" w:hanging="284"/>
      </w:pPr>
      <w:rPr>
        <w:rFonts w:ascii="Palatino Linotype" w:eastAsia="Palatino Linotype" w:hAnsi="Palatino Linotype" w:cs="Palatino Linotype" w:hint="default"/>
        <w:b w:val="0"/>
        <w:bCs w:val="0"/>
        <w:i w:val="0"/>
        <w:iCs w:val="0"/>
        <w:w w:val="125"/>
        <w:sz w:val="20"/>
        <w:szCs w:val="20"/>
        <w:lang w:val="sk-SK" w:eastAsia="en-US" w:bidi="ar-SA"/>
      </w:rPr>
    </w:lvl>
    <w:lvl w:ilvl="1" w:tplc="D442A10C">
      <w:numFmt w:val="bullet"/>
      <w:lvlText w:val="•"/>
      <w:lvlJc w:val="left"/>
      <w:pPr>
        <w:ind w:left="1332" w:hanging="284"/>
      </w:pPr>
      <w:rPr>
        <w:rFonts w:hint="default"/>
        <w:lang w:val="sk-SK" w:eastAsia="en-US" w:bidi="ar-SA"/>
      </w:rPr>
    </w:lvl>
    <w:lvl w:ilvl="2" w:tplc="B0EA7D4A">
      <w:numFmt w:val="bullet"/>
      <w:lvlText w:val="•"/>
      <w:lvlJc w:val="left"/>
      <w:pPr>
        <w:ind w:left="2284" w:hanging="284"/>
      </w:pPr>
      <w:rPr>
        <w:rFonts w:hint="default"/>
        <w:lang w:val="sk-SK" w:eastAsia="en-US" w:bidi="ar-SA"/>
      </w:rPr>
    </w:lvl>
    <w:lvl w:ilvl="3" w:tplc="0B0AF4AC">
      <w:numFmt w:val="bullet"/>
      <w:lvlText w:val="•"/>
      <w:lvlJc w:val="left"/>
      <w:pPr>
        <w:ind w:left="3237" w:hanging="284"/>
      </w:pPr>
      <w:rPr>
        <w:rFonts w:hint="default"/>
        <w:lang w:val="sk-SK" w:eastAsia="en-US" w:bidi="ar-SA"/>
      </w:rPr>
    </w:lvl>
    <w:lvl w:ilvl="4" w:tplc="1E481EFE">
      <w:numFmt w:val="bullet"/>
      <w:lvlText w:val="•"/>
      <w:lvlJc w:val="left"/>
      <w:pPr>
        <w:ind w:left="4189" w:hanging="284"/>
      </w:pPr>
      <w:rPr>
        <w:rFonts w:hint="default"/>
        <w:lang w:val="sk-SK" w:eastAsia="en-US" w:bidi="ar-SA"/>
      </w:rPr>
    </w:lvl>
    <w:lvl w:ilvl="5" w:tplc="7338A1F8">
      <w:numFmt w:val="bullet"/>
      <w:lvlText w:val="•"/>
      <w:lvlJc w:val="left"/>
      <w:pPr>
        <w:ind w:left="5142" w:hanging="284"/>
      </w:pPr>
      <w:rPr>
        <w:rFonts w:hint="default"/>
        <w:lang w:val="sk-SK" w:eastAsia="en-US" w:bidi="ar-SA"/>
      </w:rPr>
    </w:lvl>
    <w:lvl w:ilvl="6" w:tplc="4D425406">
      <w:numFmt w:val="bullet"/>
      <w:lvlText w:val="•"/>
      <w:lvlJc w:val="left"/>
      <w:pPr>
        <w:ind w:left="6094" w:hanging="284"/>
      </w:pPr>
      <w:rPr>
        <w:rFonts w:hint="default"/>
        <w:lang w:val="sk-SK" w:eastAsia="en-US" w:bidi="ar-SA"/>
      </w:rPr>
    </w:lvl>
    <w:lvl w:ilvl="7" w:tplc="E17CF726">
      <w:numFmt w:val="bullet"/>
      <w:lvlText w:val="•"/>
      <w:lvlJc w:val="left"/>
      <w:pPr>
        <w:ind w:left="7047" w:hanging="284"/>
      </w:pPr>
      <w:rPr>
        <w:rFonts w:hint="default"/>
        <w:lang w:val="sk-SK" w:eastAsia="en-US" w:bidi="ar-SA"/>
      </w:rPr>
    </w:lvl>
    <w:lvl w:ilvl="8" w:tplc="F60EFDD2">
      <w:numFmt w:val="bullet"/>
      <w:lvlText w:val="•"/>
      <w:lvlJc w:val="left"/>
      <w:pPr>
        <w:ind w:left="7999" w:hanging="284"/>
      </w:pPr>
      <w:rPr>
        <w:rFonts w:hint="default"/>
        <w:lang w:val="sk-SK" w:eastAsia="en-US" w:bidi="ar-SA"/>
      </w:rPr>
    </w:lvl>
  </w:abstractNum>
  <w:abstractNum w:abstractNumId="34" w15:restartNumberingAfterBreak="0">
    <w:nsid w:val="6A1E3F08"/>
    <w:multiLevelType w:val="hybridMultilevel"/>
    <w:tmpl w:val="63BA76B2"/>
    <w:lvl w:ilvl="0" w:tplc="5C8E2DE2">
      <w:start w:val="1"/>
      <w:numFmt w:val="decimal"/>
      <w:lvlText w:val="%1."/>
      <w:lvlJc w:val="left"/>
      <w:pPr>
        <w:ind w:left="786" w:hanging="360"/>
      </w:pPr>
      <w:rPr>
        <w:rFonts w:hint="default"/>
        <w:sz w:val="24"/>
      </w:rPr>
    </w:lvl>
    <w:lvl w:ilvl="1" w:tplc="C280435A">
      <w:start w:val="1"/>
      <w:numFmt w:val="lowerLetter"/>
      <w:lvlText w:val="%2)"/>
      <w:lvlJc w:val="left"/>
      <w:pPr>
        <w:ind w:left="1410" w:hanging="360"/>
      </w:pPr>
      <w:rPr>
        <w:rFonts w:hint="default"/>
        <w:sz w:val="24"/>
      </w:r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35" w15:restartNumberingAfterBreak="0">
    <w:nsid w:val="6B915BDE"/>
    <w:multiLevelType w:val="hybridMultilevel"/>
    <w:tmpl w:val="214852A4"/>
    <w:lvl w:ilvl="0" w:tplc="B4220B10">
      <w:start w:val="1"/>
      <w:numFmt w:val="decimal"/>
      <w:lvlText w:val="%1."/>
      <w:lvlJc w:val="left"/>
      <w:pPr>
        <w:ind w:left="1020" w:hanging="360"/>
      </w:pPr>
      <w:rPr>
        <w:rFonts w:hint="default"/>
      </w:rPr>
    </w:lvl>
    <w:lvl w:ilvl="1" w:tplc="041B0019" w:tentative="1">
      <w:start w:val="1"/>
      <w:numFmt w:val="lowerLetter"/>
      <w:lvlText w:val="%2."/>
      <w:lvlJc w:val="left"/>
      <w:pPr>
        <w:ind w:left="1770" w:hanging="360"/>
      </w:pPr>
    </w:lvl>
    <w:lvl w:ilvl="2" w:tplc="041B001B" w:tentative="1">
      <w:start w:val="1"/>
      <w:numFmt w:val="lowerRoman"/>
      <w:lvlText w:val="%3."/>
      <w:lvlJc w:val="right"/>
      <w:pPr>
        <w:ind w:left="2490" w:hanging="180"/>
      </w:pPr>
    </w:lvl>
    <w:lvl w:ilvl="3" w:tplc="041B000F" w:tentative="1">
      <w:start w:val="1"/>
      <w:numFmt w:val="decimal"/>
      <w:lvlText w:val="%4."/>
      <w:lvlJc w:val="left"/>
      <w:pPr>
        <w:ind w:left="3210" w:hanging="360"/>
      </w:pPr>
    </w:lvl>
    <w:lvl w:ilvl="4" w:tplc="041B0019" w:tentative="1">
      <w:start w:val="1"/>
      <w:numFmt w:val="lowerLetter"/>
      <w:lvlText w:val="%5."/>
      <w:lvlJc w:val="left"/>
      <w:pPr>
        <w:ind w:left="3930" w:hanging="360"/>
      </w:pPr>
    </w:lvl>
    <w:lvl w:ilvl="5" w:tplc="041B001B" w:tentative="1">
      <w:start w:val="1"/>
      <w:numFmt w:val="lowerRoman"/>
      <w:lvlText w:val="%6."/>
      <w:lvlJc w:val="right"/>
      <w:pPr>
        <w:ind w:left="4650" w:hanging="180"/>
      </w:pPr>
    </w:lvl>
    <w:lvl w:ilvl="6" w:tplc="041B000F" w:tentative="1">
      <w:start w:val="1"/>
      <w:numFmt w:val="decimal"/>
      <w:lvlText w:val="%7."/>
      <w:lvlJc w:val="left"/>
      <w:pPr>
        <w:ind w:left="5370" w:hanging="360"/>
      </w:pPr>
    </w:lvl>
    <w:lvl w:ilvl="7" w:tplc="041B0019" w:tentative="1">
      <w:start w:val="1"/>
      <w:numFmt w:val="lowerLetter"/>
      <w:lvlText w:val="%8."/>
      <w:lvlJc w:val="left"/>
      <w:pPr>
        <w:ind w:left="6090" w:hanging="360"/>
      </w:pPr>
    </w:lvl>
    <w:lvl w:ilvl="8" w:tplc="041B001B" w:tentative="1">
      <w:start w:val="1"/>
      <w:numFmt w:val="lowerRoman"/>
      <w:lvlText w:val="%9."/>
      <w:lvlJc w:val="right"/>
      <w:pPr>
        <w:ind w:left="6810" w:hanging="180"/>
      </w:pPr>
    </w:lvl>
  </w:abstractNum>
  <w:abstractNum w:abstractNumId="36" w15:restartNumberingAfterBreak="0">
    <w:nsid w:val="737F2E1B"/>
    <w:multiLevelType w:val="hybridMultilevel"/>
    <w:tmpl w:val="A58A20BA"/>
    <w:lvl w:ilvl="0" w:tplc="041B0017">
      <w:start w:val="1"/>
      <w:numFmt w:val="lowerLetter"/>
      <w:lvlText w:val="%1)"/>
      <w:lvlJc w:val="left"/>
      <w:pPr>
        <w:ind w:left="1120" w:hanging="360"/>
      </w:pPr>
    </w:lvl>
    <w:lvl w:ilvl="1" w:tplc="041B0017">
      <w:start w:val="1"/>
      <w:numFmt w:val="lowerLetter"/>
      <w:lvlText w:val="%2)"/>
      <w:lvlJc w:val="left"/>
      <w:pPr>
        <w:ind w:left="1840" w:hanging="360"/>
      </w:pPr>
    </w:lvl>
    <w:lvl w:ilvl="2" w:tplc="4E88405A">
      <w:start w:val="1"/>
      <w:numFmt w:val="decimal"/>
      <w:lvlText w:val="%3."/>
      <w:lvlJc w:val="left"/>
      <w:pPr>
        <w:ind w:left="2740" w:hanging="360"/>
      </w:pPr>
      <w:rPr>
        <w:rFonts w:hint="default"/>
      </w:rPr>
    </w:lvl>
    <w:lvl w:ilvl="3" w:tplc="041B000F" w:tentative="1">
      <w:start w:val="1"/>
      <w:numFmt w:val="decimal"/>
      <w:lvlText w:val="%4."/>
      <w:lvlJc w:val="left"/>
      <w:pPr>
        <w:ind w:left="3280" w:hanging="360"/>
      </w:pPr>
    </w:lvl>
    <w:lvl w:ilvl="4" w:tplc="041B0019" w:tentative="1">
      <w:start w:val="1"/>
      <w:numFmt w:val="lowerLetter"/>
      <w:lvlText w:val="%5."/>
      <w:lvlJc w:val="left"/>
      <w:pPr>
        <w:ind w:left="4000" w:hanging="360"/>
      </w:pPr>
    </w:lvl>
    <w:lvl w:ilvl="5" w:tplc="041B001B" w:tentative="1">
      <w:start w:val="1"/>
      <w:numFmt w:val="lowerRoman"/>
      <w:lvlText w:val="%6."/>
      <w:lvlJc w:val="right"/>
      <w:pPr>
        <w:ind w:left="4720" w:hanging="180"/>
      </w:pPr>
    </w:lvl>
    <w:lvl w:ilvl="6" w:tplc="041B000F" w:tentative="1">
      <w:start w:val="1"/>
      <w:numFmt w:val="decimal"/>
      <w:lvlText w:val="%7."/>
      <w:lvlJc w:val="left"/>
      <w:pPr>
        <w:ind w:left="5440" w:hanging="360"/>
      </w:pPr>
    </w:lvl>
    <w:lvl w:ilvl="7" w:tplc="041B0019" w:tentative="1">
      <w:start w:val="1"/>
      <w:numFmt w:val="lowerLetter"/>
      <w:lvlText w:val="%8."/>
      <w:lvlJc w:val="left"/>
      <w:pPr>
        <w:ind w:left="6160" w:hanging="360"/>
      </w:pPr>
    </w:lvl>
    <w:lvl w:ilvl="8" w:tplc="041B001B" w:tentative="1">
      <w:start w:val="1"/>
      <w:numFmt w:val="lowerRoman"/>
      <w:lvlText w:val="%9."/>
      <w:lvlJc w:val="right"/>
      <w:pPr>
        <w:ind w:left="6880" w:hanging="180"/>
      </w:pPr>
    </w:lvl>
  </w:abstractNum>
  <w:abstractNum w:abstractNumId="37" w15:restartNumberingAfterBreak="0">
    <w:nsid w:val="75190366"/>
    <w:multiLevelType w:val="hybridMultilevel"/>
    <w:tmpl w:val="D1589690"/>
    <w:lvl w:ilvl="0" w:tplc="EBDE2CBE">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77F5468C"/>
    <w:multiLevelType w:val="hybridMultilevel"/>
    <w:tmpl w:val="9A02BFB4"/>
    <w:lvl w:ilvl="0" w:tplc="041B0017">
      <w:start w:val="1"/>
      <w:numFmt w:val="lowerLetter"/>
      <w:lvlText w:val="%1)"/>
      <w:lvlJc w:val="left"/>
      <w:pPr>
        <w:ind w:left="1429" w:hanging="360"/>
      </w:pPr>
    </w:lvl>
    <w:lvl w:ilvl="1" w:tplc="041B0017">
      <w:start w:val="1"/>
      <w:numFmt w:val="lowerLetter"/>
      <w:lvlText w:val="%2)"/>
      <w:lvlJc w:val="left"/>
      <w:pPr>
        <w:ind w:left="2149" w:hanging="360"/>
      </w:pPr>
    </w:lvl>
    <w:lvl w:ilvl="2" w:tplc="D8E8CF90">
      <w:start w:val="1"/>
      <w:numFmt w:val="decimal"/>
      <w:lvlText w:val="%3."/>
      <w:lvlJc w:val="left"/>
      <w:pPr>
        <w:ind w:left="3049" w:hanging="360"/>
      </w:pPr>
      <w:rPr>
        <w:rFonts w:hint="default"/>
      </w:r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9" w15:restartNumberingAfterBreak="0">
    <w:nsid w:val="79754AF5"/>
    <w:multiLevelType w:val="hybridMultilevel"/>
    <w:tmpl w:val="D546625C"/>
    <w:lvl w:ilvl="0" w:tplc="B4220B10">
      <w:start w:val="1"/>
      <w:numFmt w:val="decimal"/>
      <w:lvlText w:val="%1."/>
      <w:lvlJc w:val="left"/>
      <w:pPr>
        <w:ind w:left="69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30"/>
  </w:num>
  <w:num w:numId="3">
    <w:abstractNumId w:val="28"/>
  </w:num>
  <w:num w:numId="4">
    <w:abstractNumId w:val="6"/>
  </w:num>
  <w:num w:numId="5">
    <w:abstractNumId w:val="38"/>
  </w:num>
  <w:num w:numId="6">
    <w:abstractNumId w:val="36"/>
  </w:num>
  <w:num w:numId="7">
    <w:abstractNumId w:val="24"/>
  </w:num>
  <w:num w:numId="8">
    <w:abstractNumId w:val="0"/>
  </w:num>
  <w:num w:numId="9">
    <w:abstractNumId w:val="12"/>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 w:ilvl="0" w:tplc="A5902BD4">
        <w:start w:val="1"/>
        <w:numFmt w:val="decimal"/>
        <w:lvlText w:val="%1."/>
        <w:lvlJc w:val="left"/>
        <w:pPr>
          <w:ind w:left="426" w:hanging="284"/>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tplc="DA1E3996">
        <w:start w:val="1"/>
        <w:numFmt w:val="decimal"/>
        <w:lvlText w:val=""/>
        <w:lvlJc w:val="left"/>
      </w:lvl>
    </w:lvlOverride>
    <w:lvlOverride w:ilvl="2">
      <w:startOverride w:val="1"/>
      <w:lvl w:ilvl="2" w:tplc="7ACC4B48">
        <w:start w:val="1"/>
        <w:numFmt w:val="decimal"/>
        <w:lvlText w:val=""/>
        <w:lvlJc w:val="left"/>
      </w:lvl>
    </w:lvlOverride>
    <w:lvlOverride w:ilvl="3">
      <w:startOverride w:val="1"/>
      <w:lvl w:ilvl="3" w:tplc="71B6B942">
        <w:start w:val="1"/>
        <w:numFmt w:val="decimal"/>
        <w:lvlText w:val=""/>
        <w:lvlJc w:val="left"/>
      </w:lvl>
    </w:lvlOverride>
    <w:lvlOverride w:ilvl="4">
      <w:startOverride w:val="1"/>
      <w:lvl w:ilvl="4" w:tplc="B324F5EC">
        <w:start w:val="1"/>
        <w:numFmt w:val="decimal"/>
        <w:lvlText w:val=""/>
        <w:lvlJc w:val="left"/>
      </w:lvl>
    </w:lvlOverride>
    <w:lvlOverride w:ilvl="5">
      <w:startOverride w:val="1"/>
      <w:lvl w:ilvl="5" w:tplc="EF6EE56A">
        <w:start w:val="1"/>
        <w:numFmt w:val="decimal"/>
        <w:lvlText w:val=""/>
        <w:lvlJc w:val="left"/>
      </w:lvl>
    </w:lvlOverride>
    <w:lvlOverride w:ilvl="6">
      <w:startOverride w:val="1"/>
      <w:lvl w:ilvl="6" w:tplc="C0D0934C">
        <w:start w:val="1"/>
        <w:numFmt w:val="decimal"/>
        <w:lvlText w:val=""/>
        <w:lvlJc w:val="left"/>
      </w:lvl>
    </w:lvlOverride>
    <w:lvlOverride w:ilvl="7">
      <w:startOverride w:val="1"/>
      <w:lvl w:ilvl="7" w:tplc="792E3A14">
        <w:start w:val="1"/>
        <w:numFmt w:val="decimal"/>
        <w:lvlText w:val=""/>
        <w:lvlJc w:val="left"/>
      </w:lvl>
    </w:lvlOverride>
    <w:lvlOverride w:ilvl="8">
      <w:startOverride w:val="1"/>
      <w:lvl w:ilvl="8" w:tplc="7C3EC920">
        <w:start w:val="1"/>
        <w:numFmt w:val="decimal"/>
        <w:lvlText w:val=""/>
        <w:lvlJc w:val="left"/>
      </w:lvl>
    </w:lvlOverride>
  </w:num>
  <w:num w:numId="12">
    <w:abstractNumId w:val="14"/>
    <w:lvlOverride w:ilvl="0">
      <w:lvl w:ilvl="0" w:tplc="A5902BD4">
        <w:start w:val="1"/>
        <w:numFmt w:val="decimal"/>
        <w:lvlText w:val="%1."/>
        <w:lvlJc w:val="left"/>
        <w:pPr>
          <w:ind w:left="426" w:hanging="284"/>
        </w:pPr>
        <w:rPr>
          <w:rFonts w:ascii="Times" w:eastAsia="Times" w:hAnsi="Times" w:cs="Time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tplc="DA1E3996">
        <w:start w:val="1"/>
        <w:numFmt w:val="lowerLetter"/>
        <w:lvlText w:val="%2."/>
        <w:lvlJc w:val="left"/>
        <w:pPr>
          <w:ind w:left="1364" w:hanging="360"/>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tplc="7ACC4B48">
        <w:start w:val="1"/>
        <w:numFmt w:val="lowerRoman"/>
        <w:lvlText w:val="%3."/>
        <w:lvlJc w:val="right"/>
        <w:pPr>
          <w:ind w:left="2084" w:hanging="180"/>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tplc="71B6B942">
        <w:start w:val="1"/>
        <w:numFmt w:val="decimal"/>
        <w:lvlText w:val="%4."/>
        <w:lvlJc w:val="left"/>
        <w:pPr>
          <w:ind w:left="2804" w:hanging="360"/>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tplc="B324F5EC">
        <w:start w:val="1"/>
        <w:numFmt w:val="lowerLetter"/>
        <w:lvlText w:val="%5."/>
        <w:lvlJc w:val="left"/>
        <w:pPr>
          <w:ind w:left="3524" w:hanging="360"/>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tplc="EF6EE56A">
        <w:start w:val="1"/>
        <w:numFmt w:val="lowerRoman"/>
        <w:lvlText w:val="%6."/>
        <w:lvlJc w:val="right"/>
        <w:pPr>
          <w:ind w:left="4244" w:hanging="180"/>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tplc="C0D0934C">
        <w:start w:val="1"/>
        <w:numFmt w:val="decimal"/>
        <w:lvlText w:val="%7."/>
        <w:lvlJc w:val="left"/>
        <w:pPr>
          <w:ind w:left="4964" w:hanging="360"/>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tplc="792E3A14">
        <w:start w:val="1"/>
        <w:numFmt w:val="lowerLetter"/>
        <w:lvlText w:val="%8."/>
        <w:lvlJc w:val="left"/>
        <w:pPr>
          <w:ind w:left="5684" w:hanging="360"/>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tplc="7C3EC920">
        <w:start w:val="1"/>
        <w:numFmt w:val="lowerRoman"/>
        <w:lvlText w:val="%9."/>
        <w:lvlJc w:val="right"/>
        <w:pPr>
          <w:ind w:left="6404" w:hanging="180"/>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3">
    <w:abstractNumId w:val="11"/>
  </w:num>
  <w:num w:numId="14">
    <w:abstractNumId w:val="20"/>
  </w:num>
  <w:num w:numId="15">
    <w:abstractNumId w:val="34"/>
  </w:num>
  <w:num w:numId="16">
    <w:abstractNumId w:val="9"/>
  </w:num>
  <w:num w:numId="17">
    <w:abstractNumId w:val="35"/>
  </w:num>
  <w:num w:numId="18">
    <w:abstractNumId w:val="2"/>
  </w:num>
  <w:num w:numId="19">
    <w:abstractNumId w:val="39"/>
  </w:num>
  <w:num w:numId="20">
    <w:abstractNumId w:val="1"/>
  </w:num>
  <w:num w:numId="21">
    <w:abstractNumId w:val="13"/>
  </w:num>
  <w:num w:numId="22">
    <w:abstractNumId w:val="19"/>
  </w:num>
  <w:num w:numId="23">
    <w:abstractNumId w:val="8"/>
  </w:num>
  <w:num w:numId="24">
    <w:abstractNumId w:val="26"/>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31"/>
  </w:num>
  <w:num w:numId="28">
    <w:abstractNumId w:val="29"/>
  </w:num>
  <w:num w:numId="29">
    <w:abstractNumId w:val="18"/>
  </w:num>
  <w:num w:numId="30">
    <w:abstractNumId w:val="4"/>
  </w:num>
  <w:num w:numId="31">
    <w:abstractNumId w:val="21"/>
  </w:num>
  <w:num w:numId="32">
    <w:abstractNumId w:val="36"/>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33"/>
  </w:num>
  <w:num w:numId="36">
    <w:abstractNumId w:val="7"/>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15"/>
  </w:num>
  <w:num w:numId="40">
    <w:abstractNumId w:val="27"/>
  </w:num>
  <w:num w:numId="41">
    <w:abstractNumId w:val="16"/>
  </w:num>
  <w:num w:numId="42">
    <w:abstractNumId w:val="32"/>
  </w:num>
  <w:num w:numId="43">
    <w:abstractNumId w:val="23"/>
  </w:num>
  <w:num w:numId="44">
    <w:abstractNumId w:val="37"/>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D78"/>
    <w:rsid w:val="00002A69"/>
    <w:rsid w:val="00004105"/>
    <w:rsid w:val="00004310"/>
    <w:rsid w:val="00021C69"/>
    <w:rsid w:val="00024BE1"/>
    <w:rsid w:val="0002776A"/>
    <w:rsid w:val="0003161F"/>
    <w:rsid w:val="00032760"/>
    <w:rsid w:val="00037690"/>
    <w:rsid w:val="00040FBB"/>
    <w:rsid w:val="00041ADC"/>
    <w:rsid w:val="0004224A"/>
    <w:rsid w:val="000503FF"/>
    <w:rsid w:val="00052915"/>
    <w:rsid w:val="00065EF8"/>
    <w:rsid w:val="00066501"/>
    <w:rsid w:val="00066FD4"/>
    <w:rsid w:val="00081D87"/>
    <w:rsid w:val="00091A28"/>
    <w:rsid w:val="00092D5C"/>
    <w:rsid w:val="00093E4C"/>
    <w:rsid w:val="000951B8"/>
    <w:rsid w:val="000A1ADA"/>
    <w:rsid w:val="000B2823"/>
    <w:rsid w:val="000B2E2B"/>
    <w:rsid w:val="000B55A8"/>
    <w:rsid w:val="000C2773"/>
    <w:rsid w:val="000C4854"/>
    <w:rsid w:val="000C53AB"/>
    <w:rsid w:val="000D0B10"/>
    <w:rsid w:val="000D18F6"/>
    <w:rsid w:val="000D2359"/>
    <w:rsid w:val="000E035B"/>
    <w:rsid w:val="000E25D1"/>
    <w:rsid w:val="000F7313"/>
    <w:rsid w:val="000F77EB"/>
    <w:rsid w:val="000F7A6F"/>
    <w:rsid w:val="00100D6E"/>
    <w:rsid w:val="00114975"/>
    <w:rsid w:val="001167D0"/>
    <w:rsid w:val="00120B4B"/>
    <w:rsid w:val="00136505"/>
    <w:rsid w:val="00143864"/>
    <w:rsid w:val="001463E8"/>
    <w:rsid w:val="00153B52"/>
    <w:rsid w:val="00154717"/>
    <w:rsid w:val="001572D2"/>
    <w:rsid w:val="00170EA0"/>
    <w:rsid w:val="00175594"/>
    <w:rsid w:val="00182F43"/>
    <w:rsid w:val="0018478C"/>
    <w:rsid w:val="0018613D"/>
    <w:rsid w:val="00187BD3"/>
    <w:rsid w:val="001A2899"/>
    <w:rsid w:val="001B35C1"/>
    <w:rsid w:val="001B3EEA"/>
    <w:rsid w:val="001B65E4"/>
    <w:rsid w:val="001C1482"/>
    <w:rsid w:val="001C1E2C"/>
    <w:rsid w:val="001C27CF"/>
    <w:rsid w:val="001D2523"/>
    <w:rsid w:val="001D2AD6"/>
    <w:rsid w:val="001D3659"/>
    <w:rsid w:val="001E4518"/>
    <w:rsid w:val="001F71C5"/>
    <w:rsid w:val="00204C02"/>
    <w:rsid w:val="00211C99"/>
    <w:rsid w:val="00213C94"/>
    <w:rsid w:val="00215A20"/>
    <w:rsid w:val="00232747"/>
    <w:rsid w:val="0023525C"/>
    <w:rsid w:val="0025300D"/>
    <w:rsid w:val="0025385A"/>
    <w:rsid w:val="00265C86"/>
    <w:rsid w:val="00265D78"/>
    <w:rsid w:val="00272F70"/>
    <w:rsid w:val="002835ED"/>
    <w:rsid w:val="00291A21"/>
    <w:rsid w:val="00291D77"/>
    <w:rsid w:val="00297115"/>
    <w:rsid w:val="002B31B4"/>
    <w:rsid w:val="002B4AB4"/>
    <w:rsid w:val="002B63AD"/>
    <w:rsid w:val="002C1DA8"/>
    <w:rsid w:val="002C260A"/>
    <w:rsid w:val="002D2306"/>
    <w:rsid w:val="002D646D"/>
    <w:rsid w:val="002D74B5"/>
    <w:rsid w:val="002E629A"/>
    <w:rsid w:val="003020F1"/>
    <w:rsid w:val="003026B5"/>
    <w:rsid w:val="00302E82"/>
    <w:rsid w:val="0030468E"/>
    <w:rsid w:val="00310C56"/>
    <w:rsid w:val="00310DBA"/>
    <w:rsid w:val="0031186A"/>
    <w:rsid w:val="00312516"/>
    <w:rsid w:val="0031331F"/>
    <w:rsid w:val="00313CFB"/>
    <w:rsid w:val="003151FF"/>
    <w:rsid w:val="0031634E"/>
    <w:rsid w:val="00323180"/>
    <w:rsid w:val="0032538E"/>
    <w:rsid w:val="003378BE"/>
    <w:rsid w:val="0034183C"/>
    <w:rsid w:val="003456AB"/>
    <w:rsid w:val="003601A7"/>
    <w:rsid w:val="00360578"/>
    <w:rsid w:val="00360AB1"/>
    <w:rsid w:val="003620AD"/>
    <w:rsid w:val="00365328"/>
    <w:rsid w:val="00370C3A"/>
    <w:rsid w:val="00375962"/>
    <w:rsid w:val="00381E8A"/>
    <w:rsid w:val="00390907"/>
    <w:rsid w:val="00390DF6"/>
    <w:rsid w:val="0039736E"/>
    <w:rsid w:val="00397F43"/>
    <w:rsid w:val="003A154A"/>
    <w:rsid w:val="003A5EE0"/>
    <w:rsid w:val="003C49B8"/>
    <w:rsid w:val="003D15B9"/>
    <w:rsid w:val="003D4A6A"/>
    <w:rsid w:val="003D7791"/>
    <w:rsid w:val="003E4693"/>
    <w:rsid w:val="003E760A"/>
    <w:rsid w:val="00406CDB"/>
    <w:rsid w:val="00417887"/>
    <w:rsid w:val="0042219C"/>
    <w:rsid w:val="00430794"/>
    <w:rsid w:val="004423EA"/>
    <w:rsid w:val="004607EF"/>
    <w:rsid w:val="00461533"/>
    <w:rsid w:val="00467F5B"/>
    <w:rsid w:val="0047044C"/>
    <w:rsid w:val="004705B8"/>
    <w:rsid w:val="00472B83"/>
    <w:rsid w:val="00472DD2"/>
    <w:rsid w:val="00476AD6"/>
    <w:rsid w:val="00477D15"/>
    <w:rsid w:val="00484CA3"/>
    <w:rsid w:val="004943C7"/>
    <w:rsid w:val="004A2B9A"/>
    <w:rsid w:val="004C10BC"/>
    <w:rsid w:val="004C13B0"/>
    <w:rsid w:val="004C2487"/>
    <w:rsid w:val="004C462E"/>
    <w:rsid w:val="004C60BA"/>
    <w:rsid w:val="004D290B"/>
    <w:rsid w:val="004E12C3"/>
    <w:rsid w:val="00512EC0"/>
    <w:rsid w:val="0052097E"/>
    <w:rsid w:val="00522250"/>
    <w:rsid w:val="005245C7"/>
    <w:rsid w:val="00524DA2"/>
    <w:rsid w:val="00525A4F"/>
    <w:rsid w:val="00530465"/>
    <w:rsid w:val="00530956"/>
    <w:rsid w:val="005373D3"/>
    <w:rsid w:val="00547A4A"/>
    <w:rsid w:val="00551C9D"/>
    <w:rsid w:val="00551CDB"/>
    <w:rsid w:val="00557814"/>
    <w:rsid w:val="005721D7"/>
    <w:rsid w:val="0057393E"/>
    <w:rsid w:val="005827F0"/>
    <w:rsid w:val="00583C4B"/>
    <w:rsid w:val="00583CF2"/>
    <w:rsid w:val="005857CA"/>
    <w:rsid w:val="005923AD"/>
    <w:rsid w:val="00592F02"/>
    <w:rsid w:val="00595DBA"/>
    <w:rsid w:val="005A1FDB"/>
    <w:rsid w:val="005A5ABE"/>
    <w:rsid w:val="005B2E86"/>
    <w:rsid w:val="005B30CF"/>
    <w:rsid w:val="005C55EA"/>
    <w:rsid w:val="005C6B46"/>
    <w:rsid w:val="005C6D63"/>
    <w:rsid w:val="005E0425"/>
    <w:rsid w:val="005E7C80"/>
    <w:rsid w:val="00601CCB"/>
    <w:rsid w:val="00606A43"/>
    <w:rsid w:val="00611BB3"/>
    <w:rsid w:val="00615322"/>
    <w:rsid w:val="00625782"/>
    <w:rsid w:val="00630AB4"/>
    <w:rsid w:val="00636F4C"/>
    <w:rsid w:val="0064459C"/>
    <w:rsid w:val="006447A4"/>
    <w:rsid w:val="006535B9"/>
    <w:rsid w:val="0066537C"/>
    <w:rsid w:val="00666E91"/>
    <w:rsid w:val="00673B94"/>
    <w:rsid w:val="006757C0"/>
    <w:rsid w:val="00676214"/>
    <w:rsid w:val="00676A84"/>
    <w:rsid w:val="00691110"/>
    <w:rsid w:val="0069272C"/>
    <w:rsid w:val="006A56BA"/>
    <w:rsid w:val="006A7F2C"/>
    <w:rsid w:val="006B089F"/>
    <w:rsid w:val="006B45BC"/>
    <w:rsid w:val="006B6A20"/>
    <w:rsid w:val="006B7F49"/>
    <w:rsid w:val="006C4C95"/>
    <w:rsid w:val="006C4CFF"/>
    <w:rsid w:val="006C5548"/>
    <w:rsid w:val="006D355B"/>
    <w:rsid w:val="006D390F"/>
    <w:rsid w:val="006D7C30"/>
    <w:rsid w:val="006E12B2"/>
    <w:rsid w:val="006F2B92"/>
    <w:rsid w:val="006F2C2E"/>
    <w:rsid w:val="007001D0"/>
    <w:rsid w:val="0070472F"/>
    <w:rsid w:val="00710D17"/>
    <w:rsid w:val="00710E34"/>
    <w:rsid w:val="0071588B"/>
    <w:rsid w:val="00731023"/>
    <w:rsid w:val="00745607"/>
    <w:rsid w:val="0074795F"/>
    <w:rsid w:val="00750410"/>
    <w:rsid w:val="007505BE"/>
    <w:rsid w:val="00752C40"/>
    <w:rsid w:val="007572AA"/>
    <w:rsid w:val="00761A58"/>
    <w:rsid w:val="0076260C"/>
    <w:rsid w:val="00764462"/>
    <w:rsid w:val="00766F21"/>
    <w:rsid w:val="00767683"/>
    <w:rsid w:val="00774AD0"/>
    <w:rsid w:val="0077666A"/>
    <w:rsid w:val="00776C28"/>
    <w:rsid w:val="00780207"/>
    <w:rsid w:val="0078796C"/>
    <w:rsid w:val="00790D8E"/>
    <w:rsid w:val="00793B12"/>
    <w:rsid w:val="00794228"/>
    <w:rsid w:val="007A01A6"/>
    <w:rsid w:val="007A3D89"/>
    <w:rsid w:val="007A751B"/>
    <w:rsid w:val="007B5E90"/>
    <w:rsid w:val="007C638B"/>
    <w:rsid w:val="007D3D04"/>
    <w:rsid w:val="007D4851"/>
    <w:rsid w:val="007E313C"/>
    <w:rsid w:val="007E7CF3"/>
    <w:rsid w:val="007F0009"/>
    <w:rsid w:val="007F7B29"/>
    <w:rsid w:val="00811D67"/>
    <w:rsid w:val="00821023"/>
    <w:rsid w:val="00821651"/>
    <w:rsid w:val="00822C81"/>
    <w:rsid w:val="00826380"/>
    <w:rsid w:val="00831567"/>
    <w:rsid w:val="00834602"/>
    <w:rsid w:val="008402C7"/>
    <w:rsid w:val="00846E1B"/>
    <w:rsid w:val="00847218"/>
    <w:rsid w:val="00851FA1"/>
    <w:rsid w:val="00855851"/>
    <w:rsid w:val="00862E51"/>
    <w:rsid w:val="0086456D"/>
    <w:rsid w:val="008662BE"/>
    <w:rsid w:val="00870E84"/>
    <w:rsid w:val="0087200E"/>
    <w:rsid w:val="00872412"/>
    <w:rsid w:val="00876ED2"/>
    <w:rsid w:val="008805E4"/>
    <w:rsid w:val="00883697"/>
    <w:rsid w:val="00884816"/>
    <w:rsid w:val="00885E4E"/>
    <w:rsid w:val="008968BC"/>
    <w:rsid w:val="008A1E14"/>
    <w:rsid w:val="008B1F45"/>
    <w:rsid w:val="008B54DC"/>
    <w:rsid w:val="008B5B61"/>
    <w:rsid w:val="008C3357"/>
    <w:rsid w:val="008C66AF"/>
    <w:rsid w:val="008C6B88"/>
    <w:rsid w:val="008D33B6"/>
    <w:rsid w:val="008D60A7"/>
    <w:rsid w:val="008E0ECB"/>
    <w:rsid w:val="008E3268"/>
    <w:rsid w:val="008E6DAF"/>
    <w:rsid w:val="008F7BC3"/>
    <w:rsid w:val="009036B4"/>
    <w:rsid w:val="009123E5"/>
    <w:rsid w:val="00912C17"/>
    <w:rsid w:val="00925BC7"/>
    <w:rsid w:val="0093084E"/>
    <w:rsid w:val="00944A75"/>
    <w:rsid w:val="00956284"/>
    <w:rsid w:val="00966891"/>
    <w:rsid w:val="00967143"/>
    <w:rsid w:val="00975B0A"/>
    <w:rsid w:val="00980EBC"/>
    <w:rsid w:val="0098282D"/>
    <w:rsid w:val="00991169"/>
    <w:rsid w:val="00995592"/>
    <w:rsid w:val="009966A8"/>
    <w:rsid w:val="009A138C"/>
    <w:rsid w:val="009B14C8"/>
    <w:rsid w:val="009B514A"/>
    <w:rsid w:val="009C6EB0"/>
    <w:rsid w:val="009C72A6"/>
    <w:rsid w:val="009D367F"/>
    <w:rsid w:val="009E559C"/>
    <w:rsid w:val="009E78E9"/>
    <w:rsid w:val="009F4B7F"/>
    <w:rsid w:val="00A02B78"/>
    <w:rsid w:val="00A042CB"/>
    <w:rsid w:val="00A05300"/>
    <w:rsid w:val="00A05BD5"/>
    <w:rsid w:val="00A142B5"/>
    <w:rsid w:val="00A17AA4"/>
    <w:rsid w:val="00A202B7"/>
    <w:rsid w:val="00A406AA"/>
    <w:rsid w:val="00A427C7"/>
    <w:rsid w:val="00A43A53"/>
    <w:rsid w:val="00A44272"/>
    <w:rsid w:val="00A45DA4"/>
    <w:rsid w:val="00A46062"/>
    <w:rsid w:val="00A503BB"/>
    <w:rsid w:val="00A54DD7"/>
    <w:rsid w:val="00A56FA5"/>
    <w:rsid w:val="00A5769B"/>
    <w:rsid w:val="00A72E2B"/>
    <w:rsid w:val="00A7465F"/>
    <w:rsid w:val="00A800D5"/>
    <w:rsid w:val="00A85BB9"/>
    <w:rsid w:val="00A92684"/>
    <w:rsid w:val="00AC0794"/>
    <w:rsid w:val="00AC1785"/>
    <w:rsid w:val="00AD0DA7"/>
    <w:rsid w:val="00AE1415"/>
    <w:rsid w:val="00AE3B8E"/>
    <w:rsid w:val="00AE6CE4"/>
    <w:rsid w:val="00AE6E53"/>
    <w:rsid w:val="00AE7909"/>
    <w:rsid w:val="00AE7A3C"/>
    <w:rsid w:val="00AF5425"/>
    <w:rsid w:val="00AF5D10"/>
    <w:rsid w:val="00B1790D"/>
    <w:rsid w:val="00B22455"/>
    <w:rsid w:val="00B230FC"/>
    <w:rsid w:val="00B505E6"/>
    <w:rsid w:val="00B533C7"/>
    <w:rsid w:val="00B645D8"/>
    <w:rsid w:val="00B657BB"/>
    <w:rsid w:val="00B71B00"/>
    <w:rsid w:val="00B7581F"/>
    <w:rsid w:val="00B75EBC"/>
    <w:rsid w:val="00B77875"/>
    <w:rsid w:val="00B803F0"/>
    <w:rsid w:val="00B8680E"/>
    <w:rsid w:val="00B87C9E"/>
    <w:rsid w:val="00B91597"/>
    <w:rsid w:val="00B92304"/>
    <w:rsid w:val="00B96BB7"/>
    <w:rsid w:val="00BB22FF"/>
    <w:rsid w:val="00BB2F07"/>
    <w:rsid w:val="00BB5726"/>
    <w:rsid w:val="00BC0D90"/>
    <w:rsid w:val="00BC4E95"/>
    <w:rsid w:val="00BC5C0A"/>
    <w:rsid w:val="00BD75C0"/>
    <w:rsid w:val="00BF2212"/>
    <w:rsid w:val="00BF760E"/>
    <w:rsid w:val="00C250CF"/>
    <w:rsid w:val="00C254B5"/>
    <w:rsid w:val="00C267D6"/>
    <w:rsid w:val="00C35792"/>
    <w:rsid w:val="00C37BB8"/>
    <w:rsid w:val="00C413DB"/>
    <w:rsid w:val="00C41F98"/>
    <w:rsid w:val="00C44C80"/>
    <w:rsid w:val="00C46BCD"/>
    <w:rsid w:val="00C5121D"/>
    <w:rsid w:val="00C51FAA"/>
    <w:rsid w:val="00C54D85"/>
    <w:rsid w:val="00C55BC1"/>
    <w:rsid w:val="00C64211"/>
    <w:rsid w:val="00C65E38"/>
    <w:rsid w:val="00C67E78"/>
    <w:rsid w:val="00C71852"/>
    <w:rsid w:val="00C723E6"/>
    <w:rsid w:val="00C7489A"/>
    <w:rsid w:val="00C75A28"/>
    <w:rsid w:val="00C76A5E"/>
    <w:rsid w:val="00C77A36"/>
    <w:rsid w:val="00C8048E"/>
    <w:rsid w:val="00C840EF"/>
    <w:rsid w:val="00C86786"/>
    <w:rsid w:val="00C91622"/>
    <w:rsid w:val="00C96072"/>
    <w:rsid w:val="00CA3953"/>
    <w:rsid w:val="00CB5211"/>
    <w:rsid w:val="00CC1CA8"/>
    <w:rsid w:val="00CC30F9"/>
    <w:rsid w:val="00CC3595"/>
    <w:rsid w:val="00CD14A1"/>
    <w:rsid w:val="00CD4F40"/>
    <w:rsid w:val="00CE743F"/>
    <w:rsid w:val="00CF65AE"/>
    <w:rsid w:val="00D0199C"/>
    <w:rsid w:val="00D02042"/>
    <w:rsid w:val="00D02217"/>
    <w:rsid w:val="00D05CDD"/>
    <w:rsid w:val="00D107F5"/>
    <w:rsid w:val="00D16767"/>
    <w:rsid w:val="00D202C8"/>
    <w:rsid w:val="00D21B94"/>
    <w:rsid w:val="00D24FB9"/>
    <w:rsid w:val="00D26D1A"/>
    <w:rsid w:val="00D27278"/>
    <w:rsid w:val="00D277D1"/>
    <w:rsid w:val="00D31149"/>
    <w:rsid w:val="00D41280"/>
    <w:rsid w:val="00D43A33"/>
    <w:rsid w:val="00D443E7"/>
    <w:rsid w:val="00D45916"/>
    <w:rsid w:val="00D46B64"/>
    <w:rsid w:val="00D64F5D"/>
    <w:rsid w:val="00D6524C"/>
    <w:rsid w:val="00D67511"/>
    <w:rsid w:val="00D67717"/>
    <w:rsid w:val="00D70866"/>
    <w:rsid w:val="00D76EF1"/>
    <w:rsid w:val="00D77921"/>
    <w:rsid w:val="00D8252B"/>
    <w:rsid w:val="00D92CE8"/>
    <w:rsid w:val="00D93A8E"/>
    <w:rsid w:val="00D9681C"/>
    <w:rsid w:val="00DA5425"/>
    <w:rsid w:val="00DA7FC8"/>
    <w:rsid w:val="00DB1439"/>
    <w:rsid w:val="00DB525C"/>
    <w:rsid w:val="00DC2F22"/>
    <w:rsid w:val="00DC3A56"/>
    <w:rsid w:val="00DC5D84"/>
    <w:rsid w:val="00DD2EBC"/>
    <w:rsid w:val="00DE0BAE"/>
    <w:rsid w:val="00DE147E"/>
    <w:rsid w:val="00DE2F77"/>
    <w:rsid w:val="00DF1DA6"/>
    <w:rsid w:val="00DF380A"/>
    <w:rsid w:val="00E1032C"/>
    <w:rsid w:val="00E10766"/>
    <w:rsid w:val="00E11EAA"/>
    <w:rsid w:val="00E30B33"/>
    <w:rsid w:val="00E34526"/>
    <w:rsid w:val="00E41DCF"/>
    <w:rsid w:val="00E44FC1"/>
    <w:rsid w:val="00E50DF9"/>
    <w:rsid w:val="00E57D04"/>
    <w:rsid w:val="00E70657"/>
    <w:rsid w:val="00E70BA3"/>
    <w:rsid w:val="00E72A30"/>
    <w:rsid w:val="00E840FA"/>
    <w:rsid w:val="00E86E79"/>
    <w:rsid w:val="00E877E6"/>
    <w:rsid w:val="00E9247D"/>
    <w:rsid w:val="00E949C0"/>
    <w:rsid w:val="00E9591E"/>
    <w:rsid w:val="00E96D49"/>
    <w:rsid w:val="00EB11A6"/>
    <w:rsid w:val="00EB275E"/>
    <w:rsid w:val="00EB7710"/>
    <w:rsid w:val="00EC3F58"/>
    <w:rsid w:val="00EC3FEE"/>
    <w:rsid w:val="00EC5EE8"/>
    <w:rsid w:val="00EC6952"/>
    <w:rsid w:val="00EC6BD6"/>
    <w:rsid w:val="00ED41CE"/>
    <w:rsid w:val="00EE22DC"/>
    <w:rsid w:val="00EE5B3A"/>
    <w:rsid w:val="00F13218"/>
    <w:rsid w:val="00F16018"/>
    <w:rsid w:val="00F23A10"/>
    <w:rsid w:val="00F23DEA"/>
    <w:rsid w:val="00F3018F"/>
    <w:rsid w:val="00F4045F"/>
    <w:rsid w:val="00F4088C"/>
    <w:rsid w:val="00F53CAC"/>
    <w:rsid w:val="00F567C5"/>
    <w:rsid w:val="00F60B0B"/>
    <w:rsid w:val="00F625F2"/>
    <w:rsid w:val="00F65B96"/>
    <w:rsid w:val="00F73238"/>
    <w:rsid w:val="00F92148"/>
    <w:rsid w:val="00F94CD1"/>
    <w:rsid w:val="00FA30F9"/>
    <w:rsid w:val="00FB2614"/>
    <w:rsid w:val="00FC7F8D"/>
    <w:rsid w:val="00FD3EF4"/>
    <w:rsid w:val="00FD59C8"/>
    <w:rsid w:val="00FE25A3"/>
    <w:rsid w:val="00FE50B8"/>
    <w:rsid w:val="00FE68BB"/>
    <w:rsid w:val="00FE7ABB"/>
    <w:rsid w:val="00FF0731"/>
    <w:rsid w:val="00FF1C4B"/>
    <w:rsid w:val="00FF57E0"/>
    <w:rsid w:val="00FF79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53AE3"/>
  <w15:docId w15:val="{5C3D6405-6C93-43C6-88DC-62B4E6C50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sk-SK"/>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9"/>
    <w:qFormat/>
    <w:rsid w:val="006D390F"/>
    <w:pPr>
      <w:widowControl w:val="0"/>
      <w:autoSpaceDE w:val="0"/>
      <w:autoSpaceDN w:val="0"/>
      <w:spacing w:before="1"/>
      <w:ind w:left="105" w:right="105"/>
      <w:jc w:val="center"/>
      <w:outlineLvl w:val="0"/>
    </w:pPr>
    <w:rPr>
      <w:rFonts w:ascii="Georgia" w:eastAsia="Georgia" w:hAnsi="Georgia" w:cs="Georgia"/>
      <w:b/>
      <w:bCs/>
      <w:lang w:eastAsia="en-US"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0468E"/>
    <w:pPr>
      <w:ind w:left="720"/>
      <w:contextualSpacing/>
    </w:pPr>
  </w:style>
  <w:style w:type="paragraph" w:styleId="Textbubliny">
    <w:name w:val="Balloon Text"/>
    <w:basedOn w:val="Normlny"/>
    <w:link w:val="TextbublinyChar"/>
    <w:uiPriority w:val="99"/>
    <w:semiHidden/>
    <w:unhideWhenUsed/>
    <w:rsid w:val="00BF2212"/>
    <w:rPr>
      <w:rFonts w:ascii="Segoe UI" w:hAnsi="Segoe UI" w:cs="Segoe UI"/>
      <w:sz w:val="18"/>
      <w:szCs w:val="18"/>
    </w:rPr>
  </w:style>
  <w:style w:type="character" w:customStyle="1" w:styleId="TextbublinyChar">
    <w:name w:val="Text bubliny Char"/>
    <w:basedOn w:val="Predvolenpsmoodseku"/>
    <w:link w:val="Textbubliny"/>
    <w:uiPriority w:val="99"/>
    <w:semiHidden/>
    <w:rsid w:val="00BF2212"/>
    <w:rPr>
      <w:rFonts w:ascii="Segoe UI" w:hAnsi="Segoe UI" w:cs="Segoe UI"/>
      <w:sz w:val="18"/>
      <w:szCs w:val="18"/>
    </w:rPr>
  </w:style>
  <w:style w:type="paragraph" w:styleId="Hlavika">
    <w:name w:val="header"/>
    <w:basedOn w:val="Normlny"/>
    <w:link w:val="HlavikaChar"/>
    <w:uiPriority w:val="99"/>
    <w:unhideWhenUsed/>
    <w:rsid w:val="00BF2212"/>
    <w:pPr>
      <w:tabs>
        <w:tab w:val="center" w:pos="4536"/>
        <w:tab w:val="right" w:pos="9072"/>
      </w:tabs>
    </w:pPr>
  </w:style>
  <w:style w:type="character" w:customStyle="1" w:styleId="HlavikaChar">
    <w:name w:val="Hlavička Char"/>
    <w:basedOn w:val="Predvolenpsmoodseku"/>
    <w:link w:val="Hlavika"/>
    <w:uiPriority w:val="99"/>
    <w:rsid w:val="00BF2212"/>
  </w:style>
  <w:style w:type="paragraph" w:styleId="Pta">
    <w:name w:val="footer"/>
    <w:basedOn w:val="Normlny"/>
    <w:link w:val="PtaChar"/>
    <w:uiPriority w:val="99"/>
    <w:unhideWhenUsed/>
    <w:rsid w:val="00BF2212"/>
    <w:pPr>
      <w:tabs>
        <w:tab w:val="center" w:pos="4536"/>
        <w:tab w:val="right" w:pos="9072"/>
      </w:tabs>
    </w:pPr>
  </w:style>
  <w:style w:type="character" w:customStyle="1" w:styleId="PtaChar">
    <w:name w:val="Päta Char"/>
    <w:basedOn w:val="Predvolenpsmoodseku"/>
    <w:link w:val="Pta"/>
    <w:uiPriority w:val="99"/>
    <w:rsid w:val="00BF2212"/>
  </w:style>
  <w:style w:type="character" w:customStyle="1" w:styleId="Hyperlink0">
    <w:name w:val="Hyperlink.0"/>
    <w:rsid w:val="003378BE"/>
    <w:rPr>
      <w:rFonts w:ascii="Times New Roman" w:hAnsi="Times New Roman" w:cs="Times New Roman" w:hint="default"/>
      <w:color w:val="000000"/>
      <w:u w:color="000000"/>
    </w:rPr>
  </w:style>
  <w:style w:type="numbering" w:customStyle="1" w:styleId="Importovantl1">
    <w:name w:val="Importovaný štýl 1"/>
    <w:rsid w:val="003378BE"/>
    <w:pPr>
      <w:numPr>
        <w:numId w:val="13"/>
      </w:numPr>
    </w:pPr>
  </w:style>
  <w:style w:type="character" w:styleId="Odkaznakomentr">
    <w:name w:val="annotation reference"/>
    <w:basedOn w:val="Predvolenpsmoodseku"/>
    <w:uiPriority w:val="99"/>
    <w:semiHidden/>
    <w:unhideWhenUsed/>
    <w:rsid w:val="00065EF8"/>
    <w:rPr>
      <w:sz w:val="16"/>
      <w:szCs w:val="16"/>
    </w:rPr>
  </w:style>
  <w:style w:type="paragraph" w:styleId="Textkomentra">
    <w:name w:val="annotation text"/>
    <w:basedOn w:val="Normlny"/>
    <w:link w:val="TextkomentraChar"/>
    <w:uiPriority w:val="99"/>
    <w:semiHidden/>
    <w:unhideWhenUsed/>
    <w:rsid w:val="00065EF8"/>
  </w:style>
  <w:style w:type="character" w:customStyle="1" w:styleId="TextkomentraChar">
    <w:name w:val="Text komentára Char"/>
    <w:basedOn w:val="Predvolenpsmoodseku"/>
    <w:link w:val="Textkomentra"/>
    <w:uiPriority w:val="99"/>
    <w:semiHidden/>
    <w:rsid w:val="00065EF8"/>
  </w:style>
  <w:style w:type="paragraph" w:styleId="Predmetkomentra">
    <w:name w:val="annotation subject"/>
    <w:basedOn w:val="Textkomentra"/>
    <w:next w:val="Textkomentra"/>
    <w:link w:val="PredmetkomentraChar"/>
    <w:uiPriority w:val="99"/>
    <w:semiHidden/>
    <w:unhideWhenUsed/>
    <w:rsid w:val="00065EF8"/>
    <w:rPr>
      <w:b/>
      <w:bCs/>
    </w:rPr>
  </w:style>
  <w:style w:type="character" w:customStyle="1" w:styleId="PredmetkomentraChar">
    <w:name w:val="Predmet komentára Char"/>
    <w:basedOn w:val="TextkomentraChar"/>
    <w:link w:val="Predmetkomentra"/>
    <w:uiPriority w:val="99"/>
    <w:semiHidden/>
    <w:rsid w:val="00065EF8"/>
    <w:rPr>
      <w:b/>
      <w:bCs/>
    </w:rPr>
  </w:style>
  <w:style w:type="paragraph" w:styleId="Revzia">
    <w:name w:val="Revision"/>
    <w:hidden/>
    <w:uiPriority w:val="99"/>
    <w:semiHidden/>
    <w:rsid w:val="00AE3B8E"/>
  </w:style>
  <w:style w:type="character" w:styleId="Hypertextovprepojenie">
    <w:name w:val="Hyperlink"/>
    <w:basedOn w:val="Predvolenpsmoodseku"/>
    <w:uiPriority w:val="99"/>
    <w:semiHidden/>
    <w:unhideWhenUsed/>
    <w:rsid w:val="003026B5"/>
    <w:rPr>
      <w:color w:val="0000FF"/>
      <w:u w:val="single"/>
    </w:rPr>
  </w:style>
  <w:style w:type="character" w:customStyle="1" w:styleId="Nadpis1Char">
    <w:name w:val="Nadpis 1 Char"/>
    <w:basedOn w:val="Predvolenpsmoodseku"/>
    <w:link w:val="Nadpis1"/>
    <w:rsid w:val="006D390F"/>
    <w:rPr>
      <w:rFonts w:ascii="Georgia" w:eastAsia="Georgia" w:hAnsi="Georgia" w:cs="Georgia"/>
      <w:b/>
      <w:bCs/>
      <w:lang w:eastAsia="en-US" w:bidi="ar-SA"/>
    </w:rPr>
  </w:style>
  <w:style w:type="paragraph" w:styleId="Textpoznmkypodiarou">
    <w:name w:val="footnote text"/>
    <w:basedOn w:val="Normlny"/>
    <w:link w:val="TextpoznmkypodiarouChar"/>
    <w:uiPriority w:val="99"/>
    <w:unhideWhenUsed/>
    <w:rsid w:val="0018613D"/>
    <w:pPr>
      <w:ind w:left="237" w:hanging="10"/>
      <w:jc w:val="both"/>
    </w:pPr>
    <w:rPr>
      <w:rFonts w:ascii="Calibri" w:eastAsia="Calibri" w:hAnsi="Calibri" w:cs="Calibri"/>
      <w:color w:val="000000"/>
      <w:lang w:val="en-US" w:eastAsia="en-US" w:bidi="ar-SA"/>
    </w:rPr>
  </w:style>
  <w:style w:type="character" w:customStyle="1" w:styleId="TextpoznmkypodiarouChar">
    <w:name w:val="Text poznámky pod čiarou Char"/>
    <w:basedOn w:val="Predvolenpsmoodseku"/>
    <w:link w:val="Textpoznmkypodiarou"/>
    <w:uiPriority w:val="99"/>
    <w:rsid w:val="0018613D"/>
    <w:rPr>
      <w:rFonts w:ascii="Calibri" w:eastAsia="Calibri" w:hAnsi="Calibri" w:cs="Calibri"/>
      <w:color w:val="00000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2583">
      <w:bodyDiv w:val="1"/>
      <w:marLeft w:val="0"/>
      <w:marRight w:val="0"/>
      <w:marTop w:val="0"/>
      <w:marBottom w:val="0"/>
      <w:divBdr>
        <w:top w:val="none" w:sz="0" w:space="0" w:color="auto"/>
        <w:left w:val="none" w:sz="0" w:space="0" w:color="auto"/>
        <w:bottom w:val="none" w:sz="0" w:space="0" w:color="auto"/>
        <w:right w:val="none" w:sz="0" w:space="0" w:color="auto"/>
      </w:divBdr>
    </w:div>
    <w:div w:id="143014865">
      <w:bodyDiv w:val="1"/>
      <w:marLeft w:val="0"/>
      <w:marRight w:val="0"/>
      <w:marTop w:val="0"/>
      <w:marBottom w:val="0"/>
      <w:divBdr>
        <w:top w:val="none" w:sz="0" w:space="0" w:color="auto"/>
        <w:left w:val="none" w:sz="0" w:space="0" w:color="auto"/>
        <w:bottom w:val="none" w:sz="0" w:space="0" w:color="auto"/>
        <w:right w:val="none" w:sz="0" w:space="0" w:color="auto"/>
      </w:divBdr>
      <w:divsChild>
        <w:div w:id="1917980767">
          <w:marLeft w:val="0"/>
          <w:marRight w:val="0"/>
          <w:marTop w:val="0"/>
          <w:marBottom w:val="0"/>
          <w:divBdr>
            <w:top w:val="none" w:sz="0" w:space="0" w:color="auto"/>
            <w:left w:val="none" w:sz="0" w:space="0" w:color="auto"/>
            <w:bottom w:val="none" w:sz="0" w:space="0" w:color="auto"/>
            <w:right w:val="none" w:sz="0" w:space="0" w:color="auto"/>
          </w:divBdr>
        </w:div>
        <w:div w:id="595751824">
          <w:marLeft w:val="0"/>
          <w:marRight w:val="0"/>
          <w:marTop w:val="0"/>
          <w:marBottom w:val="0"/>
          <w:divBdr>
            <w:top w:val="none" w:sz="0" w:space="0" w:color="auto"/>
            <w:left w:val="none" w:sz="0" w:space="0" w:color="auto"/>
            <w:bottom w:val="none" w:sz="0" w:space="0" w:color="auto"/>
            <w:right w:val="none" w:sz="0" w:space="0" w:color="auto"/>
          </w:divBdr>
        </w:div>
      </w:divsChild>
    </w:div>
    <w:div w:id="234782477">
      <w:bodyDiv w:val="1"/>
      <w:marLeft w:val="0"/>
      <w:marRight w:val="0"/>
      <w:marTop w:val="0"/>
      <w:marBottom w:val="0"/>
      <w:divBdr>
        <w:top w:val="none" w:sz="0" w:space="0" w:color="auto"/>
        <w:left w:val="none" w:sz="0" w:space="0" w:color="auto"/>
        <w:bottom w:val="none" w:sz="0" w:space="0" w:color="auto"/>
        <w:right w:val="none" w:sz="0" w:space="0" w:color="auto"/>
      </w:divBdr>
    </w:div>
    <w:div w:id="703292374">
      <w:bodyDiv w:val="1"/>
      <w:marLeft w:val="0"/>
      <w:marRight w:val="0"/>
      <w:marTop w:val="0"/>
      <w:marBottom w:val="0"/>
      <w:divBdr>
        <w:top w:val="none" w:sz="0" w:space="0" w:color="auto"/>
        <w:left w:val="none" w:sz="0" w:space="0" w:color="auto"/>
        <w:bottom w:val="none" w:sz="0" w:space="0" w:color="auto"/>
        <w:right w:val="none" w:sz="0" w:space="0" w:color="auto"/>
      </w:divBdr>
    </w:div>
    <w:div w:id="734086426">
      <w:bodyDiv w:val="1"/>
      <w:marLeft w:val="0"/>
      <w:marRight w:val="0"/>
      <w:marTop w:val="0"/>
      <w:marBottom w:val="0"/>
      <w:divBdr>
        <w:top w:val="none" w:sz="0" w:space="0" w:color="auto"/>
        <w:left w:val="none" w:sz="0" w:space="0" w:color="auto"/>
        <w:bottom w:val="none" w:sz="0" w:space="0" w:color="auto"/>
        <w:right w:val="none" w:sz="0" w:space="0" w:color="auto"/>
      </w:divBdr>
    </w:div>
    <w:div w:id="791677222">
      <w:bodyDiv w:val="1"/>
      <w:marLeft w:val="0"/>
      <w:marRight w:val="0"/>
      <w:marTop w:val="0"/>
      <w:marBottom w:val="0"/>
      <w:divBdr>
        <w:top w:val="none" w:sz="0" w:space="0" w:color="auto"/>
        <w:left w:val="none" w:sz="0" w:space="0" w:color="auto"/>
        <w:bottom w:val="none" w:sz="0" w:space="0" w:color="auto"/>
        <w:right w:val="none" w:sz="0" w:space="0" w:color="auto"/>
      </w:divBdr>
    </w:div>
    <w:div w:id="827669081">
      <w:bodyDiv w:val="1"/>
      <w:marLeft w:val="0"/>
      <w:marRight w:val="0"/>
      <w:marTop w:val="0"/>
      <w:marBottom w:val="0"/>
      <w:divBdr>
        <w:top w:val="none" w:sz="0" w:space="0" w:color="auto"/>
        <w:left w:val="none" w:sz="0" w:space="0" w:color="auto"/>
        <w:bottom w:val="none" w:sz="0" w:space="0" w:color="auto"/>
        <w:right w:val="none" w:sz="0" w:space="0" w:color="auto"/>
      </w:divBdr>
    </w:div>
    <w:div w:id="1496454594">
      <w:bodyDiv w:val="1"/>
      <w:marLeft w:val="0"/>
      <w:marRight w:val="0"/>
      <w:marTop w:val="0"/>
      <w:marBottom w:val="0"/>
      <w:divBdr>
        <w:top w:val="none" w:sz="0" w:space="0" w:color="auto"/>
        <w:left w:val="none" w:sz="0" w:space="0" w:color="auto"/>
        <w:bottom w:val="none" w:sz="0" w:space="0" w:color="auto"/>
        <w:right w:val="none" w:sz="0" w:space="0" w:color="auto"/>
      </w:divBdr>
    </w:div>
    <w:div w:id="1741247315">
      <w:bodyDiv w:val="1"/>
      <w:marLeft w:val="0"/>
      <w:marRight w:val="0"/>
      <w:marTop w:val="0"/>
      <w:marBottom w:val="0"/>
      <w:divBdr>
        <w:top w:val="none" w:sz="0" w:space="0" w:color="auto"/>
        <w:left w:val="none" w:sz="0" w:space="0" w:color="auto"/>
        <w:bottom w:val="none" w:sz="0" w:space="0" w:color="auto"/>
        <w:right w:val="none" w:sz="0" w:space="0" w:color="auto"/>
      </w:divBdr>
    </w:div>
    <w:div w:id="2013757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slov-lex.sk/pravne-predpisy/SK/ZZ/2018/60/20220901"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03_-vlastny_material"/>
    <f:field ref="objsubject" par="" edit="true" text=""/>
    <f:field ref="objcreatedby" par="" text="Bačová, Michaela, JUDr."/>
    <f:field ref="objcreatedat" par="" text="3.12.2021 14:39:27"/>
    <f:field ref="objchangedby" par="" text="Administrator, System"/>
    <f:field ref="objmodifiedat" par="" text="3.12.2021 14:39:27"/>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7D1C51A-8B00-4663-8B00-36483729F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2407</Words>
  <Characters>13724</Characters>
  <Application>Microsoft Office Word</Application>
  <DocSecurity>0</DocSecurity>
  <Lines>114</Lines>
  <Paragraphs>32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Apache POI</dc:creator>
  <cp:lastModifiedBy>Bačová Michaela</cp:lastModifiedBy>
  <cp:revision>10</cp:revision>
  <cp:lastPrinted>2022-03-10T14:00:00Z</cp:lastPrinted>
  <dcterms:created xsi:type="dcterms:W3CDTF">2022-03-30T09:08:00Z</dcterms:created>
  <dcterms:modified xsi:type="dcterms:W3CDTF">2023-04-12T09:51:00Z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Zbrane a strelivo_x000d_
Technické normy_x000d_
Štátna hospodárska politika_x000d_
Ochrana spotrebiteľa</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Michaela Bačová</vt:lpwstr>
  </property>
  <property fmtid="{D5CDD505-2E9C-101B-9397-08002B2CF9AE}" pid="12" name="FSC#SKEDITIONSLOVLEX@103.510:zodppredkladatel">
    <vt:lpwstr>Katarína Surmíková Tatranská</vt:lpwstr>
  </property>
  <property fmtid="{D5CDD505-2E9C-101B-9397-08002B2CF9AE}" pid="13" name="FSC#SKEDITIONSLOVLEX@103.510:dalsipredkladatel">
    <vt:lpwstr/>
  </property>
  <property fmtid="{D5CDD505-2E9C-101B-9397-08002B2CF9AE}" pid="14" name="FSC#SKEDITIONSLOVLEX@103.510:nazovpredpis">
    <vt:lpwstr> ktorým sa mení a dopĺňa zákon č. 64/2019 Z. z. o sprístupňovaní strelných zbraní a streliva na civilné použitie na trhu v znení zákona č. 376/2019 Z. z. a o zmene a doplnení niektorých zákonov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Úrad pre normalizáciu, metrológiu a skúšobníctvo Slovenskej republiky (Úrad vlády Slovenskej republiky, odbor legislatívy ostatných ústredných orgánov štátnej správy)</vt:lpwstr>
  </property>
  <property fmtid="{D5CDD505-2E9C-101B-9397-08002B2CF9AE}" pid="20" name="FSC#SKEDITIONSLOVLEX@103.510:pripomienkovatelia">
    <vt:lpwstr>Úrad pre normalizáciu, metrológiu a skúšobníctvo Slovenskej republiky (Úrad vlády Slovenskej republiky, odbor legislatívy ostatných ústredných orgánov štátnej správy), Úrad pre normalizáciu, metrológiu a skúšobníctvo Slovenskej republiky (Úrad vlády Slove</vt:lpwstr>
  </property>
  <property fmtid="{D5CDD505-2E9C-101B-9397-08002B2CF9AE}" pid="21" name="FSC#SKEDITIONSLOVLEX@103.510:autorpredpis">
    <vt:lpwstr/>
  </property>
  <property fmtid="{D5CDD505-2E9C-101B-9397-08002B2CF9AE}" pid="22" name="FSC#SKEDITIONSLOVLEX@103.510:podnetpredpis">
    <vt:lpwstr>vlastná iniciatíva</vt:lpwstr>
  </property>
  <property fmtid="{D5CDD505-2E9C-101B-9397-08002B2CF9AE}" pid="23" name="FSC#SKEDITIONSLOVLEX@103.510:plnynazovpredpis">
    <vt:lpwstr> Zákon ktorým sa mení a dopĺňa zákon č. 64/2019 Z. z. o sprístupňovaní strelných zbraní a streliva na civilné použitie na trhu v znení zákona č. 376/2019 Z. z. a o zmene a doplnení niektorých zákonov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UNMS/03855/2021-801</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LP/2021/644</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predsedníčka Úradu pre normalizáciu,metrológiu a skúšobníctvo Slovenskej republiky</vt:lpwstr>
  </property>
  <property fmtid="{D5CDD505-2E9C-101B-9397-08002B2CF9AE}" pid="142" name="FSC#SKEDITIONSLOVLEX@103.510:funkciaZodpPredAkuzativ">
    <vt:lpwstr>predsedníčku Úradu pre normalizáciu, metrológiu a skúšobníctvo Slovenskej republiky</vt:lpwstr>
  </property>
  <property fmtid="{D5CDD505-2E9C-101B-9397-08002B2CF9AE}" pid="143" name="FSC#SKEDITIONSLOVLEX@103.510:funkciaZodpPredDativ">
    <vt:lpwstr>predsedníčke Úradu pre normalizáciu, metrológiu a skúšobníctvo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Katarína Surmíková Tatranská_x000d_
predsedníčka Úradu pre normalizáciu,metrológiu a skúšobníctvo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&lt;p&gt;Návrh zákona, ktorým sa mení a&amp;nbsp;dopĺňa zákon 64/2019 Z. z. o sprístupňovaní strelných zbraní a streliva na civilné použitie na trhu v&amp;nbsp;znení zákona č. 376/2019 Z. z. a&amp;nbsp;o&amp;nbsp;zmene a&amp;nbsp;doplnení niektorých zákonov (ďalej len „návrh zákon</vt:lpwstr>
  </property>
  <property fmtid="{D5CDD505-2E9C-101B-9397-08002B2CF9AE}" pid="150" name="FSC#SKEDITIONSLOVLEX@103.510:vytvorenedna">
    <vt:lpwstr>3. 12. 2021</vt:lpwstr>
  </property>
  <property fmtid="{D5CDD505-2E9C-101B-9397-08002B2CF9AE}" pid="151" name="FSC#COOSYSTEM@1.1:Container">
    <vt:lpwstr>COO.2145.1000.3.4712914</vt:lpwstr>
  </property>
  <property fmtid="{D5CDD505-2E9C-101B-9397-08002B2CF9AE}" pid="152" name="FSC#FSCFOLIO@1.1001:docpropproject">
    <vt:lpwstr/>
  </property>
</Properties>
</file>