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 w:rsidP="00F97159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F9715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F97159">
      <w:pPr>
        <w:jc w:val="both"/>
        <w:rPr>
          <w:b/>
          <w:sz w:val="25"/>
          <w:szCs w:val="25"/>
        </w:rPr>
      </w:pPr>
    </w:p>
    <w:p w14:paraId="78F20C5B" w14:textId="3ED418A2" w:rsidR="00DC377E" w:rsidRDefault="00DC377E" w:rsidP="00F97159">
      <w:pPr>
        <w:jc w:val="both"/>
        <w:rPr>
          <w:b/>
          <w:sz w:val="25"/>
          <w:szCs w:val="25"/>
        </w:rPr>
      </w:pPr>
    </w:p>
    <w:p w14:paraId="69C1CD00" w14:textId="77777777" w:rsidR="00B54BA4" w:rsidRPr="00117A7E" w:rsidRDefault="00B54BA4" w:rsidP="00F97159">
      <w:pPr>
        <w:jc w:val="both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4BFE7DAF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B77358">
              <w:rPr>
                <w:bCs/>
              </w:rPr>
              <w:t xml:space="preserve">Poslanci Národnej rady Slovenskej republiky Jaromír </w:t>
            </w:r>
            <w:proofErr w:type="spellStart"/>
            <w:r w:rsidR="00B77358">
              <w:rPr>
                <w:bCs/>
              </w:rPr>
              <w:t>Šíbl</w:t>
            </w:r>
            <w:proofErr w:type="spellEnd"/>
            <w:r w:rsidR="00B77358">
              <w:rPr>
                <w:bCs/>
              </w:rPr>
              <w:t>,</w:t>
            </w:r>
            <w:r w:rsidR="00B77358">
              <w:t xml:space="preserve"> Tomáš </w:t>
            </w:r>
            <w:proofErr w:type="spellStart"/>
            <w:r w:rsidR="00B77358">
              <w:t>Šudík</w:t>
            </w:r>
            <w:proofErr w:type="spellEnd"/>
            <w:r w:rsidR="00B77358">
              <w:t xml:space="preserve">, Anna Mierna, Vladimír Zajačik, Kristián </w:t>
            </w:r>
            <w:proofErr w:type="spellStart"/>
            <w:r w:rsidR="00B77358">
              <w:t>Čekovský</w:t>
            </w:r>
            <w:proofErr w:type="spellEnd"/>
            <w:r w:rsidR="00B77358">
              <w:t xml:space="preserve"> a Monika </w:t>
            </w:r>
            <w:proofErr w:type="spellStart"/>
            <w:r w:rsidR="00B77358">
              <w:t>Kozelová</w:t>
            </w:r>
            <w:proofErr w:type="spellEnd"/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6A28D5E7" w14:textId="77777777" w:rsidR="006E1D9C" w:rsidRDefault="006E1D9C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  <w:p w14:paraId="3916B647" w14:textId="4AE26426" w:rsidR="00B54BA4" w:rsidRPr="00117A7E" w:rsidRDefault="00B54BA4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762651CB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AA0A08">
              <w:rPr>
                <w:sz w:val="25"/>
                <w:szCs w:val="25"/>
              </w:rPr>
              <w:t xml:space="preserve"> Zákon o posudzovaní vplyvov na životné prostredie a o zmene a doplnení niektorých zákonov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726230A3" w14:textId="77777777" w:rsidR="006E1D9C" w:rsidRDefault="006E1D9C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  <w:p w14:paraId="20DF7156" w14:textId="3BA2DF6D" w:rsidR="00B54BA4" w:rsidRPr="00117A7E" w:rsidRDefault="00B54BA4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68F7C348" w14:textId="16EC892C" w:rsidR="003841E0" w:rsidRPr="00117A7E" w:rsidRDefault="003841E0" w:rsidP="00F9715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F97159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14:paraId="73485847" w14:textId="44F1B813" w:rsidR="008570D4" w:rsidRPr="00117A7E" w:rsidRDefault="005F5761" w:rsidP="00F97159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>
              <w:rPr>
                <w:rFonts w:ascii="Times" w:hAnsi="Times" w:cs="Times"/>
                <w:sz w:val="25"/>
                <w:szCs w:val="25"/>
              </w:rPr>
              <w:t>je upravený v práve Európskej únie</w:t>
            </w:r>
          </w:p>
          <w:p w14:paraId="1F4EBCF6" w14:textId="29F968B1" w:rsidR="005F5761" w:rsidRDefault="005F5761" w:rsidP="00F97159">
            <w:pPr>
              <w:jc w:val="both"/>
              <w:divId w:val="31106473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Čl. </w:t>
            </w:r>
            <w:r w:rsidR="002B2EE9">
              <w:rPr>
                <w:rFonts w:ascii="Times" w:hAnsi="Times" w:cs="Times"/>
                <w:sz w:val="25"/>
                <w:szCs w:val="25"/>
              </w:rPr>
              <w:t xml:space="preserve">46, 53, 58, </w:t>
            </w:r>
            <w:r>
              <w:rPr>
                <w:rFonts w:ascii="Times" w:hAnsi="Times" w:cs="Times"/>
                <w:sz w:val="25"/>
                <w:szCs w:val="25"/>
              </w:rPr>
              <w:t>114 a čl. 191 až 193 Zmluvy o fungovaní Európskej únie</w:t>
            </w:r>
            <w:r w:rsidR="002B2EE9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2B2EE9" w:rsidRPr="002A51B5">
              <w:t>(Ú. v. ES C 202, 7.6.2016) v platnom znení.</w:t>
            </w:r>
          </w:p>
          <w:p w14:paraId="394454C0" w14:textId="629249CB" w:rsidR="00054456" w:rsidRPr="00117A7E" w:rsidRDefault="00054456" w:rsidP="00F97159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52B10AA7" w14:textId="16205392" w:rsidR="002B2EE9" w:rsidRDefault="005F5761" w:rsidP="00F97159">
            <w:pPr>
              <w:jc w:val="both"/>
              <w:divId w:val="59494840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sekundárnom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Smernica Európskeho parlamentu a rady 2001/42/ES z 27. júna 2001 o posudzovaní účinkov určitých plánov a programov na životné prostredie (Ú. v. L 197, 27.01.2001)</w:t>
            </w:r>
          </w:p>
          <w:p w14:paraId="39C4022D" w14:textId="77777777" w:rsidR="002B2EE9" w:rsidRDefault="005F5761" w:rsidP="00F97159">
            <w:pPr>
              <w:jc w:val="both"/>
              <w:divId w:val="59494840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Rady 92/43/EHS z 21. mája 1992 o ochrane prirodzených biotopov a voľne žijúcich živočíchov a rastlín (Mimoriadne vydanie Ú. v. EÚ, kap. 15/zv. 2; Ú. v. ES L 206, 22. 7. 1992)</w:t>
            </w:r>
          </w:p>
          <w:p w14:paraId="1234FED1" w14:textId="77777777" w:rsidR="002B2EE9" w:rsidRDefault="005F5761" w:rsidP="00F97159">
            <w:pPr>
              <w:jc w:val="both"/>
              <w:divId w:val="59494840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(Ú. v. EÚ L 140, 5. 6. 2009</w:t>
            </w:r>
          </w:p>
          <w:p w14:paraId="67045A53" w14:textId="5CE682CE" w:rsidR="005F5761" w:rsidRDefault="002B2EE9" w:rsidP="00F97159">
            <w:pPr>
              <w:jc w:val="both"/>
              <w:divId w:val="59494840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Európskeho parlamentu a rady (EÚ) 2011/92/EÚ z 13. Decembra 2011 o posudzovaní vplyvov určitých verejných a súkromných projektov na životné prostredie (Ú. v. ES L 026, 28. 01. 2012) v platnom znení</w:t>
            </w:r>
          </w:p>
          <w:p w14:paraId="5C41D9D3" w14:textId="7801E2C3" w:rsidR="006F3E6F" w:rsidRPr="00117A7E" w:rsidRDefault="006F3E6F" w:rsidP="00F97159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5DE3403E" w14:textId="561EB176" w:rsidR="0023485C" w:rsidRPr="00117A7E" w:rsidRDefault="0023485C" w:rsidP="00F97159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20F46682" w14:textId="0DBDA3BB" w:rsidR="0023485C" w:rsidRPr="00117A7E" w:rsidRDefault="005F5761" w:rsidP="00F97159">
            <w:pPr>
              <w:pStyle w:val="Odsekzoznamu"/>
              <w:tabs>
                <w:tab w:val="left" w:pos="360"/>
              </w:tabs>
              <w:ind w:left="360"/>
              <w:jc w:val="both"/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v judikatúre Súdneho dvora Európskej únie</w:t>
            </w:r>
          </w:p>
          <w:p w14:paraId="47C8A381" w14:textId="741D3E85" w:rsidR="0023485C" w:rsidRPr="00117A7E" w:rsidRDefault="0023485C" w:rsidP="00F97159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F97159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14:paraId="5B0D5C2C" w14:textId="39FC942A" w:rsidR="001F0AA3" w:rsidRPr="00117A7E" w:rsidRDefault="001F0AA3" w:rsidP="00F97159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</w:p>
          <w:p w14:paraId="3EF293F4" w14:textId="0412CA1C" w:rsidR="005F5761" w:rsidRDefault="005F5761" w:rsidP="00F97159">
            <w:pPr>
              <w:jc w:val="both"/>
              <w:divId w:val="15184224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C</w:t>
            </w:r>
            <w:r>
              <w:rPr>
                <w:rFonts w:ascii="Times" w:hAnsi="Times" w:cs="Times"/>
                <w:sz w:val="25"/>
                <w:szCs w:val="25"/>
              </w:rPr>
              <w:noBreakHyphen/>
              <w:t>570/13C</w:t>
            </w:r>
            <w:r>
              <w:rPr>
                <w:rFonts w:ascii="Times" w:hAnsi="Times" w:cs="Times"/>
                <w:sz w:val="25"/>
                <w:szCs w:val="25"/>
              </w:rPr>
              <w:noBreakHyphen/>
              <w:t>290/15C-348/15C</w:t>
            </w:r>
            <w:r>
              <w:rPr>
                <w:rFonts w:ascii="Times" w:hAnsi="Times" w:cs="Times"/>
                <w:sz w:val="25"/>
                <w:szCs w:val="25"/>
              </w:rPr>
              <w:noBreakHyphen/>
              <w:t>137/14C</w:t>
            </w:r>
            <w:r>
              <w:rPr>
                <w:rFonts w:ascii="Times" w:hAnsi="Times" w:cs="Times"/>
                <w:sz w:val="25"/>
                <w:szCs w:val="25"/>
              </w:rPr>
              <w:noBreakHyphen/>
              <w:t>260/11</w:t>
            </w:r>
          </w:p>
          <w:p w14:paraId="10E820A7" w14:textId="5FE0458C" w:rsidR="0023485C" w:rsidRPr="00117A7E" w:rsidRDefault="0023485C" w:rsidP="00F97159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F97159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F97159">
            <w:pPr>
              <w:tabs>
                <w:tab w:val="left" w:pos="360"/>
              </w:tabs>
              <w:jc w:val="both"/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5F5761" w14:paraId="4A20C973" w14:textId="77777777">
        <w:trPr>
          <w:divId w:val="910501978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6E180" w14:textId="77777777" w:rsidR="005F5761" w:rsidRDefault="005F5761" w:rsidP="00F97159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5A1E6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5F5761" w14:paraId="19CFEBCE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DD12E6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DE64" w14:textId="77777777" w:rsidR="005F5761" w:rsidRDefault="005F5761" w:rsidP="00F971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27E30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5F5761" w14:paraId="6EFB8B49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95F4AF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D8B5EB" w14:textId="77777777" w:rsidR="005F5761" w:rsidRDefault="005F5761" w:rsidP="00F971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7B1C5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2011/92/EÚ - je úplným znením smernice 85/337/EHS. Smernica 85/337/EHS a jej novely mali nasledujúce lehoty na prebratie 3. júla 1988 - smernica 85/337/ES 14. marec 1999 - 97/11/ES 25. jún 2005 - 2003/35/ES 25. jún 2011 - 2009/31/ES 16. máj 2017 - 2014/52/EÚ (ide o novelu smernice 2011/92/EÚ) 21. júla 2004 - smernica 2001/42/ES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5F5761" w14:paraId="0D760E83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1B5C9E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BCDEDC" w14:textId="77777777" w:rsidR="005F5761" w:rsidRDefault="005F5761" w:rsidP="00F971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E6002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5F5761" w14:paraId="0B8D2F58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6CA5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9A21" w14:textId="77777777" w:rsidR="005F5761" w:rsidRDefault="005F5761" w:rsidP="00F971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D9EC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F5761" w14:paraId="75F112EC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5DF911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28E090" w14:textId="77777777" w:rsidR="005F5761" w:rsidRDefault="005F5761" w:rsidP="00F9715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BB08D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5F5761" w14:paraId="7A69F128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6FD1C2" w14:textId="77777777" w:rsidR="005F5761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CEDA37" w14:textId="77777777" w:rsidR="005F5761" w:rsidRDefault="005F5761" w:rsidP="002B2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868C" w14:textId="77777777" w:rsidR="002B2EE9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č. 24/2006 Z. z. o posudzovaní vplyvov na životné prostredie a o zmene a doplnení niektorých zákonov</w:t>
            </w:r>
            <w:r w:rsidR="002B2EE9">
              <w:rPr>
                <w:rFonts w:ascii="Times" w:hAnsi="Times" w:cs="Times"/>
                <w:sz w:val="25"/>
                <w:szCs w:val="25"/>
              </w:rPr>
              <w:t xml:space="preserve"> v znení neskorších predpisov</w:t>
            </w:r>
          </w:p>
          <w:p w14:paraId="09285D90" w14:textId="77777777" w:rsidR="002B2EE9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Zákon č. 258/2011 Z. z. o trvalom ukladaní oxidu uhličitého do geologického prostredia a o zmene </w:t>
            </w:r>
            <w:r w:rsidR="002B2EE9">
              <w:rPr>
                <w:rFonts w:ascii="Times" w:hAnsi="Times" w:cs="Times"/>
                <w:sz w:val="25"/>
                <w:szCs w:val="25"/>
              </w:rPr>
              <w:t>a doplnení niektorých zákonov</w:t>
            </w:r>
          </w:p>
          <w:p w14:paraId="700A1A04" w14:textId="77777777" w:rsidR="002B2EE9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č. 543/2002 Z. z. o ochrane prírody a krajiny</w:t>
            </w:r>
            <w:r w:rsidR="002B2EE9">
              <w:rPr>
                <w:rFonts w:ascii="Times" w:hAnsi="Times" w:cs="Times"/>
                <w:sz w:val="25"/>
                <w:szCs w:val="25"/>
              </w:rPr>
              <w:t xml:space="preserve"> v znení neskorších predpisov </w:t>
            </w:r>
          </w:p>
          <w:p w14:paraId="50033114" w14:textId="77777777" w:rsidR="002B2EE9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</w:t>
            </w:r>
            <w:r w:rsidR="00AA0A08">
              <w:rPr>
                <w:rFonts w:ascii="Times" w:hAnsi="Times" w:cs="Times"/>
                <w:sz w:val="25"/>
                <w:szCs w:val="25"/>
              </w:rPr>
              <w:t>. 200/2022 Z. z. o územnom plánovaní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23625F">
              <w:rPr>
                <w:rFonts w:ascii="Times" w:hAnsi="Times" w:cs="Times"/>
                <w:sz w:val="25"/>
                <w:szCs w:val="25"/>
              </w:rPr>
              <w:t>a o zmene a</w:t>
            </w:r>
            <w:r w:rsidR="002B2EE9">
              <w:rPr>
                <w:rFonts w:ascii="Times" w:hAnsi="Times" w:cs="Times"/>
                <w:sz w:val="25"/>
                <w:szCs w:val="25"/>
              </w:rPr>
              <w:t xml:space="preserve"> doplnení niektorých zákonov</w:t>
            </w:r>
          </w:p>
          <w:p w14:paraId="482CD32C" w14:textId="03CA4A87" w:rsidR="002B2EE9" w:rsidRDefault="00AA0A08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</w:t>
            </w:r>
            <w:r w:rsidR="002B2EE9">
              <w:rPr>
                <w:rFonts w:ascii="Times" w:hAnsi="Times" w:cs="Times"/>
                <w:sz w:val="25"/>
                <w:szCs w:val="25"/>
              </w:rPr>
              <w:t>on č. 201/2022 Z. z. o výstavbe</w:t>
            </w:r>
          </w:p>
          <w:p w14:paraId="7A4314F7" w14:textId="77777777" w:rsidR="002B2EE9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č. 39/2013 Z. z. o integrovanej prevencii a kontrole znečisťovania životného prostredia a o zmene a doplnení niektorých zákonov</w:t>
            </w:r>
          </w:p>
          <w:p w14:paraId="1F20E996" w14:textId="77777777" w:rsidR="005F5761" w:rsidRDefault="005F5761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č. 543/2002 Z. z. o ochrane prírody a krajiny v znení neskorších predpisov. rozsah prebratia úplný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  <w:p w14:paraId="2296488C" w14:textId="3BF0C777" w:rsidR="00B54BA4" w:rsidRDefault="00B54BA4" w:rsidP="002B2EE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F5761" w14:paraId="374BC3DF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849D" w14:textId="77777777" w:rsidR="005F5761" w:rsidRDefault="005F5761" w:rsidP="00F97159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D6941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 w:rsidR="005F5761" w14:paraId="76AF1EEE" w14:textId="77777777">
        <w:trPr>
          <w:divId w:val="910501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A61302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1B21" w14:textId="77777777" w:rsidR="005F5761" w:rsidRDefault="005F5761" w:rsidP="00F971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18DF1" w14:textId="77777777" w:rsidR="005F5761" w:rsidRDefault="005F5761" w:rsidP="00F97159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14:paraId="0FF88273" w14:textId="17612E2F" w:rsidR="003D0DA4" w:rsidRPr="00117A7E" w:rsidRDefault="003D0DA4" w:rsidP="00F97159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3625F"/>
    <w:rsid w:val="002B14DD"/>
    <w:rsid w:val="002B2EE9"/>
    <w:rsid w:val="002E6AC0"/>
    <w:rsid w:val="003841E0"/>
    <w:rsid w:val="003D0DA4"/>
    <w:rsid w:val="00482868"/>
    <w:rsid w:val="004A3CCB"/>
    <w:rsid w:val="004B1E6E"/>
    <w:rsid w:val="004E7F23"/>
    <w:rsid w:val="00596545"/>
    <w:rsid w:val="005F5761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AA0A08"/>
    <w:rsid w:val="00B128CD"/>
    <w:rsid w:val="00B326AA"/>
    <w:rsid w:val="00B54BA4"/>
    <w:rsid w:val="00B77358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1FE7"/>
    <w:rsid w:val="00DC377E"/>
    <w:rsid w:val="00DC3BFE"/>
    <w:rsid w:val="00E85F6B"/>
    <w:rsid w:val="00EC5BF8"/>
    <w:rsid w:val="00F97159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3C497C5-6DD1-43F9-9305-FF0CF164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1.5.2019 10:34:33"/>
    <f:field ref="objchangedby" par="" text="Administrator, System"/>
    <f:field ref="objmodifiedat" par="" text="21.5.2019 10:34:36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7C187CC-10E6-48DB-A583-06896E7D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Németh Tibor</cp:lastModifiedBy>
  <cp:revision>2</cp:revision>
  <dcterms:created xsi:type="dcterms:W3CDTF">2023-04-14T11:40:00Z</dcterms:created>
  <dcterms:modified xsi:type="dcterms:W3CDTF">2023-04-14T11:40:00Z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COO.2145.1000.3.3376778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Posudzovanie vplyvov na 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Katrlík Radovan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 o posudzovaní vplyvov na životné prostredie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2019</vt:lpwstr>
  </property>
  <property fmtid="{D5CDD505-2E9C-101B-9397-08002B2CF9AE}" pid="18" name="FSC#SKEDITIONSLOVLEX@103.510:plnynazovpredpis">
    <vt:lpwstr> Zákon o posudzovaní vplyvov na životné prostredie a o zmene a doplnení niektorých zákonov</vt:lpwstr>
  </property>
  <property fmtid="{D5CDD505-2E9C-101B-9397-08002B2CF9AE}" pid="19" name="FSC#SKEDITIONSLOVLEX@103.510:rezortcislopredpis">
    <vt:lpwstr>7784/2019-9.1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LP/2019/384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 Čl. 114 a čl. 191 až 193 Zmluvy o fungovaní Európskej únie </vt:lpwstr>
  </property>
  <property fmtid="{D5CDD505-2E9C-101B-9397-08002B2CF9AE}" pid="39" name="FSC#SKEDITIONSLOVLEX@103.510:AttrStrListDocPropSekundarneLegPravoPO">
    <vt:lpwstr>Smernica Európskeho parlamentu a rady  (EÚ) 2011/92/EÚ z 13. Decembra 2011 o posudzovaní vplyvov určitých verejných a súkromných projektov na životné prostredie (Ú. v. ES L 026, 28. 01. 2012) v platnom znení_x000d_
 Smernica Európskeho parlamentu a rady  2001/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C‑570/13_x000d_
C‑290/15_x000d_
C-348/15_x000d_
C‑137/14_x000d_
C‑260/11</vt:lpwstr>
  </property>
  <property fmtid="{D5CDD505-2E9C-101B-9397-08002B2CF9AE}" pid="44" name="FSC#SKEDITIONSLOVLEX@103.510:AttrStrListDocPropLehotaPrebratieSmernice">
    <vt:lpwstr>smernica 2011/92/EÚ - je úplným znením smernice 85/337/EHS. Smernica 85/337/EHS a jej novely mali nasledujúce lehoty na prebratie_x000d_
3. júla 1988 - smernica 85/337/ES_x000d_
14. marec 1999 -  97/11/ES_x000d_
25. jún 2005 - 2003/35/ES_x000d_
25. jún 2011 - 2009/31/ES_x000d_
16. máj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>Zákon č. 24/2006 Z. z. o posudzovaní vplyvov na životné prostredie a o zmene a doplnení niektorých zákonov v znení neskorších predpisov_x000d_
• Zákon č. 258/2011 Z. z. o trvalom ukladaní oxidu uhličitého do geologického prostredia a o zmene a doplnení niektorý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17. 4. 2019</vt:lpwstr>
  </property>
  <property fmtid="{D5CDD505-2E9C-101B-9397-08002B2CF9AE}" pid="51" name="FSC#SKEDITIONSLOVLEX@103.510:AttrDateDocPropUkonceniePKK">
    <vt:lpwstr>6. 5. 2019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Alt. 0: Zachovanie súčasného stavu.Alt. 1: Nový zákon o posudzovaní vplyvov</vt:lpwstr>
  </property>
  <property fmtid="{D5CDD505-2E9C-101B-9397-08002B2CF9AE}" pid="59" name="FSC#SKEDITIONSLOVLEX@103.510:AttrStrListDocPropStanoviskoGest">
    <vt:lpwstr>&lt;h4&gt;&amp;nbsp;&lt;/h4&gt;&lt;h4&gt;Stanovisko komisie&lt;/h4&gt;&lt;p align="center"&gt;&amp;nbsp;&lt;/p&gt;&lt;p align="center"&gt;&lt;strong&gt;(predbežné pripomienkové konanie)&lt;/strong&gt;&lt;/p&gt;&lt;p align="center"&gt;&amp;nbsp;&lt;/p&gt;&lt;p align="center"&gt;&lt;strong&gt;k&amp;nbsp;návrhu&lt;/strong&gt;&lt;/p&gt;&lt;p align="center"&gt;&amp;nbsp;&lt;/p&gt;&lt;div&gt;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zákona o&amp;nbsp;posudzovaní vplyvov na životné prostredie a&amp;nbsp;o&amp;nbsp;zmene a&amp;nbsp;doplnení niektorých zákonov sa predkladá (ďalej len „návrh zákona“) na základe plánu legislatívnych úloh vlády Slovenskej republiky na rok 2019 v&amp;nbsp;súlade s Pro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podpredseda vlády a minister životného prostredia Slovenskej republiky</vt:lpwstr>
  </property>
  <property fmtid="{D5CDD505-2E9C-101B-9397-08002B2CF9AE}" pid="138" name="FSC#SKEDITIONSLOVLEX@103.510:funkciaZodpPredAkuzativ">
    <vt:lpwstr>podpredsedovi vlády a ministrovi životného prostredia Slovenskej republiky</vt:lpwstr>
  </property>
  <property fmtid="{D5CDD505-2E9C-101B-9397-08002B2CF9AE}" pid="139" name="FSC#SKEDITIONSLOVLEX@103.510:funkciaZodpPredDativ">
    <vt:lpwstr>podpredsedu vlády a ministra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podpredseda vlády a 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21. 5. 2019</vt:lpwstr>
  </property>
</Properties>
</file>