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59AC" w14:textId="77777777" w:rsidR="00F82F07" w:rsidRPr="00495A22" w:rsidRDefault="00F82F07" w:rsidP="00F82F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1C95067C" w14:textId="77777777" w:rsidR="00F82F07" w:rsidRPr="00495A22" w:rsidRDefault="00F82F07" w:rsidP="00F82F07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VIII.</w:t>
      </w:r>
      <w:r w:rsidRPr="00495A22">
        <w:rPr>
          <w:rFonts w:ascii="Times New Roman" w:hAnsi="Times New Roman"/>
          <w:sz w:val="24"/>
          <w:szCs w:val="24"/>
        </w:rPr>
        <w:t xml:space="preserve"> </w:t>
      </w:r>
      <w:r w:rsidRPr="00495A22">
        <w:rPr>
          <w:rFonts w:ascii="Times New Roman" w:hAnsi="Times New Roman"/>
          <w:b/>
          <w:sz w:val="24"/>
          <w:szCs w:val="24"/>
        </w:rPr>
        <w:t>volebné obdobie</w:t>
      </w:r>
    </w:p>
    <w:p w14:paraId="42C860E5" w14:textId="77777777" w:rsidR="00277BBB" w:rsidRDefault="00277BBB" w:rsidP="003854CB">
      <w:pPr>
        <w:spacing w:after="0"/>
        <w:rPr>
          <w:rFonts w:ascii="Helvetica" w:hAnsi="Helvetica" w:cs="Helvetica"/>
          <w:color w:val="1F1F1F"/>
          <w:sz w:val="33"/>
          <w:szCs w:val="33"/>
          <w:highlight w:val="yellow"/>
          <w:shd w:val="clear" w:color="auto" w:fill="FFFFFF"/>
        </w:rPr>
      </w:pPr>
    </w:p>
    <w:p w14:paraId="0CD12B02" w14:textId="77777777" w:rsidR="00F82F07" w:rsidRPr="00495A22" w:rsidRDefault="00F82F07" w:rsidP="00F82F0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F6B9CA7" w14:textId="77777777" w:rsidR="00F82F07" w:rsidRPr="00495A22" w:rsidRDefault="00F82F07" w:rsidP="00F82F07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495A22">
        <w:rPr>
          <w:rFonts w:ascii="Times New Roman" w:hAnsi="Times New Roman"/>
          <w:b/>
          <w:i/>
          <w:iCs/>
          <w:sz w:val="24"/>
          <w:szCs w:val="24"/>
        </w:rPr>
        <w:t>Návrh</w:t>
      </w:r>
    </w:p>
    <w:p w14:paraId="6E65A3F5" w14:textId="77777777" w:rsidR="00F82F07" w:rsidRPr="00495A22" w:rsidRDefault="00F82F07" w:rsidP="00F82F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4FE06B" w14:textId="77777777" w:rsidR="00F82F07" w:rsidRPr="00495A22" w:rsidRDefault="00F82F07" w:rsidP="00F82F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ZÁKON</w:t>
      </w:r>
    </w:p>
    <w:p w14:paraId="2F6150CC" w14:textId="77777777" w:rsidR="00F82F07" w:rsidRPr="00495A22" w:rsidRDefault="00F82F07" w:rsidP="00F82F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65797A" w14:textId="26DF2FC4" w:rsidR="00F82F07" w:rsidRPr="00495A22" w:rsidRDefault="00F82F07" w:rsidP="00F82F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 xml:space="preserve">z .............. </w:t>
      </w:r>
      <w:r w:rsidR="00246797">
        <w:rPr>
          <w:rFonts w:ascii="Times New Roman" w:hAnsi="Times New Roman"/>
          <w:sz w:val="24"/>
          <w:szCs w:val="24"/>
        </w:rPr>
        <w:t>2023</w:t>
      </w:r>
      <w:r w:rsidRPr="00495A22">
        <w:rPr>
          <w:rFonts w:ascii="Times New Roman" w:hAnsi="Times New Roman"/>
          <w:sz w:val="24"/>
          <w:szCs w:val="24"/>
        </w:rPr>
        <w:t>,</w:t>
      </w:r>
    </w:p>
    <w:p w14:paraId="26F20F38" w14:textId="77777777" w:rsidR="00F82F07" w:rsidRPr="00495A22" w:rsidRDefault="00F82F07" w:rsidP="00F82F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7128A8" w14:textId="4590670E" w:rsidR="00F82F07" w:rsidRDefault="005D78D0" w:rsidP="005D78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D78D0">
        <w:rPr>
          <w:rFonts w:ascii="Times New Roman" w:hAnsi="Times New Roman"/>
          <w:b/>
          <w:sz w:val="24"/>
          <w:szCs w:val="24"/>
        </w:rPr>
        <w:t>ktorým sa mení a dopĺňa zákon č. 446/2001 Z. z. o majetku vyšších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78D0">
        <w:rPr>
          <w:rFonts w:ascii="Times New Roman" w:hAnsi="Times New Roman"/>
          <w:b/>
          <w:sz w:val="24"/>
          <w:szCs w:val="24"/>
        </w:rPr>
        <w:t>územných celkov v znení neskorších predpisov a ktorým sa dopĺňa  zákon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78D0">
        <w:rPr>
          <w:rFonts w:ascii="Times New Roman" w:hAnsi="Times New Roman"/>
          <w:b/>
          <w:sz w:val="24"/>
          <w:szCs w:val="24"/>
        </w:rPr>
        <w:t>č. 302/2001 Z. z. o samospráve vyšších územných celkov (zákon 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78D0">
        <w:rPr>
          <w:rFonts w:ascii="Times New Roman" w:hAnsi="Times New Roman"/>
          <w:b/>
          <w:sz w:val="24"/>
          <w:szCs w:val="24"/>
        </w:rPr>
        <w:t>samosprávnych krajoch) v znení neskorších predpisov</w:t>
      </w:r>
    </w:p>
    <w:p w14:paraId="4FCE51A3" w14:textId="77777777" w:rsidR="005D78D0" w:rsidRPr="00495A22" w:rsidRDefault="005D78D0" w:rsidP="005D78D0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14:paraId="603181E8" w14:textId="77777777" w:rsidR="00F82F07" w:rsidRPr="00495A22" w:rsidRDefault="00F82F07" w:rsidP="00F82F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6651890E" w14:textId="77777777" w:rsidR="00F82F07" w:rsidRPr="00495A22" w:rsidRDefault="00F82F07" w:rsidP="00F82F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03CDE1" w14:textId="77777777" w:rsidR="00F82F07" w:rsidRPr="00495A22" w:rsidRDefault="00F82F07" w:rsidP="00F82F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Čl. I</w:t>
      </w:r>
    </w:p>
    <w:p w14:paraId="69FE0AE0" w14:textId="77777777" w:rsidR="00F82F07" w:rsidRPr="00495A22" w:rsidRDefault="00F82F07" w:rsidP="00F82F07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D9FC6A4" w14:textId="402E7F27" w:rsidR="00F82F07" w:rsidRDefault="005D78D0" w:rsidP="005D78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88123359"/>
      <w:r w:rsidRPr="005D78D0">
        <w:rPr>
          <w:rFonts w:ascii="Times New Roman" w:hAnsi="Times New Roman"/>
          <w:sz w:val="24"/>
          <w:szCs w:val="24"/>
          <w:shd w:val="clear" w:color="auto" w:fill="FFFFFF"/>
        </w:rPr>
        <w:t>Zákon č. 446/2001 Z. z. o majetku vyšších územných celkov v znení zákona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D78D0">
        <w:rPr>
          <w:rFonts w:ascii="Times New Roman" w:hAnsi="Times New Roman"/>
          <w:sz w:val="24"/>
          <w:szCs w:val="24"/>
          <w:shd w:val="clear" w:color="auto" w:fill="FFFFFF"/>
        </w:rPr>
        <w:t>č. 521/2003 Z. z., zákona č. 540/2005 Z. z., zákona č. 279/2006 Z. z.,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D78D0">
        <w:rPr>
          <w:rFonts w:ascii="Times New Roman" w:hAnsi="Times New Roman"/>
          <w:sz w:val="24"/>
          <w:szCs w:val="24"/>
          <w:shd w:val="clear" w:color="auto" w:fill="FFFFFF"/>
        </w:rPr>
        <w:t>zákona č. 258/2009 Z. z., zákona č. 509/2010 Z. z., zákona č. 125/2016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D78D0">
        <w:rPr>
          <w:rFonts w:ascii="Times New Roman" w:hAnsi="Times New Roman"/>
          <w:sz w:val="24"/>
          <w:szCs w:val="24"/>
          <w:shd w:val="clear" w:color="auto" w:fill="FFFFFF"/>
        </w:rPr>
        <w:t>Z. z., zákona č. 315/2016 Z. z., zákona č. 112/2018 Z. z., zákona č.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D78D0">
        <w:rPr>
          <w:rFonts w:ascii="Times New Roman" w:hAnsi="Times New Roman"/>
          <w:sz w:val="24"/>
          <w:szCs w:val="24"/>
          <w:shd w:val="clear" w:color="auto" w:fill="FFFFFF"/>
        </w:rPr>
        <w:t>4/2019 Z. z. a zákona č. 241/2019 Z. z. sa mení a dopĺňa takto:</w:t>
      </w:r>
    </w:p>
    <w:p w14:paraId="35F39B32" w14:textId="77777777" w:rsidR="005D78D0" w:rsidRPr="00495A22" w:rsidRDefault="005D78D0" w:rsidP="005D78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bookmarkEnd w:id="0"/>
    <w:p w14:paraId="1D6B1DE8" w14:textId="4A78731D" w:rsidR="005D78D0" w:rsidRPr="005D78D0" w:rsidRDefault="005D78D0" w:rsidP="005D78D0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V § 2 ods. 2 písm. a) sa slová „§ 9a ods. 11“ nahrádzajú slovami „§ 9ab ods. 2“. </w:t>
      </w:r>
    </w:p>
    <w:p w14:paraId="5905B187" w14:textId="77777777" w:rsidR="005D78D0" w:rsidRPr="005D78D0" w:rsidRDefault="005D78D0" w:rsidP="005D78D0">
      <w:pPr>
        <w:pStyle w:val="Odsekzoznamu"/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232185D" w14:textId="77777777" w:rsidR="005D78D0" w:rsidRDefault="005D78D0" w:rsidP="005D78D0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V § 6 ods. 2 sa slová „úžitky a nakladať“ nahrádzajú slovami „úžitky, udržiavať ho v užívaniaschopnom stave, zhodnocovať ho a nakladať“. </w:t>
      </w:r>
    </w:p>
    <w:p w14:paraId="76DD7017" w14:textId="77777777" w:rsidR="005D78D0" w:rsidRPr="005D78D0" w:rsidRDefault="005D78D0" w:rsidP="005D78D0">
      <w:pPr>
        <w:pStyle w:val="Odsekzoznamu"/>
        <w:rPr>
          <w:rFonts w:ascii="Times New Roman" w:hAnsi="Times New Roman"/>
          <w:sz w:val="24"/>
          <w:szCs w:val="24"/>
          <w:lang w:eastAsia="sk-SK"/>
        </w:rPr>
      </w:pPr>
    </w:p>
    <w:p w14:paraId="5323FB93" w14:textId="406E3D5C" w:rsidR="005D78D0" w:rsidRPr="005D78D0" w:rsidRDefault="005D78D0" w:rsidP="005D78D0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V § 9 sa odsek 2 dopĺňa písmenami g) až j), ktoré znejú: </w:t>
      </w:r>
    </w:p>
    <w:p w14:paraId="155637A2" w14:textId="5DD69694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„g) kritériá na určenie majetku vyššieho územného celku za prebytočný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alebo neupotrebiteľný, </w:t>
      </w:r>
    </w:p>
    <w:p w14:paraId="3A8DCEF4" w14:textId="0E7FC85C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h) podmienky, za ktorých bude možné znížiť kúpnu cenu oproti všeobecnej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hodnote majetku pri prevodoch majetku vyššieho územného celku z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5D78D0">
        <w:rPr>
          <w:rFonts w:ascii="Times New Roman" w:hAnsi="Times New Roman"/>
          <w:sz w:val="24"/>
          <w:szCs w:val="24"/>
          <w:lang w:eastAsia="sk-SK"/>
        </w:rPr>
        <w:t>dôvodu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hodného osobitného zreteľa a podmienky pre zníženie nájomného pri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nájmoch majetku vyššieho územného celku z dôvodu hodného osobitného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zreteľa, </w:t>
      </w:r>
    </w:p>
    <w:p w14:paraId="35E4333A" w14:textId="4860CF19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i) dôvody hodné osobitného zreteľa, najmä prevody a nájmy nehnuteľností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s malou výmerou a nízkou hodnotou alebo podporujúce všeobecne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akceptovateľný verejnoprospešný účel, </w:t>
      </w:r>
    </w:p>
    <w:p w14:paraId="3E400E1A" w14:textId="6025C462" w:rsid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j) právomoci a úlohy orgánov vyššieho územného celku pri nakladaní s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majetkom vyššieho územného celku; tým nie je dotknutá právomoc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zastupiteľstva podľa odseku 3.“. </w:t>
      </w:r>
    </w:p>
    <w:p w14:paraId="23EBBFD7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0A870D1" w14:textId="71FD73F0" w:rsidR="005D78D0" w:rsidRPr="005D78D0" w:rsidRDefault="005D78D0" w:rsidP="00863655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V § 9 ods. 3 písm. b) sa na konci čiarka nahrádza bodkočiarkou a pripájajú sa tieto slová: „podmienky obchodnej verejnej súťaže musia zabezpečiť požiadavky na transparentnú a nediskriminačnú súťaž a nesmú brániť vytvoreniu čestného súťažného prostredia,“. </w:t>
      </w:r>
    </w:p>
    <w:p w14:paraId="08FCF9F7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C0E2BE7" w14:textId="6645825D" w:rsidR="005D78D0" w:rsidRPr="005D78D0" w:rsidRDefault="005D78D0" w:rsidP="005D78D0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V § 9 ods. 3 písm. c) sa na konci pripájajú tieto slová: </w:t>
      </w:r>
    </w:p>
    <w:p w14:paraId="6F09BC12" w14:textId="417B69D0" w:rsid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„alebo obchodnou verejnou súťažou, ak v podmienkach tejto súťaže nebola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určená požadovaná cena nehnuteľného majetku vyššieho územného celku“. </w:t>
      </w:r>
    </w:p>
    <w:p w14:paraId="369729A7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56B4D28" w14:textId="064ECD69" w:rsidR="005D78D0" w:rsidRDefault="005D78D0" w:rsidP="0054530E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V § 9a ods. 2 prvej vete sa slová „svojej internetovej stránke“ nahrádzajú slovami „svojom webovom sídle“, slová „v regionálnej tlači“ sa nahrádzajú slovami „iným vhodným spôsobom“ a v druhej vete sa slová „oznámenie v regionálnej tlači“ nahrádzajú slovami „zverejnenie podľa prvej vety“. </w:t>
      </w:r>
    </w:p>
    <w:p w14:paraId="182AEAB9" w14:textId="77777777" w:rsidR="005D78D0" w:rsidRPr="005D78D0" w:rsidRDefault="005D78D0" w:rsidP="005D78D0">
      <w:pPr>
        <w:pStyle w:val="Odsekzoznamu"/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2650886" w14:textId="585AF0AA" w:rsidR="005D78D0" w:rsidRPr="005D78D0" w:rsidRDefault="005D78D0" w:rsidP="005D78D0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V § 9a odseky 4 až 12 znejú: </w:t>
      </w:r>
    </w:p>
    <w:p w14:paraId="418F144F" w14:textId="05A96162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„(4) Návrhy do obchodnej verejnej súťaže sa podávajú cez elektronickú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schránku19ca) alebo v listinnej podobe, ak záujemca nemá aktivovanú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elektronickú schránku. Všetky návrhy podané do obchodnej verejnej súťaže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vyšší územný celok zverejňuje do 10 pracovných dní od uplynutia lehoty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na predkladanie návrhov, po dobu minimálne 30 dní, na úradnej tabuli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vyššieho územného celku a na webovom sídle vyššieho územného celku. </w:t>
      </w:r>
    </w:p>
    <w:p w14:paraId="2B9CC965" w14:textId="3719FEB3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(5) Vyšší územný celok prevedie svoj majetok záujemcovi, ktorý splní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podmienky obchodnej verejnej súťaže a ktorého návrh je najvýhodnejší. </w:t>
      </w:r>
    </w:p>
    <w:p w14:paraId="0AF06A37" w14:textId="2ECD4811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(6) Vyšší územný celok neprihliada k návrhom predloženým do obchodnej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verejnej súťaže, ktoré nesplnia podmienky obchodnej verejnej súťaže.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Vyšší územný celok oznámi záujemcovi vylúčenie jeho návrhu z</w:t>
      </w:r>
      <w:r w:rsidR="00004074">
        <w:rPr>
          <w:rFonts w:ascii="Times New Roman" w:hAnsi="Times New Roman"/>
          <w:sz w:val="24"/>
          <w:szCs w:val="24"/>
          <w:lang w:eastAsia="sk-SK"/>
        </w:rPr>
        <w:t> </w:t>
      </w:r>
      <w:r w:rsidRPr="005D78D0">
        <w:rPr>
          <w:rFonts w:ascii="Times New Roman" w:hAnsi="Times New Roman"/>
          <w:sz w:val="24"/>
          <w:szCs w:val="24"/>
          <w:lang w:eastAsia="sk-SK"/>
        </w:rPr>
        <w:t>obchodnej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verejnej súťaže spolu s odôvodnením v lehote 30 dní od vyhodnotenia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návrhov. </w:t>
      </w:r>
    </w:p>
    <w:p w14:paraId="305938C9" w14:textId="4732C77C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(7) Vyšší územný celok môže zrušiť obchodnú verejnú súťaž, ak si to v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podmienkach obchodnej verejnej súťaže vyhradil. Vyšší územný celok môže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zrušiť obchodnú verejnú súťaž aj vtedy, ak sa podstatne zmenili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okolnosti, za ktorých sa vyhlásila obchodná verejná súťaž alebo ak sa v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priebehu obchodnej verejnej súťaže vyskytli výnimočné dôvody, pre ktoré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nemožno od vyššieho územného celku požadovať, aby v obchodnej verejnej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súťaži pokračoval, pričom o zrušení obchodnej verejnej súťaže rozhoduje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zastupiteľstvo nadpolovičnou väčšinou všetkých poslancov. Vyšší územný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celok zruší obchodnú verejnú súťaž, ak zastupiteľstvo neschválilo prevod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vlastníctva majetku, na ktorý sa podľa § 9 ods. 3 písm. c) vyžaduje jeho</w:t>
      </w:r>
      <w:r w:rsidR="000040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súhlas. </w:t>
      </w:r>
    </w:p>
    <w:p w14:paraId="7F359E95" w14:textId="0AE8829F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(8) Vyšší územný celok je povinný bezodkladne upovedomiť všetkých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záujemcov o zrušení obchodnej verejnej súťaže s uvedením odôvodnenia jej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zrušenia. Informáciu o zrušení obchodnej verejnej súťaže spolu s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odôvodnením vyšší územný celok uverejňuje spôsobom, ktorým vyhlásil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podmienky obchodnej verejnej súťaže. </w:t>
      </w:r>
    </w:p>
    <w:p w14:paraId="0335DF42" w14:textId="1C5CD6C5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(9) Na prevod majetku vyššieho územného celku dražbou sa vzťahuje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osobitný zákon.</w:t>
      </w:r>
      <w:r w:rsidRPr="00DC7308">
        <w:rPr>
          <w:rFonts w:ascii="Times New Roman" w:hAnsi="Times New Roman"/>
          <w:sz w:val="24"/>
          <w:szCs w:val="24"/>
          <w:vertAlign w:val="superscript"/>
          <w:lang w:eastAsia="sk-SK"/>
        </w:rPr>
        <w:t>19b)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7B94F797" w14:textId="292C0AF2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(10) Vyšší územný celok zverejní zámer predať svoj majetok priamym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predajom najmenej na 15 dní. Zároveň zverejní lehotu na doručenie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cenových ponúk záujemcov; táto lehota nesmie byť kratšia ako 30 dní a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začína plynúť od zverejnenia zámeru na úradnej tabuli vyššieho územného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celku, ak vyšší územný celok v zámere neurčí neskorší začiatok plynutia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lehoty. Vyšší územný celok nemôže previesť vlastníctvo svojho majetku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priamym predajom, ak všeobecná hodnota majetku stanovená podľa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osobitného predpisu</w:t>
      </w:r>
      <w:r w:rsidRPr="00DC7308">
        <w:rPr>
          <w:rFonts w:ascii="Times New Roman" w:hAnsi="Times New Roman"/>
          <w:sz w:val="24"/>
          <w:szCs w:val="24"/>
          <w:vertAlign w:val="superscript"/>
          <w:lang w:eastAsia="sk-SK"/>
        </w:rPr>
        <w:t>19c)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 presiahne 40 000 eur. Nehnuteľnosť musí byť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jednoznačne identifikovaná tak, aby nebola zameniteľná s</w:t>
      </w:r>
      <w:r w:rsidR="00F7291A">
        <w:rPr>
          <w:rFonts w:ascii="Times New Roman" w:hAnsi="Times New Roman"/>
          <w:sz w:val="24"/>
          <w:szCs w:val="24"/>
          <w:lang w:eastAsia="sk-SK"/>
        </w:rPr>
        <w:t> </w:t>
      </w:r>
      <w:r w:rsidRPr="005D78D0">
        <w:rPr>
          <w:rFonts w:ascii="Times New Roman" w:hAnsi="Times New Roman"/>
          <w:sz w:val="24"/>
          <w:szCs w:val="24"/>
          <w:lang w:eastAsia="sk-SK"/>
        </w:rPr>
        <w:t>inou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nehnuteľnosťou. Stanovenie všeobecnej hodnoty majetku</w:t>
      </w:r>
      <w:r w:rsidRPr="00DC7308">
        <w:rPr>
          <w:rFonts w:ascii="Times New Roman" w:hAnsi="Times New Roman"/>
          <w:sz w:val="24"/>
          <w:szCs w:val="24"/>
          <w:vertAlign w:val="superscript"/>
          <w:lang w:eastAsia="sk-SK"/>
        </w:rPr>
        <w:t>19c)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 vyššieho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územného celku pri priamom predaji nesmie byť v deň schválenia prevodu</w:t>
      </w:r>
      <w:r w:rsidR="00F729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zastupiteľstvom staršie ako šesť mesiacov. </w:t>
      </w:r>
    </w:p>
    <w:p w14:paraId="4689E03F" w14:textId="37F40B80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lastRenderedPageBreak/>
        <w:t>(11) Cenové ponuky na odkúpenie majetku vyššieho územného celku sa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doručujú cez elektronickú schránku</w:t>
      </w:r>
      <w:r w:rsidRPr="00DC7308">
        <w:rPr>
          <w:rFonts w:ascii="Times New Roman" w:hAnsi="Times New Roman"/>
          <w:sz w:val="24"/>
          <w:szCs w:val="24"/>
          <w:vertAlign w:val="superscript"/>
          <w:lang w:eastAsia="sk-SK"/>
        </w:rPr>
        <w:t>19ca)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 alebo v listinnej podobe, ak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záujemca nemá aktivovanú elektronickú schránku. Cenové ponuky všetkých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záujemcov na odkúpenie majetku vyššieho územného celku priamym predajom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je vyšší územný celok povinný zverejniť do 10 pracovných dní od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uplynutia lehoty na doručovanie cenových ponúk, po dobu minimálne 30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dní, na úradnej tabuli a na webovom sídle vyššieho územného celku. </w:t>
      </w:r>
    </w:p>
    <w:p w14:paraId="570CA88F" w14:textId="197AAE45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(12) Vyšší územný celok prevedie majetok vyššieho územného celku priamym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predajom záujemcovi, ktorý ponúkne najvyššiu cenu.“. </w:t>
      </w:r>
    </w:p>
    <w:p w14:paraId="14FB9740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Poznámka pod čiarou k odkazu 19ca znie: </w:t>
      </w:r>
    </w:p>
    <w:p w14:paraId="4E74E8F9" w14:textId="216DD084" w:rsid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„19ca) Napríklad zákon č. 305/2013 Z. z. o elektronickej podobe výkonu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pôsobnosti orgánov verejnej moci a o zmene a doplnení niektorých zákonov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(zákon o e-</w:t>
      </w:r>
      <w:proofErr w:type="spellStart"/>
      <w:r w:rsidRPr="005D78D0">
        <w:rPr>
          <w:rFonts w:ascii="Times New Roman" w:hAnsi="Times New Roman"/>
          <w:sz w:val="24"/>
          <w:szCs w:val="24"/>
          <w:lang w:eastAsia="sk-SK"/>
        </w:rPr>
        <w:t>Governmente</w:t>
      </w:r>
      <w:proofErr w:type="spellEnd"/>
      <w:r w:rsidRPr="005D78D0">
        <w:rPr>
          <w:rFonts w:ascii="Times New Roman" w:hAnsi="Times New Roman"/>
          <w:sz w:val="24"/>
          <w:szCs w:val="24"/>
          <w:lang w:eastAsia="sk-SK"/>
        </w:rPr>
        <w:t xml:space="preserve">) v znení neskorších predpisov.“. </w:t>
      </w:r>
    </w:p>
    <w:p w14:paraId="0CE526EE" w14:textId="77777777" w:rsidR="00DC7308" w:rsidRPr="005D78D0" w:rsidRDefault="00DC7308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20F6337" w14:textId="7F2A3C80" w:rsidR="005D78D0" w:rsidRPr="00DC7308" w:rsidRDefault="005D78D0" w:rsidP="00DC7308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C7308">
        <w:rPr>
          <w:rFonts w:ascii="Times New Roman" w:hAnsi="Times New Roman"/>
          <w:sz w:val="24"/>
          <w:szCs w:val="24"/>
          <w:lang w:eastAsia="sk-SK"/>
        </w:rPr>
        <w:t xml:space="preserve">§ 9a sa dopĺňa odsekmi 13 až 16, ktoré znejú: </w:t>
      </w:r>
    </w:p>
    <w:p w14:paraId="6BB10627" w14:textId="77C4A2A7" w:rsidR="005D78D0" w:rsidRPr="005D78D0" w:rsidRDefault="00DC7308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78D0" w:rsidRPr="005D78D0">
        <w:rPr>
          <w:rFonts w:ascii="Times New Roman" w:hAnsi="Times New Roman"/>
          <w:sz w:val="24"/>
          <w:szCs w:val="24"/>
          <w:lang w:eastAsia="sk-SK"/>
        </w:rPr>
        <w:t>„(13) Vyšší územný celok nemôže previesť vlastníctvo svojho majetku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78D0" w:rsidRPr="005D78D0">
        <w:rPr>
          <w:rFonts w:ascii="Times New Roman" w:hAnsi="Times New Roman"/>
          <w:sz w:val="24"/>
          <w:szCs w:val="24"/>
          <w:lang w:eastAsia="sk-SK"/>
        </w:rPr>
        <w:t xml:space="preserve">priamym predajom na fyzickú osobu, ktorá je v tomto vyššom územnom celku </w:t>
      </w:r>
    </w:p>
    <w:p w14:paraId="0145FAC3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a) predsedom vyššieho územného celku, </w:t>
      </w:r>
    </w:p>
    <w:p w14:paraId="74B1B03A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b) poslancom zastupiteľstva, </w:t>
      </w:r>
    </w:p>
    <w:p w14:paraId="469E0F91" w14:textId="2C140879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c) štatutárnym orgánom alebo členom štatutárneho orgánu právnickej osoby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zriadenej alebo založenej vyšším územným celkom, </w:t>
      </w:r>
    </w:p>
    <w:p w14:paraId="38C80126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d) riaditeľom úradu vyššieho územného celku, </w:t>
      </w:r>
    </w:p>
    <w:p w14:paraId="6BE0CF9E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e) zamestnancom vyššieho územného celku, </w:t>
      </w:r>
    </w:p>
    <w:p w14:paraId="2A89BECF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f) hlavným kontrolórom vyššieho územného celku, </w:t>
      </w:r>
    </w:p>
    <w:p w14:paraId="0169DFF2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g) blízkou osobou19d) osôb uvedených v písmenách a) až f). </w:t>
      </w:r>
    </w:p>
    <w:p w14:paraId="1BE93F07" w14:textId="77777777" w:rsidR="00342218" w:rsidRDefault="00342218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A44D5E9" w14:textId="5E23AF3B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(14) Vyšší územný celok nemôže previesť vlastníctvo svojho majetku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priamym predajom na právnickú osobu, v ktorej zakladateľom, vlastníkom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obchodného podielu, štatutárnym orgánom alebo členom štatutárneho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orgánu, členom riadiaceho, výkonného alebo dozorného orgánu je osoba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uvedená v odseku 13; to neplatí, ak ide o právnickú osobu, v ktorej má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vyšší územný celok väčšinový obchodný podiel. </w:t>
      </w:r>
    </w:p>
    <w:p w14:paraId="0C256EC2" w14:textId="45A1410C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(15) Vyšší územný celok nie je povinný vykonať obchodnú verejnú súťaž,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dražbu a ani priamy predaj pri prevode </w:t>
      </w:r>
    </w:p>
    <w:p w14:paraId="4772E3FD" w14:textId="1E2EB4A2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a) nehnuteľného majetku, ktorý je vyšší územný celok povinný previesť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podľa osobitného predpisu1aa) alebo ktorým sa realizuje právo na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prednostný prevod podľa osobitného predpisu,1aa) </w:t>
      </w:r>
    </w:p>
    <w:p w14:paraId="34A81522" w14:textId="6F5436BE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b) pozemku zastavaného stavbou vo vlastníctve nadobúdateľa vrátane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priľahlej plochy, ktorá svojím umiestnením a využitím tvorí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neoddeliteľný celok so stavbou, </w:t>
      </w:r>
    </w:p>
    <w:p w14:paraId="3454F81B" w14:textId="7CFCA1B6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c) podielu majetku vyššieho územného celku, ktorým sa realizuje zákonné</w:t>
      </w:r>
      <w:r w:rsidR="00DC73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predkupné právo,</w:t>
      </w:r>
      <w:r w:rsidRPr="00DC7308">
        <w:rPr>
          <w:rFonts w:ascii="Times New Roman" w:hAnsi="Times New Roman"/>
          <w:sz w:val="24"/>
          <w:szCs w:val="24"/>
          <w:vertAlign w:val="superscript"/>
          <w:lang w:eastAsia="sk-SK"/>
        </w:rPr>
        <w:t>19f)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3ABEE3CC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d) hnuteľnej veci, ktorej zostatková cena je nižšia ako 5 000 eur, </w:t>
      </w:r>
    </w:p>
    <w:p w14:paraId="57028DEE" w14:textId="7FBAA8F9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e) nehnuteľného majetku vyššieho územného celku do vlastníctva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registrovaného sociálneho podniku ako formy investičnej pomoci, </w:t>
      </w:r>
      <w:r w:rsidRPr="00342218">
        <w:rPr>
          <w:rFonts w:ascii="Times New Roman" w:hAnsi="Times New Roman"/>
          <w:sz w:val="24"/>
          <w:szCs w:val="24"/>
          <w:vertAlign w:val="superscript"/>
          <w:lang w:eastAsia="sk-SK"/>
        </w:rPr>
        <w:t>19fa)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7D7684F5" w14:textId="4BD7C6CD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lastRenderedPageBreak/>
        <w:t>f) majetku vyššieho územného celku z dôvodu hodného osobitného zreteľa,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o ktorom zastupiteľstvo rozhodne trojpätinovou väčšinou všetkých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poslancov, ak sú splnené tieto podmienky: </w:t>
      </w:r>
    </w:p>
    <w:p w14:paraId="301AF2E1" w14:textId="184D953B" w:rsidR="005D78D0" w:rsidRPr="00342218" w:rsidRDefault="005D78D0" w:rsidP="00567FB4">
      <w:pPr>
        <w:pStyle w:val="Odsekzoznamu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42218">
        <w:rPr>
          <w:rFonts w:ascii="Times New Roman" w:hAnsi="Times New Roman"/>
          <w:sz w:val="24"/>
          <w:szCs w:val="24"/>
          <w:lang w:eastAsia="sk-SK"/>
        </w:rPr>
        <w:t>zámer previesť majetok vyššieho územného celku týmto spôsobom a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všeobecnú hodnotu prevádzaného majetku vyššieho územného celku zverejní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na úradnej tabuli, na svojom webovom sídle a iným vhodným spôsobom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najmenej 15 dní pred schvaľovaním prevodu a tieto údaje sú zverejnené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 xml:space="preserve">najmenej do schválenia prevodu, </w:t>
      </w:r>
    </w:p>
    <w:p w14:paraId="1BD31509" w14:textId="5AC22AD5" w:rsidR="005D78D0" w:rsidRPr="00342218" w:rsidRDefault="005D78D0" w:rsidP="00BF113F">
      <w:pPr>
        <w:pStyle w:val="Odsekzoznamu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42218">
        <w:rPr>
          <w:rFonts w:ascii="Times New Roman" w:hAnsi="Times New Roman"/>
          <w:sz w:val="24"/>
          <w:szCs w:val="24"/>
          <w:lang w:eastAsia="sk-SK"/>
        </w:rPr>
        <w:t>osobitný zreteľ je zdôvodnený v súlade so zásadami hospodárenia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 xml:space="preserve">s majetkom vyššieho územného celku a </w:t>
      </w:r>
    </w:p>
    <w:p w14:paraId="61F394E3" w14:textId="41A06116" w:rsidR="005D78D0" w:rsidRPr="00342218" w:rsidRDefault="005D78D0" w:rsidP="000365F4">
      <w:pPr>
        <w:pStyle w:val="Odsekzoznamu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42218">
        <w:rPr>
          <w:rFonts w:ascii="Times New Roman" w:hAnsi="Times New Roman"/>
          <w:sz w:val="24"/>
          <w:szCs w:val="24"/>
          <w:lang w:eastAsia="sk-SK"/>
        </w:rPr>
        <w:t>všeobecná hodnota prevádzaného majetku je stanovená znaleckým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posudkom,</w:t>
      </w:r>
      <w:r w:rsidRPr="00342218">
        <w:rPr>
          <w:rFonts w:ascii="Times New Roman" w:hAnsi="Times New Roman"/>
          <w:sz w:val="24"/>
          <w:szCs w:val="24"/>
          <w:vertAlign w:val="superscript"/>
          <w:lang w:eastAsia="sk-SK"/>
        </w:rPr>
        <w:t>19c)</w:t>
      </w:r>
      <w:r w:rsidRPr="00342218">
        <w:rPr>
          <w:rFonts w:ascii="Times New Roman" w:hAnsi="Times New Roman"/>
          <w:sz w:val="24"/>
          <w:szCs w:val="24"/>
          <w:lang w:eastAsia="sk-SK"/>
        </w:rPr>
        <w:t xml:space="preserve"> ktorý v deň schválenia prevodu nie je starší ako deväť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mesiacov; stanovenie všeobecnej hodnoty prevádzaného majetku znaleckým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posudkom sa nevyžaduje, ak hodnota majetku vyššieho územného celku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 xml:space="preserve">neprevyšuje </w:t>
      </w:r>
      <w:r w:rsidR="00342218" w:rsidRPr="00D1167D">
        <w:rPr>
          <w:rFonts w:ascii="Times New Roman" w:hAnsi="Times New Roman"/>
          <w:sz w:val="24"/>
          <w:szCs w:val="24"/>
          <w:lang w:eastAsia="sk-SK"/>
        </w:rPr>
        <w:t>15 000</w:t>
      </w:r>
      <w:r w:rsidRPr="00342218">
        <w:rPr>
          <w:rFonts w:ascii="Times New Roman" w:hAnsi="Times New Roman"/>
          <w:sz w:val="24"/>
          <w:szCs w:val="24"/>
          <w:lang w:eastAsia="sk-SK"/>
        </w:rPr>
        <w:t xml:space="preserve"> eur na základe preukázateľného porovnania s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> </w:t>
      </w:r>
      <w:r w:rsidRPr="00342218">
        <w:rPr>
          <w:rFonts w:ascii="Times New Roman" w:hAnsi="Times New Roman"/>
          <w:sz w:val="24"/>
          <w:szCs w:val="24"/>
          <w:lang w:eastAsia="sk-SK"/>
        </w:rPr>
        <w:t>obdobným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majetkom vyššieho územného celku alebo inou verejne dostupnou ponukou na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 xml:space="preserve">predaj obdobnej veci. </w:t>
      </w:r>
    </w:p>
    <w:p w14:paraId="7B3544E8" w14:textId="1C059A91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(16) Pri prevode majetku vyššieho územného celku podľa odseku 15 je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vyšší územný celok povinný dohodnúť kúpnu cenu najmenej vo výške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všeobecnej hodnoty majetku,19c) okrem prevodu majetku vyššieho územného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celku podľa odseku 15 písm. e) a f), kedy je vyšší územný celok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oprávnený dohodnúť nižšiu kúpnu cenu než je všeobecná hodnota majetku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alebo hodnota majetku vyššieho územného celku zistená na základe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porovnateľného porovnania podľa odseku 15 písm. f) tretieho bodu. Pri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prevode majetku vyššieho územného celku podľa odseku 15 sa ustanovenia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odsekov 13 a 14 nepoužijú.“. </w:t>
      </w:r>
    </w:p>
    <w:p w14:paraId="5D788BBA" w14:textId="0D503284" w:rsidR="005D78D0" w:rsidRPr="00342218" w:rsidRDefault="005D78D0" w:rsidP="00342218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42218">
        <w:rPr>
          <w:rFonts w:ascii="Times New Roman" w:hAnsi="Times New Roman"/>
          <w:sz w:val="24"/>
          <w:szCs w:val="24"/>
          <w:lang w:eastAsia="sk-SK"/>
        </w:rPr>
        <w:t xml:space="preserve">Za § 9a sa vkladajú § 9aa a 9ab, ktoré znejú: </w:t>
      </w:r>
    </w:p>
    <w:p w14:paraId="1B208BA3" w14:textId="7F2B63D7" w:rsidR="005D78D0" w:rsidRPr="00D1167D" w:rsidRDefault="005D78D0" w:rsidP="00D1167D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1167D">
        <w:rPr>
          <w:rFonts w:ascii="Times New Roman" w:hAnsi="Times New Roman"/>
          <w:b/>
          <w:bCs/>
          <w:sz w:val="24"/>
          <w:szCs w:val="24"/>
          <w:lang w:eastAsia="sk-SK"/>
        </w:rPr>
        <w:t>„§ 9aa</w:t>
      </w:r>
    </w:p>
    <w:p w14:paraId="2A9ED7A0" w14:textId="2412A66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(1) Ak tento alebo osobitný predpis19g) neustanovuje inak, ustanovenia §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9a ods. 1 až 8 a 10 až 14 je vyšší územný celok povinný primerane použiť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aj pri prenechávaní majetku vyššieho územného celku do nájmu. </w:t>
      </w:r>
    </w:p>
    <w:p w14:paraId="12BB1264" w14:textId="7777777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(2) Ustanovenie odseku 1 sa nepoužije pri nájme </w:t>
      </w:r>
    </w:p>
    <w:p w14:paraId="1411596D" w14:textId="1371E9AF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a) hnuteľnej veci vo vlastníctve vyššieho územného celku, ktorej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zostatková cena je nižšia ako 3 500 eur, </w:t>
      </w:r>
    </w:p>
    <w:p w14:paraId="3EF78607" w14:textId="75EC7656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b) majetku vyššieho územného celku, ktorého trvanie s tým istým nájomcom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neprekročí desať dní v kalendárnom mesiaci, </w:t>
      </w:r>
    </w:p>
    <w:p w14:paraId="258CDC8E" w14:textId="7F0983A4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c) majetku vyššieho územného celku, ak úhrn súm nájomného počas celej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doby nájmu nepresiahne 20 000 eur, </w:t>
      </w:r>
    </w:p>
    <w:p w14:paraId="218B4D05" w14:textId="0B53BDAF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d) nehnuteľného majetku vyššieho územného celku registrovanému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sociálnemu podniku ako formy investičnej pomoci,</w:t>
      </w:r>
      <w:r w:rsidRPr="00342218">
        <w:rPr>
          <w:rFonts w:ascii="Times New Roman" w:hAnsi="Times New Roman"/>
          <w:sz w:val="24"/>
          <w:szCs w:val="24"/>
          <w:vertAlign w:val="superscript"/>
          <w:lang w:eastAsia="sk-SK"/>
        </w:rPr>
        <w:t>19fa)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66590A29" w14:textId="731B5C57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e) majetku vyššieho územného celku z dôvodu hodného osobitného zreteľa,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o ktorom zastupiteľstvo rozhodne trojpätinovou väčšinou všetkých</w:t>
      </w:r>
      <w:r w:rsid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poslancov, ak sú splnené tieto podmienky: </w:t>
      </w:r>
    </w:p>
    <w:p w14:paraId="4F1C906F" w14:textId="60EDA466" w:rsidR="005D78D0" w:rsidRPr="00342218" w:rsidRDefault="005D78D0" w:rsidP="008B73B7">
      <w:pPr>
        <w:pStyle w:val="Odsekzoznamu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42218">
        <w:rPr>
          <w:rFonts w:ascii="Times New Roman" w:hAnsi="Times New Roman"/>
          <w:sz w:val="24"/>
          <w:szCs w:val="24"/>
          <w:lang w:eastAsia="sk-SK"/>
        </w:rPr>
        <w:t>zámer prenajať majetok vyššieho územného celku týmto spôsobom a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všeobecnú hodnotu nájomného vyšší územný celok zverejní na úradnej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tabuli, na svojom webovom sídle a iným vhodným spôsobom najmenej 15 dní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pred schvaľovaním nájmu a tieto údaje sú zverejnené najmenej do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 xml:space="preserve">schválenia nájmu, </w:t>
      </w:r>
    </w:p>
    <w:p w14:paraId="7741EC32" w14:textId="70DCE34E" w:rsidR="005D78D0" w:rsidRPr="00342218" w:rsidRDefault="005D78D0" w:rsidP="009871FD">
      <w:pPr>
        <w:pStyle w:val="Odsekzoznamu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42218">
        <w:rPr>
          <w:rFonts w:ascii="Times New Roman" w:hAnsi="Times New Roman"/>
          <w:sz w:val="24"/>
          <w:szCs w:val="24"/>
          <w:lang w:eastAsia="sk-SK"/>
        </w:rPr>
        <w:t>osobitný zreteľ je zdôvodnený v súlade so zásadami hospodárenia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 xml:space="preserve">s majetkom vyššieho územného celku a </w:t>
      </w:r>
    </w:p>
    <w:p w14:paraId="36033D4F" w14:textId="2996291A" w:rsidR="005D78D0" w:rsidRPr="00342218" w:rsidRDefault="005D78D0" w:rsidP="00E86859">
      <w:pPr>
        <w:pStyle w:val="Odsekzoznamu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42218">
        <w:rPr>
          <w:rFonts w:ascii="Times New Roman" w:hAnsi="Times New Roman"/>
          <w:sz w:val="24"/>
          <w:szCs w:val="24"/>
          <w:lang w:eastAsia="sk-SK"/>
        </w:rPr>
        <w:lastRenderedPageBreak/>
        <w:t>všeobecná hodnota nájomného je stanovená znaleckým posudkom,</w:t>
      </w:r>
      <w:r w:rsidRPr="00342218">
        <w:rPr>
          <w:rFonts w:ascii="Times New Roman" w:hAnsi="Times New Roman"/>
          <w:sz w:val="24"/>
          <w:szCs w:val="24"/>
          <w:vertAlign w:val="superscript"/>
          <w:lang w:eastAsia="sk-SK"/>
        </w:rPr>
        <w:t>19c)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ktorý v deň schvaľovania nájmu nie je starší ako deväť mesiacov;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stanovenie všeobecnej hodnoty nájomného znaleckým posudkom sa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>nevyžaduje, ak hodnota nájomného v úhrne za celé obdobie nájmu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1167D">
        <w:rPr>
          <w:rFonts w:ascii="Times New Roman" w:hAnsi="Times New Roman"/>
          <w:sz w:val="24"/>
          <w:szCs w:val="24"/>
          <w:lang w:eastAsia="sk-SK"/>
        </w:rPr>
        <w:t xml:space="preserve">neprevyšuje </w:t>
      </w:r>
      <w:r w:rsidR="00342218" w:rsidRPr="00D1167D">
        <w:rPr>
          <w:rFonts w:ascii="Times New Roman" w:hAnsi="Times New Roman"/>
          <w:sz w:val="24"/>
          <w:szCs w:val="24"/>
          <w:lang w:eastAsia="sk-SK"/>
        </w:rPr>
        <w:t>50 000</w:t>
      </w:r>
      <w:r w:rsidRPr="00342218">
        <w:rPr>
          <w:rFonts w:ascii="Times New Roman" w:hAnsi="Times New Roman"/>
          <w:sz w:val="24"/>
          <w:szCs w:val="24"/>
          <w:lang w:eastAsia="sk-SK"/>
        </w:rPr>
        <w:t xml:space="preserve"> eur na základe preukázateľného porovnania s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> </w:t>
      </w:r>
      <w:r w:rsidRPr="00342218">
        <w:rPr>
          <w:rFonts w:ascii="Times New Roman" w:hAnsi="Times New Roman"/>
          <w:sz w:val="24"/>
          <w:szCs w:val="24"/>
          <w:lang w:eastAsia="sk-SK"/>
        </w:rPr>
        <w:t>obdobným</w:t>
      </w:r>
      <w:r w:rsidR="00342218" w:rsidRPr="003422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42218">
        <w:rPr>
          <w:rFonts w:ascii="Times New Roman" w:hAnsi="Times New Roman"/>
          <w:sz w:val="24"/>
          <w:szCs w:val="24"/>
          <w:lang w:eastAsia="sk-SK"/>
        </w:rPr>
        <w:t xml:space="preserve">nájmom alebo inou verejne dostupnou ponukou na nájom obdobnej veci. </w:t>
      </w:r>
    </w:p>
    <w:p w14:paraId="3DF53B14" w14:textId="35D7AF80" w:rsidR="005D78D0" w:rsidRPr="005D78D0" w:rsidRDefault="00342218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78D0" w:rsidRPr="005D78D0">
        <w:rPr>
          <w:rFonts w:ascii="Times New Roman" w:hAnsi="Times New Roman"/>
          <w:sz w:val="24"/>
          <w:szCs w:val="24"/>
          <w:lang w:eastAsia="sk-SK"/>
        </w:rPr>
        <w:t>(3) Vyšší územný celok je povinný prenechať majetok  vyššieho územného</w:t>
      </w:r>
      <w:r w:rsidR="00AF381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78D0" w:rsidRPr="005D78D0">
        <w:rPr>
          <w:rFonts w:ascii="Times New Roman" w:hAnsi="Times New Roman"/>
          <w:sz w:val="24"/>
          <w:szCs w:val="24"/>
          <w:lang w:eastAsia="sk-SK"/>
        </w:rPr>
        <w:t>celku do nájmu najmenej za také nájomné, za aké sa v tom čase a na tom</w:t>
      </w:r>
      <w:r w:rsidR="00AF381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78D0" w:rsidRPr="005D78D0">
        <w:rPr>
          <w:rFonts w:ascii="Times New Roman" w:hAnsi="Times New Roman"/>
          <w:sz w:val="24"/>
          <w:szCs w:val="24"/>
          <w:lang w:eastAsia="sk-SK"/>
        </w:rPr>
        <w:t>mieste obvykle prenechávajú do nájmu na dohodnutý účel veci toho istého</w:t>
      </w:r>
      <w:r w:rsidR="00AF381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78D0" w:rsidRPr="005D78D0">
        <w:rPr>
          <w:rFonts w:ascii="Times New Roman" w:hAnsi="Times New Roman"/>
          <w:sz w:val="24"/>
          <w:szCs w:val="24"/>
          <w:lang w:eastAsia="sk-SK"/>
        </w:rPr>
        <w:t>druhu alebo porovnateľné veci; to neplatí pri nájme majetku vyššieho</w:t>
      </w:r>
      <w:r w:rsidR="00AF381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78D0" w:rsidRPr="005D78D0">
        <w:rPr>
          <w:rFonts w:ascii="Times New Roman" w:hAnsi="Times New Roman"/>
          <w:sz w:val="24"/>
          <w:szCs w:val="24"/>
          <w:lang w:eastAsia="sk-SK"/>
        </w:rPr>
        <w:t>územného celku podľa odseku 2 písm. d) a e), kedy vyšší územný celok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78D0" w:rsidRPr="005D78D0">
        <w:rPr>
          <w:rFonts w:ascii="Times New Roman" w:hAnsi="Times New Roman"/>
          <w:sz w:val="24"/>
          <w:szCs w:val="24"/>
          <w:lang w:eastAsia="sk-SK"/>
        </w:rPr>
        <w:t>môže prenechať svoj majetok do nájmu aj za nižšie nájomné než je hodnota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78D0" w:rsidRPr="005D78D0">
        <w:rPr>
          <w:rFonts w:ascii="Times New Roman" w:hAnsi="Times New Roman"/>
          <w:sz w:val="24"/>
          <w:szCs w:val="24"/>
          <w:lang w:eastAsia="sk-SK"/>
        </w:rPr>
        <w:t>nájomného zistená na základe porovnania alebo všeobecná hodnota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78D0" w:rsidRPr="005D78D0">
        <w:rPr>
          <w:rFonts w:ascii="Times New Roman" w:hAnsi="Times New Roman"/>
          <w:sz w:val="24"/>
          <w:szCs w:val="24"/>
          <w:lang w:eastAsia="sk-SK"/>
        </w:rPr>
        <w:t xml:space="preserve">nájomného. </w:t>
      </w:r>
    </w:p>
    <w:p w14:paraId="17240D2A" w14:textId="2F42A80B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(4) Hodnota nájomného na účely odseku 2 písm. c) a e) sa určí ako úhrn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plnení poskytovaných vyššiemu územnému celku počas celej doby nájmu,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pričom </w:t>
      </w:r>
    </w:p>
    <w:p w14:paraId="3A9D2F40" w14:textId="3D250B62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a) hodnota nájomného sa zaratúva bez dane z pridanej hodnoty, ak sa táto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uplatňuje, </w:t>
      </w:r>
    </w:p>
    <w:p w14:paraId="2DA603B8" w14:textId="7DA55313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b) hodnota nájomného prijímaná spoluvlastníkmi predmetu nájmu sa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rozpočítava podľa veľkosti ich podielov; ak veľkosti podielov nie sú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určené alebo ich nemožno určiť, považujú sa za rovnaké, </w:t>
      </w:r>
    </w:p>
    <w:p w14:paraId="1D3CC472" w14:textId="6D880D42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c) prijímané hodnoty nájomného na základe viacerých zmlúv sa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nesčítavajú, </w:t>
      </w:r>
    </w:p>
    <w:p w14:paraId="72C93291" w14:textId="7A8E3790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d) do hodnoty nájomného sa zaratúva aj predĺženie trvania zmluvy na dobu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určitú, ak  nájomná zmluva umožňuje jednostranné predĺženie jej trvania, </w:t>
      </w:r>
    </w:p>
    <w:p w14:paraId="1766F0C2" w14:textId="5A5CA7BB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e) pri nájme na dobu neurčitú sa predpokladá, že nájom je uzatvorený na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dobu 10 rokov, </w:t>
      </w:r>
    </w:p>
    <w:p w14:paraId="1FBD53DA" w14:textId="7E1634DD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f) zmluvné sankcie a náklady spojené s užívaním majetku vyššieho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územného celku sa nezohľadňujú, </w:t>
      </w:r>
    </w:p>
    <w:p w14:paraId="58C1A3C8" w14:textId="0391A24D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g) sa predpokladá, že bude poskytnutá najvyššia možná hodnota plnenia z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nájomnej zmluvy. </w:t>
      </w:r>
    </w:p>
    <w:p w14:paraId="3C00878B" w14:textId="77777777" w:rsidR="00C61D7C" w:rsidRDefault="00C61D7C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DC2C5C3" w14:textId="309ABA44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(5) Ustanovenia odseku 4 sa na jednorazovo poskytnuté plnenie podľa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odseku 2 písm. c) a e) použijú rovnako. </w:t>
      </w:r>
    </w:p>
    <w:p w14:paraId="691AC2AE" w14:textId="3EA22FFC" w:rsidR="005D78D0" w:rsidRPr="00D1167D" w:rsidRDefault="005D78D0" w:rsidP="00D1167D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1167D">
        <w:rPr>
          <w:rFonts w:ascii="Times New Roman" w:hAnsi="Times New Roman"/>
          <w:b/>
          <w:bCs/>
          <w:sz w:val="24"/>
          <w:szCs w:val="24"/>
          <w:lang w:eastAsia="sk-SK"/>
        </w:rPr>
        <w:t>§ 9ab</w:t>
      </w:r>
    </w:p>
    <w:p w14:paraId="3F718F0E" w14:textId="3464A181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(1) Osobitné predpisy v oblasti štátnej pomoci nie sú týmto zákonom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dotknuté. </w:t>
      </w:r>
    </w:p>
    <w:p w14:paraId="167E4A2F" w14:textId="146F1AA6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(2) Pri nakladaní s cennými papiermi a majetkovými podielmi na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právnických osobách, dôsledkom ktorého je zmena vlastníctva, musí vyšší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územný celok postupovať podľa § 9a ods. 1 až 14, ak tento postup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nevylučuje osobitný predpis.</w:t>
      </w:r>
      <w:r w:rsidRPr="00C61D7C">
        <w:rPr>
          <w:rFonts w:ascii="Times New Roman" w:hAnsi="Times New Roman"/>
          <w:sz w:val="24"/>
          <w:szCs w:val="24"/>
          <w:vertAlign w:val="superscript"/>
          <w:lang w:eastAsia="sk-SK"/>
        </w:rPr>
        <w:t>1)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29B7F529" w14:textId="0144E48C" w:rsid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(3) Fyzická osoba a právnická osoba, na ktorú sa vzťahuje povinnosť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zapisovať sa do registra partnerov verejného sektora,</w:t>
      </w:r>
      <w:r w:rsidRPr="00C61D7C">
        <w:rPr>
          <w:rFonts w:ascii="Times New Roman" w:hAnsi="Times New Roman"/>
          <w:sz w:val="24"/>
          <w:szCs w:val="24"/>
          <w:vertAlign w:val="superscript"/>
          <w:lang w:eastAsia="sk-SK"/>
        </w:rPr>
        <w:t>19gb)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 môže byť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nadobúdateľom majetku vyššieho územného celku alebo užívateľom jeho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majetku podľa tohto zákona len vtedy, ak je zapísaná v</w:t>
      </w:r>
      <w:r w:rsidR="00C61D7C">
        <w:rPr>
          <w:rFonts w:ascii="Times New Roman" w:hAnsi="Times New Roman"/>
          <w:sz w:val="24"/>
          <w:szCs w:val="24"/>
          <w:lang w:eastAsia="sk-SK"/>
        </w:rPr>
        <w:t> </w:t>
      </w:r>
      <w:r w:rsidRPr="005D78D0">
        <w:rPr>
          <w:rFonts w:ascii="Times New Roman" w:hAnsi="Times New Roman"/>
          <w:sz w:val="24"/>
          <w:szCs w:val="24"/>
          <w:lang w:eastAsia="sk-SK"/>
        </w:rPr>
        <w:t>registri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partnerov verejného sektora.</w:t>
      </w:r>
      <w:r w:rsidRPr="00C61D7C">
        <w:rPr>
          <w:rFonts w:ascii="Times New Roman" w:hAnsi="Times New Roman"/>
          <w:sz w:val="24"/>
          <w:szCs w:val="24"/>
          <w:vertAlign w:val="superscript"/>
          <w:lang w:eastAsia="sk-SK"/>
        </w:rPr>
        <w:t>19gc)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 Splnenie podmienky podľa prvej vety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preukazuje v katastrálnom konaní vyšší územný celok.“. </w:t>
      </w:r>
    </w:p>
    <w:p w14:paraId="1E27EB93" w14:textId="10B64BE6" w:rsidR="005D78D0" w:rsidRPr="00C61D7C" w:rsidRDefault="005D78D0" w:rsidP="00C61D7C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61D7C">
        <w:rPr>
          <w:rFonts w:ascii="Times New Roman" w:hAnsi="Times New Roman"/>
          <w:sz w:val="24"/>
          <w:szCs w:val="24"/>
          <w:lang w:eastAsia="sk-SK"/>
        </w:rPr>
        <w:t xml:space="preserve">V § 9b odsek 1 znie: </w:t>
      </w:r>
    </w:p>
    <w:p w14:paraId="6E124CF9" w14:textId="3AE0289D" w:rsidR="005D78D0" w:rsidRPr="005D78D0" w:rsidRDefault="005D78D0" w:rsidP="005D78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78D0">
        <w:rPr>
          <w:rFonts w:ascii="Times New Roman" w:hAnsi="Times New Roman"/>
          <w:sz w:val="24"/>
          <w:szCs w:val="24"/>
          <w:lang w:eastAsia="sk-SK"/>
        </w:rPr>
        <w:t>„(1) Fyzická osoba, ktorá má trvalý pobyt v obci na území vyššieho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územného celku alebo vlastní na území vyššieho územného celku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nehnuteľnosť alebo osoba, ktorá má na veci právny záujem, sa môže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domáhať neplatnosti právneho úkonu alebo určenia vlastníctva vyššieho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územného celku k majetku, ktorý bol vyšším územným celkom prevedený na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>tretiu osobu, ak prevod majetku vyššieho územného celku nebol</w:t>
      </w:r>
      <w:r w:rsidR="00C61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D78D0">
        <w:rPr>
          <w:rFonts w:ascii="Times New Roman" w:hAnsi="Times New Roman"/>
          <w:sz w:val="24"/>
          <w:szCs w:val="24"/>
          <w:lang w:eastAsia="sk-SK"/>
        </w:rPr>
        <w:t xml:space="preserve">realizovaný  v súlade s § 9a a 9ab.“. </w:t>
      </w:r>
    </w:p>
    <w:p w14:paraId="027FF502" w14:textId="2AC9563B" w:rsidR="005D78D0" w:rsidRPr="00C61D7C" w:rsidRDefault="005D78D0" w:rsidP="00C61D7C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61D7C">
        <w:rPr>
          <w:rFonts w:ascii="Times New Roman" w:hAnsi="Times New Roman"/>
          <w:sz w:val="24"/>
          <w:szCs w:val="24"/>
          <w:lang w:eastAsia="sk-SK"/>
        </w:rPr>
        <w:lastRenderedPageBreak/>
        <w:t xml:space="preserve">V § 9d ods. 1 sa slová „§ 9a ods. 9“ nahrádzajú slovami „§ 9aa“. </w:t>
      </w:r>
    </w:p>
    <w:p w14:paraId="793E69FF" w14:textId="77777777" w:rsidR="00D1167D" w:rsidRDefault="00D1167D" w:rsidP="005D78D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C8DB5D" w14:textId="6F17A5BE" w:rsidR="00F82F07" w:rsidRPr="00495A22" w:rsidRDefault="00F82F07" w:rsidP="005D78D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Čl. II</w:t>
      </w:r>
    </w:p>
    <w:p w14:paraId="6AB11CF1" w14:textId="2324ACEA" w:rsidR="00F82F07" w:rsidRDefault="00331984" w:rsidP="003319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1984">
        <w:rPr>
          <w:rFonts w:ascii="Times New Roman" w:hAnsi="Times New Roman"/>
          <w:sz w:val="24"/>
          <w:szCs w:val="24"/>
          <w:shd w:val="clear" w:color="auto" w:fill="FFFFFF"/>
        </w:rPr>
        <w:t>Zákon č. 302/2001 Z. z. o samospráve vyšších územných celkov (zákon 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1984">
        <w:rPr>
          <w:rFonts w:ascii="Times New Roman" w:hAnsi="Times New Roman"/>
          <w:sz w:val="24"/>
          <w:szCs w:val="24"/>
          <w:shd w:val="clear" w:color="auto" w:fill="FFFFFF"/>
        </w:rPr>
        <w:t>samosprávnych krajoch) v znení zákona č. 445/2001 Z. z., zákona č.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1984">
        <w:rPr>
          <w:rFonts w:ascii="Times New Roman" w:hAnsi="Times New Roman"/>
          <w:sz w:val="24"/>
          <w:szCs w:val="24"/>
          <w:shd w:val="clear" w:color="auto" w:fill="FFFFFF"/>
        </w:rPr>
        <w:t>553/2003 Z. z., zákona č. 369/2004 Z. z., zákona č. 583/2004 Z. z.,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1984">
        <w:rPr>
          <w:rFonts w:ascii="Times New Roman" w:hAnsi="Times New Roman"/>
          <w:sz w:val="24"/>
          <w:szCs w:val="24"/>
          <w:shd w:val="clear" w:color="auto" w:fill="FFFFFF"/>
        </w:rPr>
        <w:t>zákona č. 615/2004 Z. z., zákona č. 628/2005 Z. z., zákona č. 16/2006 Z.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1984">
        <w:rPr>
          <w:rFonts w:ascii="Times New Roman" w:hAnsi="Times New Roman"/>
          <w:sz w:val="24"/>
          <w:szCs w:val="24"/>
          <w:shd w:val="clear" w:color="auto" w:fill="FFFFFF"/>
        </w:rPr>
        <w:t>z., zákona č. 330/2007 Z. z., zákona č. 334/2007 Z. z., zákona č.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1984">
        <w:rPr>
          <w:rFonts w:ascii="Times New Roman" w:hAnsi="Times New Roman"/>
          <w:sz w:val="24"/>
          <w:szCs w:val="24"/>
          <w:shd w:val="clear" w:color="auto" w:fill="FFFFFF"/>
        </w:rPr>
        <w:t>335/2007 Z. z., zákona č. 384/2008 Z. z., zákona č. 445/2008 Z. z.,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1984">
        <w:rPr>
          <w:rFonts w:ascii="Times New Roman" w:hAnsi="Times New Roman"/>
          <w:sz w:val="24"/>
          <w:szCs w:val="24"/>
          <w:shd w:val="clear" w:color="auto" w:fill="FFFFFF"/>
        </w:rPr>
        <w:t>zákona č. 361/2012 Z. z., zákona č. 32/2015 Z. z., zákona č. 61/2015 Z.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1984">
        <w:rPr>
          <w:rFonts w:ascii="Times New Roman" w:hAnsi="Times New Roman"/>
          <w:sz w:val="24"/>
          <w:szCs w:val="24"/>
          <w:shd w:val="clear" w:color="auto" w:fill="FFFFFF"/>
        </w:rPr>
        <w:t>z., zákona č. 125/2016 Z. z., zákona č. 69/2017 Z. z., zákona č.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1984">
        <w:rPr>
          <w:rFonts w:ascii="Times New Roman" w:hAnsi="Times New Roman"/>
          <w:sz w:val="24"/>
          <w:szCs w:val="24"/>
          <w:shd w:val="clear" w:color="auto" w:fill="FFFFFF"/>
        </w:rPr>
        <w:t>177/2018 Z. z., zákona č. 73/2020 Z. z. a zákona č. 345/2020 Z. z. sa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1984">
        <w:rPr>
          <w:rFonts w:ascii="Times New Roman" w:hAnsi="Times New Roman"/>
          <w:sz w:val="24"/>
          <w:szCs w:val="24"/>
          <w:shd w:val="clear" w:color="auto" w:fill="FFFFFF"/>
        </w:rPr>
        <w:t>mení a dopĺňa takto:</w:t>
      </w:r>
    </w:p>
    <w:p w14:paraId="6C175A9F" w14:textId="77777777" w:rsidR="00331984" w:rsidRPr="00495A22" w:rsidRDefault="00331984" w:rsidP="003319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A42E892" w14:textId="1CF8D8A5" w:rsidR="00963A87" w:rsidRDefault="00963A87" w:rsidP="00963A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63A87">
        <w:rPr>
          <w:rFonts w:ascii="Times New Roman" w:eastAsia="Calibri" w:hAnsi="Times New Roman"/>
          <w:sz w:val="24"/>
          <w:szCs w:val="24"/>
          <w:lang w:eastAsia="sk-SK"/>
        </w:rPr>
        <w:t xml:space="preserve">V § 19e ods. 1 sa za písmeno g) vkladá nové písmeno h), ktoré znie: </w:t>
      </w:r>
    </w:p>
    <w:p w14:paraId="119BFF7F" w14:textId="77777777" w:rsidR="00963A87" w:rsidRPr="00963A87" w:rsidRDefault="00963A87" w:rsidP="00963A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sk-SK"/>
        </w:rPr>
      </w:pPr>
    </w:p>
    <w:p w14:paraId="3B8B0144" w14:textId="0EADF2DD" w:rsidR="00963A87" w:rsidRPr="00963A87" w:rsidRDefault="00963A87" w:rsidP="00963A8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63A87">
        <w:rPr>
          <w:rFonts w:ascii="Times New Roman" w:eastAsia="Calibri" w:hAnsi="Times New Roman"/>
          <w:sz w:val="24"/>
          <w:szCs w:val="24"/>
          <w:lang w:eastAsia="sk-SK"/>
        </w:rPr>
        <w:t>„h) je povinný vykonať za predchádzajúci kalendárny rok kontrolu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Pr="00963A87">
        <w:rPr>
          <w:rFonts w:ascii="Times New Roman" w:eastAsia="Calibri" w:hAnsi="Times New Roman"/>
          <w:sz w:val="24"/>
          <w:szCs w:val="24"/>
          <w:lang w:eastAsia="sk-SK"/>
        </w:rPr>
        <w:t>prevodov nehnuteľného majetku vyššieho územného celku, ktorého všeobecná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Pr="00963A87">
        <w:rPr>
          <w:rFonts w:ascii="Times New Roman" w:eastAsia="Calibri" w:hAnsi="Times New Roman"/>
          <w:sz w:val="24"/>
          <w:szCs w:val="24"/>
          <w:lang w:eastAsia="sk-SK"/>
        </w:rPr>
        <w:t>hodnota majetku prevýšila 20 000 eur, a to do 60 dní od uplynutia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Pr="00963A87">
        <w:rPr>
          <w:rFonts w:ascii="Times New Roman" w:eastAsia="Calibri" w:hAnsi="Times New Roman"/>
          <w:sz w:val="24"/>
          <w:szCs w:val="24"/>
          <w:lang w:eastAsia="sk-SK"/>
        </w:rPr>
        <w:t>kalendárneho roka; vyšší územný celok zverejní výsledky tejto kontroly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Pr="00963A87">
        <w:rPr>
          <w:rFonts w:ascii="Times New Roman" w:eastAsia="Calibri" w:hAnsi="Times New Roman"/>
          <w:sz w:val="24"/>
          <w:szCs w:val="24"/>
          <w:lang w:eastAsia="sk-SK"/>
        </w:rPr>
        <w:t>do 30 dní po predložení správy o výsledkoch kontroly zastupiteľstvu na</w:t>
      </w:r>
      <w:r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Pr="00963A87">
        <w:rPr>
          <w:rFonts w:ascii="Times New Roman" w:eastAsia="Calibri" w:hAnsi="Times New Roman"/>
          <w:sz w:val="24"/>
          <w:szCs w:val="24"/>
          <w:lang w:eastAsia="sk-SK"/>
        </w:rPr>
        <w:t xml:space="preserve">svojej úradnej tabuli a na webovom sídle vyššieho územného celku,“. </w:t>
      </w:r>
    </w:p>
    <w:p w14:paraId="5EBC5808" w14:textId="77777777" w:rsidR="00963A87" w:rsidRPr="00963A87" w:rsidRDefault="00963A87" w:rsidP="00963A8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</w:p>
    <w:p w14:paraId="7FB53E83" w14:textId="7A8A0BEF" w:rsidR="00F34509" w:rsidRDefault="00963A87" w:rsidP="00D116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963A87">
        <w:rPr>
          <w:rFonts w:ascii="Times New Roman" w:eastAsia="Calibri" w:hAnsi="Times New Roman"/>
          <w:sz w:val="24"/>
          <w:szCs w:val="24"/>
          <w:lang w:eastAsia="sk-SK"/>
        </w:rPr>
        <w:t>Doterajšie písmeno h) sa označuje ako písmeno i).</w:t>
      </w:r>
    </w:p>
    <w:p w14:paraId="4047C540" w14:textId="77777777" w:rsidR="007F23CA" w:rsidRDefault="007F23CA" w:rsidP="00F345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CF527C" w14:textId="2AC0C4B9" w:rsidR="00F34509" w:rsidRPr="00495A22" w:rsidRDefault="00F34509" w:rsidP="00F345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Čl. I</w:t>
      </w:r>
      <w:r>
        <w:rPr>
          <w:rFonts w:ascii="Times New Roman" w:hAnsi="Times New Roman"/>
          <w:b/>
          <w:sz w:val="24"/>
          <w:szCs w:val="24"/>
        </w:rPr>
        <w:t>II</w:t>
      </w:r>
    </w:p>
    <w:p w14:paraId="46CF33D0" w14:textId="52E11AA3" w:rsidR="00080A2E" w:rsidRPr="00963A87" w:rsidRDefault="00963A87" w:rsidP="00D1167D">
      <w:pPr>
        <w:keepNext/>
        <w:autoSpaceDE w:val="0"/>
        <w:autoSpaceDN w:val="0"/>
        <w:adjustRightInd w:val="0"/>
        <w:spacing w:before="120" w:after="0"/>
        <w:ind w:firstLine="708"/>
        <w:rPr>
          <w:rFonts w:ascii="Times New Roman" w:hAnsi="Times New Roman"/>
          <w:sz w:val="24"/>
          <w:szCs w:val="24"/>
        </w:rPr>
      </w:pPr>
      <w:r w:rsidRPr="00963A87">
        <w:rPr>
          <w:rFonts w:ascii="Times New Roman" w:hAnsi="Times New Roman"/>
          <w:sz w:val="24"/>
          <w:szCs w:val="24"/>
        </w:rPr>
        <w:t>Tento zákon nadobúda účinnosť 1. novembra 2023.</w:t>
      </w:r>
    </w:p>
    <w:p w14:paraId="7D48C15D" w14:textId="6CF2EB77" w:rsidR="00080A2E" w:rsidRDefault="00080A2E" w:rsidP="00524EED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3E4028E5" w14:textId="6992622F" w:rsidR="00080A2E" w:rsidRDefault="00080A2E" w:rsidP="00524EED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2ABFB2FD" w14:textId="77777777" w:rsidR="00080A2E" w:rsidRDefault="00080A2E" w:rsidP="00524EED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1D37B26C" w14:textId="665ADBFC" w:rsidR="00080A2E" w:rsidRDefault="00080A2E" w:rsidP="00524EED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46B62DF6" w14:textId="0DBAE7D0" w:rsidR="007414D2" w:rsidRDefault="007414D2" w:rsidP="00524EED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565BD1E8" w14:textId="014719AF" w:rsidR="007414D2" w:rsidRDefault="007414D2" w:rsidP="00524EED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1FB0FFF4" w14:textId="77777777" w:rsidR="007414D2" w:rsidRDefault="007414D2" w:rsidP="00524EED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6545BE78" w14:textId="77777777" w:rsidR="00080A2E" w:rsidRDefault="00080A2E" w:rsidP="00524EED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080A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4075" w14:textId="77777777" w:rsidR="0080246A" w:rsidRDefault="0080246A">
      <w:pPr>
        <w:spacing w:after="0" w:line="240" w:lineRule="auto"/>
      </w:pPr>
      <w:r>
        <w:separator/>
      </w:r>
    </w:p>
  </w:endnote>
  <w:endnote w:type="continuationSeparator" w:id="0">
    <w:p w14:paraId="2878B10E" w14:textId="77777777" w:rsidR="0080246A" w:rsidRDefault="0080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EC36" w14:textId="77777777" w:rsidR="0080246A" w:rsidRDefault="0080246A">
      <w:pPr>
        <w:spacing w:after="0" w:line="240" w:lineRule="auto"/>
      </w:pPr>
      <w:r>
        <w:separator/>
      </w:r>
    </w:p>
  </w:footnote>
  <w:footnote w:type="continuationSeparator" w:id="0">
    <w:p w14:paraId="6C88CA65" w14:textId="77777777" w:rsidR="0080246A" w:rsidRDefault="0080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6DF9" w14:textId="77777777" w:rsidR="00675A62" w:rsidRDefault="00000000">
    <w:pPr>
      <w:pStyle w:val="Hlavika"/>
    </w:pPr>
  </w:p>
  <w:p w14:paraId="2283E4A4" w14:textId="77777777" w:rsidR="00675A62" w:rsidRDefault="00000000">
    <w:pPr>
      <w:pStyle w:val="Hlavika"/>
    </w:pPr>
  </w:p>
  <w:p w14:paraId="38E732BB" w14:textId="77777777" w:rsidR="00675A62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61C2"/>
    <w:multiLevelType w:val="hybridMultilevel"/>
    <w:tmpl w:val="FBFA3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337D"/>
    <w:multiLevelType w:val="hybridMultilevel"/>
    <w:tmpl w:val="8904D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2645"/>
    <w:multiLevelType w:val="hybridMultilevel"/>
    <w:tmpl w:val="FF143D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4927"/>
    <w:multiLevelType w:val="hybridMultilevel"/>
    <w:tmpl w:val="CBE22B3A"/>
    <w:lvl w:ilvl="0" w:tplc="2E66804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1C84"/>
    <w:multiLevelType w:val="hybridMultilevel"/>
    <w:tmpl w:val="58B6B696"/>
    <w:lvl w:ilvl="0" w:tplc="2E66804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55874"/>
    <w:multiLevelType w:val="hybridMultilevel"/>
    <w:tmpl w:val="509A9694"/>
    <w:lvl w:ilvl="0" w:tplc="2E66804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770D0"/>
    <w:multiLevelType w:val="hybridMultilevel"/>
    <w:tmpl w:val="5448B9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5EAE"/>
    <w:multiLevelType w:val="hybridMultilevel"/>
    <w:tmpl w:val="F96E73CA"/>
    <w:lvl w:ilvl="0" w:tplc="87006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54EE5"/>
    <w:multiLevelType w:val="hybridMultilevel"/>
    <w:tmpl w:val="CA105438"/>
    <w:lvl w:ilvl="0" w:tplc="2E66804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2531D"/>
    <w:multiLevelType w:val="hybridMultilevel"/>
    <w:tmpl w:val="AB4888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824B2"/>
    <w:multiLevelType w:val="hybridMultilevel"/>
    <w:tmpl w:val="D19831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2900">
    <w:abstractNumId w:val="0"/>
  </w:num>
  <w:num w:numId="2" w16cid:durableId="33776773">
    <w:abstractNumId w:val="7"/>
  </w:num>
  <w:num w:numId="3" w16cid:durableId="1000424323">
    <w:abstractNumId w:val="2"/>
  </w:num>
  <w:num w:numId="4" w16cid:durableId="657542455">
    <w:abstractNumId w:val="1"/>
  </w:num>
  <w:num w:numId="5" w16cid:durableId="1004213004">
    <w:abstractNumId w:val="10"/>
  </w:num>
  <w:num w:numId="6" w16cid:durableId="1397901259">
    <w:abstractNumId w:val="6"/>
  </w:num>
  <w:num w:numId="7" w16cid:durableId="2006862882">
    <w:abstractNumId w:val="9"/>
  </w:num>
  <w:num w:numId="8" w16cid:durableId="1766606849">
    <w:abstractNumId w:val="3"/>
  </w:num>
  <w:num w:numId="9" w16cid:durableId="1060590123">
    <w:abstractNumId w:val="4"/>
  </w:num>
  <w:num w:numId="10" w16cid:durableId="775447940">
    <w:abstractNumId w:val="8"/>
  </w:num>
  <w:num w:numId="11" w16cid:durableId="628441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C1"/>
    <w:rsid w:val="00004074"/>
    <w:rsid w:val="0002134E"/>
    <w:rsid w:val="00080A2E"/>
    <w:rsid w:val="000B0707"/>
    <w:rsid w:val="000B23AF"/>
    <w:rsid w:val="000D6DA5"/>
    <w:rsid w:val="000E3925"/>
    <w:rsid w:val="000F3A30"/>
    <w:rsid w:val="0010462B"/>
    <w:rsid w:val="00126D09"/>
    <w:rsid w:val="00131E2B"/>
    <w:rsid w:val="00193ADD"/>
    <w:rsid w:val="00226660"/>
    <w:rsid w:val="00246797"/>
    <w:rsid w:val="0026249F"/>
    <w:rsid w:val="00277BBB"/>
    <w:rsid w:val="00301C96"/>
    <w:rsid w:val="00331984"/>
    <w:rsid w:val="00334DE8"/>
    <w:rsid w:val="00341D75"/>
    <w:rsid w:val="00342218"/>
    <w:rsid w:val="00383054"/>
    <w:rsid w:val="003854CB"/>
    <w:rsid w:val="003E09EA"/>
    <w:rsid w:val="0040098E"/>
    <w:rsid w:val="004011F9"/>
    <w:rsid w:val="00410DC1"/>
    <w:rsid w:val="00431E19"/>
    <w:rsid w:val="0045088A"/>
    <w:rsid w:val="0046447A"/>
    <w:rsid w:val="00475068"/>
    <w:rsid w:val="00484432"/>
    <w:rsid w:val="004B4031"/>
    <w:rsid w:val="004B4E14"/>
    <w:rsid w:val="0051215D"/>
    <w:rsid w:val="00521447"/>
    <w:rsid w:val="00524EED"/>
    <w:rsid w:val="00563D31"/>
    <w:rsid w:val="00595624"/>
    <w:rsid w:val="00595FE6"/>
    <w:rsid w:val="005B6362"/>
    <w:rsid w:val="005D0FFE"/>
    <w:rsid w:val="005D5ECA"/>
    <w:rsid w:val="005D78D0"/>
    <w:rsid w:val="00663099"/>
    <w:rsid w:val="0066319C"/>
    <w:rsid w:val="006B1B51"/>
    <w:rsid w:val="006B3737"/>
    <w:rsid w:val="007414D2"/>
    <w:rsid w:val="007415AA"/>
    <w:rsid w:val="00751582"/>
    <w:rsid w:val="00786809"/>
    <w:rsid w:val="007B208F"/>
    <w:rsid w:val="007F23CA"/>
    <w:rsid w:val="0080246A"/>
    <w:rsid w:val="00805F05"/>
    <w:rsid w:val="0082011E"/>
    <w:rsid w:val="00855EC9"/>
    <w:rsid w:val="008D2F84"/>
    <w:rsid w:val="008E57FA"/>
    <w:rsid w:val="00911E65"/>
    <w:rsid w:val="009167CD"/>
    <w:rsid w:val="00963A87"/>
    <w:rsid w:val="009930C1"/>
    <w:rsid w:val="009C181D"/>
    <w:rsid w:val="00A548F1"/>
    <w:rsid w:val="00A61173"/>
    <w:rsid w:val="00A82690"/>
    <w:rsid w:val="00A83F6D"/>
    <w:rsid w:val="00A85D7D"/>
    <w:rsid w:val="00AF2FC2"/>
    <w:rsid w:val="00AF3817"/>
    <w:rsid w:val="00B71B40"/>
    <w:rsid w:val="00B75B41"/>
    <w:rsid w:val="00B7751F"/>
    <w:rsid w:val="00BA49A7"/>
    <w:rsid w:val="00BA693D"/>
    <w:rsid w:val="00BD6568"/>
    <w:rsid w:val="00BD7349"/>
    <w:rsid w:val="00BE5BD6"/>
    <w:rsid w:val="00BE6242"/>
    <w:rsid w:val="00C40AF5"/>
    <w:rsid w:val="00C51E18"/>
    <w:rsid w:val="00C61D7C"/>
    <w:rsid w:val="00C83074"/>
    <w:rsid w:val="00D11068"/>
    <w:rsid w:val="00D1167D"/>
    <w:rsid w:val="00D344D3"/>
    <w:rsid w:val="00D401F2"/>
    <w:rsid w:val="00D741DB"/>
    <w:rsid w:val="00D81413"/>
    <w:rsid w:val="00DC7308"/>
    <w:rsid w:val="00E47F6F"/>
    <w:rsid w:val="00E60F37"/>
    <w:rsid w:val="00E82249"/>
    <w:rsid w:val="00EA6970"/>
    <w:rsid w:val="00ED21C1"/>
    <w:rsid w:val="00F164C6"/>
    <w:rsid w:val="00F315ED"/>
    <w:rsid w:val="00F33B3A"/>
    <w:rsid w:val="00F34509"/>
    <w:rsid w:val="00F5412A"/>
    <w:rsid w:val="00F7291A"/>
    <w:rsid w:val="00F82F07"/>
    <w:rsid w:val="00FA1B31"/>
    <w:rsid w:val="00FA5D51"/>
    <w:rsid w:val="00FC2E06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DD86"/>
  <w15:chartTrackingRefBased/>
  <w15:docId w15:val="{C43BCFA0-6DDF-4BBC-94D8-F0DFE506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4EE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524EE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4EE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2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4EED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unhideWhenUsed/>
    <w:rsid w:val="00524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itle-doc-oj-reference">
    <w:name w:val="title-doc-oj-reference"/>
    <w:basedOn w:val="Normlny"/>
    <w:rsid w:val="00524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F82F07"/>
    <w:pPr>
      <w:ind w:left="720"/>
      <w:contextualSpacing/>
    </w:pPr>
    <w:rPr>
      <w:rFonts w:eastAsia="Calibri"/>
    </w:rPr>
  </w:style>
  <w:style w:type="character" w:styleId="Hypertextovprepojenie">
    <w:name w:val="Hyperlink"/>
    <w:basedOn w:val="Predvolenpsmoodseku"/>
    <w:uiPriority w:val="99"/>
    <w:unhideWhenUsed/>
    <w:rsid w:val="00F82F07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F82F07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F82F07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E60F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0F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0F37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0F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0F37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0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0F37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4679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5C7B-B55A-4FE5-8743-355A6FD5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3</cp:revision>
  <cp:lastPrinted>2023-03-23T15:37:00Z</cp:lastPrinted>
  <dcterms:created xsi:type="dcterms:W3CDTF">2023-04-09T19:56:00Z</dcterms:created>
  <dcterms:modified xsi:type="dcterms:W3CDTF">2023-04-14T11:42:00Z</dcterms:modified>
</cp:coreProperties>
</file>