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51DE" w14:textId="77777777" w:rsidR="00FD5E9A" w:rsidRPr="0003051F" w:rsidRDefault="00FD5E9A" w:rsidP="0003051F">
      <w:pPr>
        <w:spacing w:before="120" w:after="0" w:line="276" w:lineRule="auto"/>
        <w:jc w:val="center"/>
        <w:rPr>
          <w:rFonts w:ascii="Book Antiqua" w:hAnsi="Book Antiqua" w:cs="Times New Roman"/>
          <w:b/>
          <w:caps/>
        </w:rPr>
      </w:pPr>
      <w:bookmarkStart w:id="0" w:name="_GoBack"/>
      <w:bookmarkEnd w:id="0"/>
      <w:r w:rsidRPr="0003051F">
        <w:rPr>
          <w:rFonts w:ascii="Book Antiqua" w:hAnsi="Book Antiqua" w:cs="Times New Roman"/>
          <w:b/>
          <w:caps/>
        </w:rPr>
        <w:t>Dôvodová správa</w:t>
      </w:r>
    </w:p>
    <w:p w14:paraId="397070BD" w14:textId="77777777" w:rsidR="00FD5E9A" w:rsidRPr="0003051F" w:rsidRDefault="00FD5E9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9A1DA41" w14:textId="77777777" w:rsidR="00FD5E9A" w:rsidRPr="0003051F" w:rsidRDefault="00FD5E9A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>A. Všeobecná časť</w:t>
      </w:r>
    </w:p>
    <w:p w14:paraId="5378F4E7" w14:textId="03F89F30" w:rsidR="0003051F" w:rsidRPr="00EE47DB" w:rsidRDefault="00FD5E9A" w:rsidP="00EE47DB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EE47DB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</w:t>
      </w:r>
      <w:r w:rsidR="00EE47DB" w:rsidRPr="00EE47DB">
        <w:rPr>
          <w:rFonts w:ascii="Book Antiqua" w:hAnsi="Book Antiqua" w:cs="Times New Roman"/>
        </w:rPr>
        <w:t>eskorších predpisov</w:t>
      </w:r>
      <w:r w:rsidR="0003051F" w:rsidRPr="00EE47DB">
        <w:rPr>
          <w:rFonts w:ascii="Book Antiqua" w:hAnsi="Book Antiqua" w:cs="Times New Roman"/>
        </w:rPr>
        <w:t xml:space="preserve"> (ďalej len „návrh zákona“) predkladá</w:t>
      </w:r>
      <w:r w:rsidRPr="00EE47DB">
        <w:rPr>
          <w:rFonts w:ascii="Book Antiqua" w:hAnsi="Book Antiqua" w:cs="Times New Roman"/>
        </w:rPr>
        <w:t xml:space="preserve"> na rokovanie Národnej rady Slovenskej republiky </w:t>
      </w:r>
      <w:r w:rsidR="0003051F" w:rsidRPr="00EE47DB">
        <w:rPr>
          <w:rFonts w:ascii="Book Antiqua" w:hAnsi="Book Antiqua" w:cs="Times New Roman"/>
        </w:rPr>
        <w:t xml:space="preserve">skupina poslancov </w:t>
      </w:r>
      <w:r w:rsidRPr="00EE47DB">
        <w:rPr>
          <w:rFonts w:ascii="Book Antiqua" w:hAnsi="Book Antiqua" w:cs="Times New Roman"/>
        </w:rPr>
        <w:t>Národnej rady Slovenskej republiky</w:t>
      </w:r>
      <w:r w:rsidR="0003051F" w:rsidRPr="00EE47DB">
        <w:rPr>
          <w:rFonts w:ascii="Book Antiqua" w:hAnsi="Book Antiqua" w:cs="Times New Roman"/>
        </w:rPr>
        <w:t>.</w:t>
      </w:r>
    </w:p>
    <w:p w14:paraId="12DA4E3A" w14:textId="77777777" w:rsidR="00EE47DB" w:rsidRPr="00EE47DB" w:rsidRDefault="00EE47DB" w:rsidP="00EE47DB">
      <w:pPr>
        <w:spacing w:before="120" w:after="0" w:line="276" w:lineRule="auto"/>
        <w:ind w:firstLine="708"/>
        <w:jc w:val="both"/>
        <w:rPr>
          <w:rFonts w:ascii="Book Antiqua" w:hAnsi="Book Antiqua"/>
          <w:b/>
        </w:rPr>
      </w:pPr>
      <w:r w:rsidRPr="00EE47DB">
        <w:rPr>
          <w:rFonts w:ascii="Book Antiqua" w:hAnsi="Book Antiqua"/>
          <w:b/>
        </w:rPr>
        <w:t>Cieľom predloženej úpravy je zabezpečiť elektronické spracúvanie údajov z kandidátnych listín doručených zapisovateľom príslušných volebných komisií prostredníctvom novovytvoreného informačného systému registra kandidátov a kandidátnych listín.</w:t>
      </w:r>
      <w:r w:rsidRPr="00EE47DB">
        <w:rPr>
          <w:rFonts w:ascii="Book Antiqua" w:hAnsi="Book Antiqua"/>
        </w:rPr>
        <w:t xml:space="preserve"> </w:t>
      </w:r>
      <w:r w:rsidRPr="00EE47DB">
        <w:rPr>
          <w:rFonts w:ascii="Book Antiqua" w:hAnsi="Book Antiqua"/>
          <w:b/>
        </w:rPr>
        <w:t>Návrh zákona tak predstavuje pokračovanie procesu elektronizácie volebných procesov.</w:t>
      </w:r>
    </w:p>
    <w:p w14:paraId="2F4A2B2B" w14:textId="5BF7B812" w:rsidR="00EE47DB" w:rsidRPr="00EE47DB" w:rsidRDefault="00EE47DB" w:rsidP="00EE47DB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EE47DB">
        <w:rPr>
          <w:rFonts w:ascii="Book Antiqua" w:hAnsi="Book Antiqua"/>
        </w:rPr>
        <w:t>Elektronické spracovanie pomôže odstrániť chybovosť na zoznamoch zaregistrovaných kandidátov a hlasovacích lístkoch a zároveň bude významnou oporou pre volebné komisie zodpovedné za registráciu kandidátov a kandidátnych listín pre jednotlivé druhy volieb. V neposlednom rade sa voličom uľahčí vyhľadávanie údajov o kandidátoch a vytvorí sa priestor pre rôzne sociologické výskumy a vyhľadávanie v zoznamoch zaregistrovaných kandidátov. Naplní sa tak spoločenská objednávka, aby najmä vo voľbách do orgánov územnej samosprávy bolo možné nájsť všetkých kandidátov na jednom mieste.</w:t>
      </w:r>
    </w:p>
    <w:p w14:paraId="104EE9A5" w14:textId="77777777" w:rsidR="00EE47DB" w:rsidRDefault="00EE47DB" w:rsidP="00EE47DB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EE47DB">
        <w:rPr>
          <w:rFonts w:ascii="Book Antiqua" w:hAnsi="Book Antiqua"/>
        </w:rPr>
        <w:t xml:space="preserve">V súčasnosti vyhotovujú zoznam zaregistrovaných kandidátov príslušné volebné komisie zodpovedné za registráciu kandidátov a kandidátnych listín. Aplikačné problémy nastávajú najmä vo voľbách do orgánov samosprávy obcí. Vo voľbách do orgánov územnej samosprávy doposiaľ neexistuje jedno miesto, kde sa verejnosť môže oboznámiť s kandidátmi vo voľbách, ale informácie je potrebné </w:t>
      </w:r>
      <w:proofErr w:type="spellStart"/>
      <w:r w:rsidRPr="00EE47DB">
        <w:rPr>
          <w:rFonts w:ascii="Book Antiqua" w:hAnsi="Book Antiqua"/>
        </w:rPr>
        <w:t>dohľadávať</w:t>
      </w:r>
      <w:proofErr w:type="spellEnd"/>
      <w:r w:rsidRPr="00EE47DB">
        <w:rPr>
          <w:rFonts w:ascii="Book Antiqua" w:hAnsi="Book Antiqua"/>
        </w:rPr>
        <w:t xml:space="preserve"> na webových sídlach samosprávnych krajov, na webových sídlach obcí, prípadne na úradných tabuliach obce. Voliči mali pred voľbami do orgánov územnej samosprávy problémy získať údaje o kandidátoch v týchto voľbách.</w:t>
      </w:r>
    </w:p>
    <w:p w14:paraId="53AC467F" w14:textId="3E662BD1" w:rsidR="0003051F" w:rsidRPr="00EE47DB" w:rsidRDefault="00EE47DB" w:rsidP="00EE47DB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EE47DB">
        <w:rPr>
          <w:rFonts w:ascii="Book Antiqua" w:hAnsi="Book Antiqua"/>
        </w:rPr>
        <w:t>Register kandidátov a kandidátnych listín bude slúžiť ako zdroj pre tlač a distribúciu zoznamu zaregistrovaných kandidátov a hlasovacích lístkov. Údaje z registra budú zároveň poskytované Štatistickému úradu Slovenskej republiky na účely spracovania výsledkov volieb.</w:t>
      </w:r>
    </w:p>
    <w:p w14:paraId="51A259FD" w14:textId="361E3181" w:rsidR="0003051F" w:rsidRPr="00EE47DB" w:rsidRDefault="00EE47DB" w:rsidP="00EE47DB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>
        <w:rPr>
          <w:rFonts w:ascii="Book Antiqua" w:hAnsi="Book Antiqua"/>
        </w:rPr>
        <w:t xml:space="preserve">Návrh zákona bude mať </w:t>
      </w:r>
      <w:r w:rsidRPr="00EE47DB">
        <w:rPr>
          <w:rFonts w:ascii="Book Antiqua" w:hAnsi="Book Antiqua"/>
        </w:rPr>
        <w:t>negatívny vplyv na rozpočet verejnej správy,</w:t>
      </w:r>
      <w:r w:rsidR="003A39B8">
        <w:rPr>
          <w:rFonts w:ascii="Book Antiqua" w:hAnsi="Book Antiqua"/>
        </w:rPr>
        <w:t xml:space="preserve"> pozitívne sociálne vplyvy a </w:t>
      </w:r>
      <w:r w:rsidRPr="00EE47DB">
        <w:rPr>
          <w:rFonts w:ascii="Book Antiqua" w:hAnsi="Book Antiqua"/>
        </w:rPr>
        <w:t>poz</w:t>
      </w:r>
      <w:r w:rsidR="003A39B8">
        <w:rPr>
          <w:rFonts w:ascii="Book Antiqua" w:hAnsi="Book Antiqua"/>
        </w:rPr>
        <w:t>itívny vplyv na informatizáciu</w:t>
      </w:r>
      <w:r w:rsidRPr="00EE47DB">
        <w:rPr>
          <w:rFonts w:ascii="Book Antiqua" w:hAnsi="Book Antiqua"/>
        </w:rPr>
        <w:t>. Zákon nezakladá vpl</w:t>
      </w:r>
      <w:r w:rsidR="003A39B8">
        <w:rPr>
          <w:rFonts w:ascii="Book Antiqua" w:hAnsi="Book Antiqua"/>
        </w:rPr>
        <w:t xml:space="preserve">yv na podnikateľské prostredie ani </w:t>
      </w:r>
      <w:r w:rsidRPr="00EE47DB">
        <w:rPr>
          <w:rFonts w:ascii="Book Antiqua" w:hAnsi="Book Antiqua"/>
        </w:rPr>
        <w:t>vplyvy</w:t>
      </w:r>
      <w:r w:rsidR="003A39B8">
        <w:rPr>
          <w:rFonts w:ascii="Book Antiqua" w:hAnsi="Book Antiqua"/>
        </w:rPr>
        <w:t xml:space="preserve"> na životné prostredie.</w:t>
      </w:r>
    </w:p>
    <w:p w14:paraId="7FCBD330" w14:textId="5C631407" w:rsidR="00FD5E9A" w:rsidRPr="0003051F" w:rsidRDefault="00FD5E9A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58037D0" w14:textId="32EA074C" w:rsidR="001C601E" w:rsidRDefault="001C601E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7409044D" w14:textId="77777777" w:rsidR="0003051F" w:rsidRDefault="0003051F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18F70419" w14:textId="77777777" w:rsidR="0003051F" w:rsidRPr="0003051F" w:rsidRDefault="0003051F" w:rsidP="003A39B8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92B436B" w14:textId="12AEE928" w:rsidR="007D7A83" w:rsidRPr="003A39B8" w:rsidRDefault="001C601E" w:rsidP="003A39B8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3A39B8">
        <w:rPr>
          <w:rFonts w:ascii="Book Antiqua" w:hAnsi="Book Antiqua" w:cs="Times New Roman"/>
          <w:b/>
        </w:rPr>
        <w:t xml:space="preserve">B. Osobitná časť </w:t>
      </w:r>
    </w:p>
    <w:p w14:paraId="529AC082" w14:textId="77777777" w:rsidR="007D7A83" w:rsidRPr="003A39B8" w:rsidRDefault="007D7A83" w:rsidP="003A39B8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4717B151" w14:textId="0C5E02EE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 Č</w:t>
      </w:r>
      <w:r w:rsidRPr="003A39B8">
        <w:rPr>
          <w:rFonts w:ascii="Book Antiqua" w:hAnsi="Book Antiqua"/>
          <w:b/>
        </w:rPr>
        <w:t>l. I</w:t>
      </w:r>
    </w:p>
    <w:p w14:paraId="72FA5BDF" w14:textId="77777777" w:rsidR="003A39B8" w:rsidRPr="003A39B8" w:rsidRDefault="003A39B8" w:rsidP="003A39B8">
      <w:pPr>
        <w:spacing w:before="120" w:after="0" w:line="276" w:lineRule="auto"/>
        <w:rPr>
          <w:rFonts w:ascii="Book Antiqua" w:hAnsi="Book Antiqua"/>
          <w:b/>
          <w:u w:val="single"/>
        </w:rPr>
      </w:pPr>
      <w:r w:rsidRPr="003A39B8">
        <w:rPr>
          <w:rFonts w:ascii="Book Antiqua" w:hAnsi="Book Antiqua"/>
          <w:b/>
          <w:u w:val="single"/>
        </w:rPr>
        <w:t xml:space="preserve">K bodu 1 </w:t>
      </w:r>
    </w:p>
    <w:p w14:paraId="09A365FD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Ustanovuje sa vytvorenie informačného systému Register kandidátov a kandidátnych listín vo voľbách do Národnej rady Slovenskej republiky, vo voľbách prezidenta Slovenskej republiky, vo voľbách do Európskeho parlamentu, vo voľbách do orgánov samosprávnych krajov a vo voľbách do orgánov samosprávy obcí (ďalej len „register“).</w:t>
      </w:r>
    </w:p>
    <w:p w14:paraId="5C8C44A5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Register slúži na evidenciu kandidátnych listín a kandidátov, ktorých kandidátne listiny boli doručené v zákonom ustanovenej lehote a zákonom ustanoveným spôsobom. Tiež slúži na overenie údajov fyzických osôb – kandidátov pre jednotlivé druhy volieb. Overovanie sa nevzťahuje na kandidátov na prezidenta Slovenskej republiky, pretože návrh na kandidáta na prezidenta preskúmava predseda Národnej rady Slovenskej republiky.</w:t>
      </w:r>
    </w:p>
    <w:p w14:paraId="0C324E74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Údaje o kandidátoch a kandidátnych listinách zapisuje do registra v rozsahu údajov podľa jednotlivých druhov volieb zapisovateľ príslušnej volebnej komisie bezodkladne po doručení kandidátnej listiny. Zapisovateľ volebnej komisie zároveň overuje správnosť údajov o fyzických osobách v registri fyzických osôb. Po zaregistrovaní príslušného kandidáta alebo kandidátnej listiny sa údaje v registri považujú za platné, keďže ďalej slúžia na zákonom vymedzené účely.</w:t>
      </w:r>
    </w:p>
    <w:p w14:paraId="00F869D2" w14:textId="453EBF55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Zákon ustanovuje zároveň rozsah zapisovaných údajov, pričom odlišný rozsah údajov opäť platí pre kandidátov na prezidenta Slovenskej repub</w:t>
      </w:r>
      <w:r>
        <w:rPr>
          <w:rFonts w:ascii="Book Antiqua" w:hAnsi="Book Antiqua"/>
        </w:rPr>
        <w:t xml:space="preserve">liky, návrhy ktorých prijíma a </w:t>
      </w:r>
      <w:r w:rsidRPr="003A39B8">
        <w:rPr>
          <w:rFonts w:ascii="Book Antiqua" w:hAnsi="Book Antiqua"/>
        </w:rPr>
        <w:t>preskúmava predseda Národnej rady Slovenskej republiky.</w:t>
      </w:r>
    </w:p>
    <w:p w14:paraId="5500612C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 xml:space="preserve">Po zaregistrovaní kandidátov a kandidátnych listín údaje v rozsahu uvádzanom na hlasovacom lístku budú prístupné všetkým na webovom sídle ministerstva vnútra. Tým sa uľahčí prístup pre širokú verejnosť k údajom o kandidátoch pre všetky druhy volieb na jednom mieste. </w:t>
      </w:r>
    </w:p>
    <w:p w14:paraId="0A9CC48F" w14:textId="77777777" w:rsidR="003A39B8" w:rsidRPr="003A39B8" w:rsidRDefault="003A39B8" w:rsidP="003A39B8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>Význam registra nespočíva iba v prístupnosti pre verejnosť, najväčší význam spočíva v tom, že tieto údaje slúžia ako zdroj pre tlač hlasovacích lístkov, tlač zoznamov zaregistrovaných kandidátov a kandidátnych listín a v neposlednom rade údaje budú poskytované Štatistickému úradu Slovenskej republiky na účely spracovania výsledkov volieb prostredníctvom informačného systému Štatistického úradu Slovenskej republiky.</w:t>
      </w:r>
    </w:p>
    <w:p w14:paraId="3B2D4C49" w14:textId="77777777" w:rsidR="003A39B8" w:rsidRPr="003A39B8" w:rsidRDefault="003A39B8" w:rsidP="003A39B8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>Zákon zároveň ustanovuje, ktoré údaje sa verejnosti nesprístupňujú. Ide najmä o osobné údaje v rozsahu rodné číslo, pohlavie a adresa trvalého pobytu a tiež všetky osobné údaje nezaregistrovaného kandidáta, kandidáta na nezaregistrovanej kandidátnej listine, alebo kandidáta, ktorý bol z kandidátnej listiny vyčiarknutý. Doba na uchovanie osobných údajov sa ustanovuje na päť rokov.</w:t>
      </w:r>
    </w:p>
    <w:p w14:paraId="133F027D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</w:rPr>
      </w:pPr>
    </w:p>
    <w:p w14:paraId="734F2A62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</w:rPr>
      </w:pPr>
    </w:p>
    <w:p w14:paraId="53D4580C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  <w:u w:val="single"/>
        </w:rPr>
      </w:pPr>
      <w:r w:rsidRPr="003A39B8">
        <w:rPr>
          <w:rFonts w:ascii="Book Antiqua" w:hAnsi="Book Antiqua"/>
          <w:b/>
          <w:u w:val="single"/>
        </w:rPr>
        <w:lastRenderedPageBreak/>
        <w:t>K bodu 2</w:t>
      </w:r>
    </w:p>
    <w:p w14:paraId="5B45D5FD" w14:textId="3F19DB8D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  <w:b/>
        </w:rPr>
        <w:tab/>
      </w:r>
      <w:r w:rsidRPr="003A39B8">
        <w:rPr>
          <w:rFonts w:ascii="Book Antiqua" w:hAnsi="Book Antiqua"/>
        </w:rPr>
        <w:t>Rozsah údajov o kandidátoch uvádzaných na kandidátnych listinách sa mení tak, že údaj o dátume narodenia sa nahrádza údajom rodné číslo. Rodné číslo je identifikačným údajom, na základe ktorého je možné v systéme registra fyzických osôb identifikovať osobu a vykonať kontrolu správnosti údajov kandidátov. Táto zmena sa opätovne nevzťahuje na kandidátov na prezidenta.</w:t>
      </w:r>
    </w:p>
    <w:p w14:paraId="212F44AC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  <w:u w:val="single"/>
        </w:rPr>
      </w:pPr>
      <w:r w:rsidRPr="003A39B8">
        <w:rPr>
          <w:rFonts w:ascii="Book Antiqua" w:hAnsi="Book Antiqua"/>
          <w:b/>
          <w:u w:val="single"/>
        </w:rPr>
        <w:t>K bodu 3</w:t>
      </w:r>
    </w:p>
    <w:p w14:paraId="2D6A3455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  <w:b/>
        </w:rPr>
        <w:tab/>
      </w:r>
      <w:r w:rsidRPr="003A39B8">
        <w:rPr>
          <w:rFonts w:ascii="Book Antiqua" w:hAnsi="Book Antiqua"/>
        </w:rPr>
        <w:t>V návrhu zákona sa vypúšťa preskúmavanie kandidátnych listín prostredníctvom sumarizačného útvaru príslušnej volebnej komisie, keďže toto preskúmavanie je nahradené overovaním v registri fyzických osôb a samotným informačným systémom.</w:t>
      </w:r>
    </w:p>
    <w:p w14:paraId="5E665D0B" w14:textId="77777777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  <w:u w:val="single"/>
        </w:rPr>
      </w:pPr>
      <w:r w:rsidRPr="003A39B8">
        <w:rPr>
          <w:rFonts w:ascii="Book Antiqua" w:hAnsi="Book Antiqua"/>
          <w:b/>
          <w:u w:val="single"/>
        </w:rPr>
        <w:t>K bodu 4</w:t>
      </w:r>
    </w:p>
    <w:p w14:paraId="69A950E5" w14:textId="4CD9BDEA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Vo voľbách do Európskeho parlamentu sa zosúlaďuje lehota na doručenie hlasovacích lístkov obciam tak, ako je to ustanovené aj vo voľbách do Národnej rady Slovenskej republiky.</w:t>
      </w:r>
    </w:p>
    <w:p w14:paraId="1F9160CC" w14:textId="5F504B8D" w:rsidR="003A39B8" w:rsidRPr="003A39B8" w:rsidRDefault="001B7228" w:rsidP="003A39B8">
      <w:pPr>
        <w:spacing w:before="120" w:after="0" w:line="276" w:lineRule="auto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K bodom 5 a 6</w:t>
      </w:r>
    </w:p>
    <w:p w14:paraId="6FF788F3" w14:textId="175D8398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</w:rPr>
        <w:tab/>
        <w:t>Volebným komisiám samosprávnych krajov ako aj miestnym volebným komisiám odpadne na základe zmeny zákona povinnosť vyhotovovať a rozosielať zoznam zaregistrovaných kandidátov pre jednotlivé druhy volieb, keďže zoznam bude k dispozícii v informačnom systéme Register kandidátov a kandidátnych listín vzápätí po rozhodnutí o zaregistrovaní kandidátov a kandidátnych listín.</w:t>
      </w:r>
    </w:p>
    <w:p w14:paraId="064DBA35" w14:textId="03330AF5" w:rsidR="003A39B8" w:rsidRPr="003A39B8" w:rsidRDefault="001B7228" w:rsidP="003A39B8">
      <w:pPr>
        <w:spacing w:before="120" w:after="0" w:line="276" w:lineRule="auto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K bodu 7</w:t>
      </w:r>
    </w:p>
    <w:p w14:paraId="4A2E1E81" w14:textId="7B7FA29E" w:rsidR="003A39B8" w:rsidRPr="003A39B8" w:rsidRDefault="003A39B8" w:rsidP="001B722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  <w:b/>
        </w:rPr>
        <w:tab/>
      </w:r>
      <w:r w:rsidRPr="003A39B8">
        <w:rPr>
          <w:rFonts w:ascii="Book Antiqua" w:hAnsi="Book Antiqua"/>
        </w:rPr>
        <w:t>Ide o opravu zjavnej nesprávnosti v zákone.</w:t>
      </w:r>
    </w:p>
    <w:p w14:paraId="66552256" w14:textId="77777777" w:rsidR="003A39B8" w:rsidRPr="003A39B8" w:rsidRDefault="003A39B8" w:rsidP="003A39B8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</w:p>
    <w:p w14:paraId="6B133786" w14:textId="1512B906" w:rsidR="003A39B8" w:rsidRPr="003A39B8" w:rsidRDefault="003A39B8" w:rsidP="003A39B8">
      <w:pPr>
        <w:spacing w:before="120" w:after="0"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 Č</w:t>
      </w:r>
      <w:r w:rsidRPr="003A39B8">
        <w:rPr>
          <w:rFonts w:ascii="Book Antiqua" w:hAnsi="Book Antiqua"/>
          <w:b/>
        </w:rPr>
        <w:t>l. II</w:t>
      </w:r>
    </w:p>
    <w:p w14:paraId="7DC00447" w14:textId="5B45FA4D" w:rsidR="00DA163A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  <w:r w:rsidRPr="003A39B8">
        <w:rPr>
          <w:rFonts w:ascii="Book Antiqua" w:hAnsi="Book Antiqua"/>
          <w:b/>
        </w:rPr>
        <w:tab/>
      </w:r>
      <w:r w:rsidRPr="003A39B8">
        <w:rPr>
          <w:rFonts w:ascii="Book Antiqua" w:hAnsi="Book Antiqua"/>
        </w:rPr>
        <w:t xml:space="preserve">Vzhľadom na potrebnú dĺžku legislatívneho procesu a dostatočnú </w:t>
      </w:r>
      <w:proofErr w:type="spellStart"/>
      <w:r w:rsidRPr="003A39B8">
        <w:rPr>
          <w:rFonts w:ascii="Book Antiqua" w:hAnsi="Book Antiqua"/>
        </w:rPr>
        <w:t>legisvakanciu</w:t>
      </w:r>
      <w:proofErr w:type="spellEnd"/>
      <w:r w:rsidRPr="003A39B8">
        <w:rPr>
          <w:rFonts w:ascii="Book Antiqua" w:hAnsi="Book Antiqua"/>
        </w:rPr>
        <w:t xml:space="preserve"> sa navrhuje účinnosť od 1. februára 2024. Prvýkrát by tak bolo možné uviesť register kandidátov a kandidátnych listín do praxe vo voľbách do Európskeho parlamentu v roku 2024.</w:t>
      </w:r>
    </w:p>
    <w:p w14:paraId="604424A8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313F309A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6038492D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6A5C3D41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6FA6D4C1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6E3CF0C3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32ED6466" w14:textId="77777777" w:rsidR="003A39B8" w:rsidRDefault="003A39B8" w:rsidP="003A39B8">
      <w:pPr>
        <w:spacing w:before="120" w:after="0" w:line="276" w:lineRule="auto"/>
        <w:jc w:val="both"/>
        <w:rPr>
          <w:rFonts w:ascii="Book Antiqua" w:hAnsi="Book Antiqua"/>
        </w:rPr>
      </w:pPr>
    </w:p>
    <w:p w14:paraId="35B16822" w14:textId="77777777" w:rsidR="003A39B8" w:rsidRDefault="003A39B8" w:rsidP="001B7228">
      <w:pPr>
        <w:spacing w:before="120" w:after="0" w:line="276" w:lineRule="auto"/>
        <w:rPr>
          <w:rFonts w:ascii="Book Antiqua" w:hAnsi="Book Antiqua"/>
        </w:rPr>
      </w:pPr>
    </w:p>
    <w:p w14:paraId="6A8E8FB1" w14:textId="77777777" w:rsidR="001B7228" w:rsidRDefault="001B7228" w:rsidP="001B7228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55EEC200" w14:textId="77777777" w:rsidR="001C601E" w:rsidRPr="0003051F" w:rsidRDefault="001C601E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  <w:r w:rsidRPr="0003051F">
        <w:rPr>
          <w:rFonts w:ascii="Book Antiqua" w:eastAsia="Times New Roman" w:hAnsi="Book Antiqua"/>
          <w:b/>
          <w:smallCaps/>
        </w:rPr>
        <w:t>DOLOŽKA ZLUČITEĽNOSTI</w:t>
      </w:r>
    </w:p>
    <w:p w14:paraId="43955E41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lastRenderedPageBreak/>
        <w:t>návrhu zákona</w:t>
      </w:r>
      <w:r w:rsidRPr="0003051F">
        <w:rPr>
          <w:rFonts w:ascii="Book Antiqua" w:eastAsia="Times New Roman" w:hAnsi="Book Antiqua"/>
          <w:color w:val="000000"/>
        </w:rPr>
        <w:t xml:space="preserve"> </w:t>
      </w:r>
      <w:r w:rsidRPr="0003051F">
        <w:rPr>
          <w:rFonts w:ascii="Book Antiqua" w:eastAsia="Times New Roman" w:hAnsi="Book Antiqua"/>
          <w:b/>
          <w:color w:val="000000"/>
        </w:rPr>
        <w:t>s právom Európskej únie</w:t>
      </w:r>
    </w:p>
    <w:p w14:paraId="544DBECD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459D9A7C" w14:textId="156A4953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hAnsi="Book Antiqua"/>
        </w:rPr>
      </w:pPr>
      <w:r w:rsidRPr="0003051F">
        <w:rPr>
          <w:rFonts w:ascii="Book Antiqua" w:eastAsia="Times New Roman" w:hAnsi="Book Antiqua"/>
          <w:b/>
          <w:color w:val="000000"/>
        </w:rPr>
        <w:t>1. Navrhovateľ zákona:</w:t>
      </w:r>
      <w:r w:rsidR="007D7EA9">
        <w:rPr>
          <w:rFonts w:ascii="Book Antiqua" w:eastAsia="Times New Roman" w:hAnsi="Book Antiqua"/>
          <w:color w:val="000000"/>
        </w:rPr>
        <w:t xml:space="preserve"> skupina poslancov</w:t>
      </w:r>
      <w:r w:rsidRPr="0003051F">
        <w:rPr>
          <w:rFonts w:ascii="Book Antiqua" w:eastAsia="Times New Roman" w:hAnsi="Book Antiqua"/>
          <w:color w:val="000000"/>
        </w:rPr>
        <w:t xml:space="preserve"> Nár</w:t>
      </w:r>
      <w:r w:rsidR="007D7EA9">
        <w:rPr>
          <w:rFonts w:ascii="Book Antiqua" w:eastAsia="Times New Roman" w:hAnsi="Book Antiqua"/>
          <w:color w:val="000000"/>
        </w:rPr>
        <w:t>odnej rady Slovenskej republiky</w:t>
      </w:r>
    </w:p>
    <w:p w14:paraId="4A3C62FC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</w:p>
    <w:p w14:paraId="09AE3285" w14:textId="54174CB4" w:rsidR="001C601E" w:rsidRPr="0003051F" w:rsidRDefault="001C601E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eastAsia="Times New Roman" w:hAnsi="Book Antiqua"/>
          <w:b/>
        </w:rPr>
        <w:t>2. Názov návrhu zákona:</w:t>
      </w:r>
      <w:r w:rsidRPr="0003051F">
        <w:rPr>
          <w:rFonts w:ascii="Book Antiqua" w:eastAsia="Times New Roman" w:hAnsi="Book Antiqua"/>
        </w:rPr>
        <w:t xml:space="preserve"> </w:t>
      </w:r>
      <w:r w:rsidRPr="0003051F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</w:t>
      </w:r>
      <w:r w:rsidR="003A39B8">
        <w:rPr>
          <w:rFonts w:ascii="Book Antiqua" w:hAnsi="Book Antiqua" w:cs="Times New Roman"/>
        </w:rPr>
        <w:t>eskorších predpisov</w:t>
      </w:r>
    </w:p>
    <w:p w14:paraId="7AD4CB0A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b/>
        </w:rPr>
      </w:pPr>
    </w:p>
    <w:p w14:paraId="23D48787" w14:textId="41287064" w:rsidR="00C140C5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03051F">
        <w:rPr>
          <w:rFonts w:ascii="Book Antiqua" w:hAnsi="Book Antiqua"/>
          <w:b/>
          <w:sz w:val="22"/>
          <w:szCs w:val="22"/>
        </w:rPr>
        <w:t xml:space="preserve">3. </w:t>
      </w:r>
      <w:r w:rsidRPr="0003051F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5D2879E9" w14:textId="5EA85F96" w:rsidR="00C140C5" w:rsidRPr="0003051F" w:rsidRDefault="00C140C5" w:rsidP="007D7EA9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a)</w:t>
      </w:r>
      <w:r w:rsidR="007D7EA9">
        <w:rPr>
          <w:rFonts w:ascii="Book Antiqua" w:hAnsi="Book Antiqua" w:cs="Times New Roman"/>
        </w:rPr>
        <w:t xml:space="preserve"> </w:t>
      </w:r>
      <w:r w:rsidR="003A39B8">
        <w:rPr>
          <w:rFonts w:ascii="Book Antiqua" w:hAnsi="Book Antiqua" w:cs="Times New Roman"/>
        </w:rPr>
        <w:t xml:space="preserve">je upravený </w:t>
      </w:r>
      <w:r w:rsidRPr="0003051F">
        <w:rPr>
          <w:rFonts w:ascii="Book Antiqua" w:hAnsi="Book Antiqua" w:cs="Times New Roman"/>
        </w:rPr>
        <w:t>v primárnom práve</w:t>
      </w:r>
      <w:r w:rsidR="007D7EA9">
        <w:rPr>
          <w:rFonts w:ascii="Book Antiqua" w:hAnsi="Book Antiqua" w:cs="Times New Roman"/>
        </w:rPr>
        <w:t xml:space="preserve"> EÚ </w:t>
      </w:r>
      <w:r w:rsidR="003A39B8">
        <w:rPr>
          <w:rFonts w:ascii="Book Antiqua" w:hAnsi="Book Antiqua" w:cs="Times New Roman"/>
        </w:rPr>
        <w:t>–</w:t>
      </w:r>
      <w:r w:rsidR="007D7EA9">
        <w:rPr>
          <w:rFonts w:ascii="Book Antiqua" w:hAnsi="Book Antiqua" w:cs="Times New Roman"/>
        </w:rPr>
        <w:t xml:space="preserve"> </w:t>
      </w:r>
      <w:r w:rsidR="003A39B8">
        <w:rPr>
          <w:rFonts w:ascii="Book Antiqua" w:hAnsi="Book Antiqua" w:cs="Times New Roman"/>
        </w:rPr>
        <w:t xml:space="preserve">v </w:t>
      </w:r>
      <w:r w:rsidR="007D7EA9">
        <w:rPr>
          <w:rFonts w:ascii="Book Antiqua" w:hAnsi="Book Antiqua" w:cs="Times New Roman"/>
        </w:rPr>
        <w:t>čl. 10 Zmluvy o Európskej únii a</w:t>
      </w:r>
      <w:r w:rsidR="003A39B8">
        <w:rPr>
          <w:rFonts w:ascii="Book Antiqua" w:hAnsi="Book Antiqua" w:cs="Times New Roman"/>
        </w:rPr>
        <w:t xml:space="preserve"> v </w:t>
      </w:r>
      <w:r w:rsidRPr="0003051F">
        <w:rPr>
          <w:rFonts w:ascii="Book Antiqua" w:hAnsi="Book Antiqua" w:cs="Times New Roman"/>
        </w:rPr>
        <w:t>čl. 20 a čl. 22 Zmluvy o fungovaní Európskej únie,</w:t>
      </w:r>
    </w:p>
    <w:p w14:paraId="5FAD9BB8" w14:textId="33C3CE81" w:rsidR="00C140C5" w:rsidRPr="00F07F08" w:rsidRDefault="00C140C5" w:rsidP="0003051F">
      <w:pPr>
        <w:spacing w:before="120" w:after="0" w:line="276" w:lineRule="auto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b)</w:t>
      </w:r>
      <w:r w:rsidR="007D7EA9">
        <w:rPr>
          <w:rFonts w:ascii="Book Antiqua" w:hAnsi="Book Antiqua" w:cs="Times New Roman"/>
        </w:rPr>
        <w:t xml:space="preserve"> </w:t>
      </w:r>
      <w:r w:rsidR="003A39B8" w:rsidRPr="00F07F08">
        <w:rPr>
          <w:rFonts w:ascii="Book Antiqua" w:hAnsi="Book Antiqua" w:cs="Times New Roman"/>
        </w:rPr>
        <w:t>je upravený v sekundárnom práve EÚ, a to:</w:t>
      </w:r>
    </w:p>
    <w:p w14:paraId="02558E07" w14:textId="77777777" w:rsidR="00F07F08" w:rsidRPr="00F07F08" w:rsidRDefault="00F07F08" w:rsidP="00F07F08">
      <w:pPr>
        <w:pStyle w:val="Odsekzoznamu"/>
        <w:numPr>
          <w:ilvl w:val="0"/>
          <w:numId w:val="4"/>
        </w:numPr>
        <w:tabs>
          <w:tab w:val="left" w:pos="709"/>
          <w:tab w:val="left" w:pos="1068"/>
        </w:tabs>
        <w:spacing w:before="120" w:after="0" w:line="276" w:lineRule="auto"/>
        <w:jc w:val="both"/>
        <w:rPr>
          <w:rFonts w:ascii="Book Antiqua" w:hAnsi="Book Antiqua" w:cs="Times New Roman"/>
        </w:rPr>
      </w:pPr>
      <w:r w:rsidRPr="00F07F08">
        <w:rPr>
          <w:rFonts w:ascii="Book Antiqua" w:hAnsi="Book Antiqua" w:cs="Times New Roman"/>
          <w:shd w:val="clear" w:color="auto" w:fill="FFFFFF"/>
        </w:rPr>
        <w:t>smernica Rady 93/109/ES zo 6. decembra 1993, ktorou sa stanovujú podrobnosti uplatňovania volebného práva a práva byť volený do Európskeho parlamentu pre občanov únie s bydliskom v členskom štáte, ktorého nie sú štátnymi príslušníkmi (Ú. v. ES L 329, 30. 12. 1993, Mimoriadne vydanie Ú. v. EÚ, kap. 20/zv. 001) v platnom znení,</w:t>
      </w:r>
    </w:p>
    <w:p w14:paraId="79D5EF7F" w14:textId="480AF60E" w:rsidR="003A39B8" w:rsidRPr="00F07F08" w:rsidRDefault="00F07F08" w:rsidP="00F07F08">
      <w:pPr>
        <w:pStyle w:val="Odsekzoznamu"/>
        <w:numPr>
          <w:ilvl w:val="0"/>
          <w:numId w:val="4"/>
        </w:numPr>
        <w:tabs>
          <w:tab w:val="left" w:pos="709"/>
          <w:tab w:val="left" w:pos="1068"/>
        </w:tabs>
        <w:spacing w:before="120" w:after="0" w:line="276" w:lineRule="auto"/>
        <w:jc w:val="both"/>
        <w:rPr>
          <w:rFonts w:ascii="Book Antiqua" w:hAnsi="Book Antiqua" w:cs="Times New Roman"/>
        </w:rPr>
      </w:pPr>
      <w:r w:rsidRPr="00F07F08">
        <w:rPr>
          <w:rFonts w:ascii="Book Antiqua" w:hAnsi="Book Antiqua" w:cs="Times New Roman"/>
          <w:shd w:val="clear" w:color="auto" w:fill="FFFFFF"/>
        </w:rPr>
        <w:t>smernica Rady 94/80/ES z 19. decembra 1994, ktorou sa ustanovujú podrobnosti uplatňovania volebného práva občanov únie v komunálnych voľbách v členskom štáte, ktorého nie sú štátnymi príslušníkmi (Ú. v. ES L 368, 31.12.1994, Mimoriadne vydanie Ú. v. EÚ, kap. 20/zv. 001) v platnom znení,</w:t>
      </w:r>
    </w:p>
    <w:p w14:paraId="68907AC3" w14:textId="10A07DF6" w:rsidR="00C140C5" w:rsidRDefault="00C140C5" w:rsidP="0003051F">
      <w:pPr>
        <w:spacing w:before="120" w:after="0" w:line="276" w:lineRule="auto"/>
        <w:rPr>
          <w:rFonts w:ascii="Book Antiqua" w:hAnsi="Book Antiqua" w:cs="Times New Roman"/>
        </w:rPr>
      </w:pPr>
      <w:r w:rsidRPr="00F07F08">
        <w:rPr>
          <w:rFonts w:ascii="Book Antiqua" w:hAnsi="Book Antiqua" w:cs="Times New Roman"/>
        </w:rPr>
        <w:t>c)</w:t>
      </w:r>
      <w:r w:rsidR="003A39B8" w:rsidRPr="00F07F08">
        <w:rPr>
          <w:rFonts w:ascii="Book Antiqua" w:hAnsi="Book Antiqua" w:cs="Times New Roman"/>
        </w:rPr>
        <w:t xml:space="preserve"> </w:t>
      </w:r>
      <w:r w:rsidRPr="00F07F08">
        <w:rPr>
          <w:rFonts w:ascii="Book Antiqua" w:hAnsi="Book Antiqua" w:cs="Times New Roman"/>
        </w:rPr>
        <w:t>nie je obsiahnutý v judikatúre Súdneho dvora Európskej únie.</w:t>
      </w:r>
    </w:p>
    <w:p w14:paraId="70E78E2A" w14:textId="77777777" w:rsidR="007D7EA9" w:rsidRPr="0003051F" w:rsidRDefault="007D7EA9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09C274B8" w14:textId="77777777" w:rsidR="00C140C5" w:rsidRPr="00F07F08" w:rsidRDefault="00C140C5" w:rsidP="00F07F08">
      <w:pPr>
        <w:spacing w:before="120" w:after="0" w:line="276" w:lineRule="auto"/>
        <w:rPr>
          <w:rFonts w:ascii="Book Antiqua" w:hAnsi="Book Antiqua" w:cs="Times New Roman"/>
        </w:rPr>
      </w:pPr>
      <w:r w:rsidRPr="0003051F">
        <w:rPr>
          <w:rFonts w:ascii="Book Antiqua" w:eastAsia="Times New Roman" w:hAnsi="Book Antiqua" w:cs="Times New Roman"/>
          <w:b/>
          <w:lang w:eastAsia="sk-SK"/>
        </w:rPr>
        <w:t xml:space="preserve">4. </w:t>
      </w:r>
      <w:r w:rsidRPr="00F07F08">
        <w:rPr>
          <w:rFonts w:ascii="Book Antiqua" w:eastAsia="Times New Roman" w:hAnsi="Book Antiqua" w:cs="Times New Roman"/>
          <w:b/>
          <w:lang w:eastAsia="sk-SK"/>
        </w:rPr>
        <w:t>Záväzky Slovenskej republiky vo vzťahu k Európskej únii:</w:t>
      </w:r>
      <w:r w:rsidRPr="00F07F08">
        <w:rPr>
          <w:rFonts w:ascii="Book Antiqua" w:hAnsi="Book Antiqua" w:cs="Times New Roman"/>
        </w:rPr>
        <w:t xml:space="preserve"> bezpredmetné.</w:t>
      </w:r>
    </w:p>
    <w:p w14:paraId="17667155" w14:textId="77777777" w:rsidR="00F07F08" w:rsidRPr="00F07F08" w:rsidRDefault="00F07F08" w:rsidP="00F07F08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ind w:left="924" w:hanging="357"/>
        <w:jc w:val="both"/>
        <w:rPr>
          <w:rFonts w:ascii="Book Antiqua" w:hAnsi="Book Antiqua" w:cs="Times New Roman"/>
          <w:shd w:val="clear" w:color="auto" w:fill="FFFFFF"/>
        </w:rPr>
      </w:pPr>
      <w:r w:rsidRPr="00F07F08">
        <w:rPr>
          <w:rFonts w:ascii="Book Antiqua" w:eastAsia="Times New Roman" w:hAnsi="Book Antiqua" w:cs="Times New Roman"/>
          <w:lang w:eastAsia="cs-CZ"/>
        </w:rPr>
        <w:t xml:space="preserve">lehota na prebranie príslušného právneho aktu Európskej únie, príp. aj osobitnú lehotu účinnosti jeho ustanovení </w:t>
      </w:r>
    </w:p>
    <w:p w14:paraId="50167663" w14:textId="77777777" w:rsidR="00F07F08" w:rsidRPr="00F07F08" w:rsidRDefault="00F07F08" w:rsidP="00F07F08">
      <w:pPr>
        <w:autoSpaceDE w:val="0"/>
        <w:autoSpaceDN w:val="0"/>
        <w:adjustRightInd w:val="0"/>
        <w:spacing w:before="120" w:after="0" w:line="276" w:lineRule="auto"/>
        <w:ind w:left="924"/>
        <w:jc w:val="both"/>
        <w:rPr>
          <w:rFonts w:ascii="Book Antiqua" w:eastAsia="Times New Roman" w:hAnsi="Book Antiqua" w:cs="Times New Roman"/>
          <w:lang w:eastAsia="sk-SK"/>
        </w:rPr>
      </w:pPr>
      <w:r w:rsidRPr="00F07F08">
        <w:rPr>
          <w:rFonts w:ascii="Book Antiqua" w:eastAsia="Times New Roman" w:hAnsi="Book Antiqua" w:cs="Times New Roman"/>
          <w:lang w:eastAsia="cs-CZ"/>
        </w:rPr>
        <w:t>-</w:t>
      </w:r>
      <w:r w:rsidRPr="00F07F08">
        <w:rPr>
          <w:rFonts w:ascii="Book Antiqua" w:eastAsia="Times New Roman" w:hAnsi="Book Antiqua" w:cs="Times New Roman"/>
          <w:lang w:eastAsia="sk-SK"/>
        </w:rPr>
        <w:t xml:space="preserve"> smernicu Rady 93/109/ES v platnom znení a </w:t>
      </w:r>
      <w:r w:rsidRPr="00F07F08">
        <w:rPr>
          <w:rFonts w:ascii="Book Antiqua" w:hAnsi="Book Antiqua" w:cs="Times New Roman"/>
          <w:shd w:val="clear" w:color="auto" w:fill="FFFFFF"/>
        </w:rPr>
        <w:t>smernicu Rady 94/80/ES v platnom znení bola Slovenská republika povinná transponovať do 1. mája 2004,</w:t>
      </w:r>
    </w:p>
    <w:p w14:paraId="75C1AC17" w14:textId="77777777" w:rsidR="00F07F08" w:rsidRDefault="00F07F08" w:rsidP="00F07F08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ind w:left="924" w:hanging="357"/>
        <w:jc w:val="both"/>
        <w:rPr>
          <w:rFonts w:ascii="Book Antiqua" w:eastAsia="Times New Roman" w:hAnsi="Book Antiqua" w:cs="Times New Roman"/>
          <w:lang w:eastAsia="sk-SK"/>
        </w:rPr>
      </w:pPr>
      <w:r w:rsidRPr="00F07F08">
        <w:rPr>
          <w:rFonts w:ascii="Book Antiqua" w:eastAsia="Times New Roman" w:hAnsi="Book Antiqua" w:cs="Times New Roman"/>
          <w:lang w:eastAsia="sk-SK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 uvedením konkrétnych vytýkaných nedostatkov a požiadaviek na zabezpečenie nápravy so zreteľom na nariadenie Európskeho parlamentu a Rady (ES) č. 1049/2001 z 30. mája 2001 o prístupe verejnosti k dokumentom Európskeho parlamentu, Rady a Komisie – bezpredmetné, </w:t>
      </w:r>
    </w:p>
    <w:p w14:paraId="7E45D5EB" w14:textId="21F3E319" w:rsidR="007D7EA9" w:rsidRPr="00F07F08" w:rsidRDefault="00F07F08" w:rsidP="00F07F08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ind w:left="924" w:hanging="357"/>
        <w:jc w:val="both"/>
        <w:rPr>
          <w:rFonts w:ascii="Book Antiqua" w:eastAsia="Times New Roman" w:hAnsi="Book Antiqua" w:cs="Times New Roman"/>
          <w:lang w:eastAsia="sk-SK"/>
        </w:rPr>
      </w:pPr>
      <w:r w:rsidRPr="00F07F08">
        <w:rPr>
          <w:rFonts w:ascii="Book Antiqua" w:eastAsia="Times New Roman" w:hAnsi="Book Antiqua" w:cs="Times New Roman"/>
          <w:lang w:eastAsia="sk-SK"/>
        </w:rPr>
        <w:lastRenderedPageBreak/>
        <w:t xml:space="preserve">informácia o právnych predpisoch, v ktorých sú uvádzané právne akty Európskej únie už prebrané, spolu s uvedením rozsahu ich prebrania, príp. potreby prijatia ďalších úprav – smernica Rady 93/109/ES a </w:t>
      </w:r>
      <w:r w:rsidRPr="00F07F08">
        <w:rPr>
          <w:rFonts w:ascii="Book Antiqua" w:hAnsi="Book Antiqua" w:cs="Times New Roman"/>
          <w:shd w:val="clear" w:color="auto" w:fill="FFFFFF"/>
        </w:rPr>
        <w:t>smernica Rady 94/80/ES v platnom znení boli úplne prebraté do zákona č. 180/2014 Z. z. o podmienkach výkonu volebného práva a o zmene a doplnení niektorých zákonov v znení neskorších predpisov.</w:t>
      </w:r>
    </w:p>
    <w:p w14:paraId="154263F9" w14:textId="77777777" w:rsidR="00F07F08" w:rsidRPr="0003051F" w:rsidRDefault="00F07F08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04045D36" w14:textId="77777777" w:rsidR="00C140C5" w:rsidRPr="0003051F" w:rsidRDefault="00C140C5" w:rsidP="0003051F">
      <w:pPr>
        <w:spacing w:before="120" w:after="0" w:line="276" w:lineRule="auto"/>
        <w:rPr>
          <w:rFonts w:ascii="Book Antiqua" w:hAnsi="Book Antiqua"/>
          <w:color w:val="000000"/>
        </w:rPr>
      </w:pPr>
      <w:r w:rsidRPr="0003051F">
        <w:rPr>
          <w:rFonts w:ascii="Book Antiqua" w:eastAsia="Times New Roman" w:hAnsi="Book Antiqua" w:cs="Times New Roman"/>
          <w:b/>
          <w:lang w:eastAsia="sk-SK"/>
        </w:rPr>
        <w:t>5. Návrh zákona je zlučiteľný s právom Európskej únie:</w:t>
      </w:r>
      <w:r w:rsidRPr="0003051F">
        <w:rPr>
          <w:rFonts w:ascii="Book Antiqua" w:hAnsi="Book Antiqua" w:cs="Times New Roman"/>
        </w:rPr>
        <w:t xml:space="preserve"> úplne</w:t>
      </w:r>
      <w:r w:rsidRPr="0003051F">
        <w:rPr>
          <w:rStyle w:val="awspan"/>
          <w:rFonts w:ascii="Book Antiqua" w:hAnsi="Book Antiqua"/>
          <w:color w:val="000000"/>
        </w:rPr>
        <w:t>.</w:t>
      </w:r>
    </w:p>
    <w:p w14:paraId="65D75D86" w14:textId="3F846BB0" w:rsidR="001C601E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122BC8D5" w14:textId="77777777" w:rsidR="001C601E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34C43D1D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6769620A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50E31809" w14:textId="6EBA4371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ABA4A85" w14:textId="57C9D5EA" w:rsidR="00DA163A" w:rsidRPr="0003051F" w:rsidRDefault="00DA163A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52046C0" w14:textId="77777777" w:rsidR="00DA163A" w:rsidRPr="0003051F" w:rsidRDefault="00DA163A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31DFB85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2046E686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3D0CAA4" w14:textId="0C458779" w:rsidR="00C140C5" w:rsidRPr="0003051F" w:rsidRDefault="00C140C5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626AE886" w14:textId="77777777" w:rsidR="00047089" w:rsidRDefault="0004708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582C9187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0D7DD4E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451DD71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3A9054D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245BE98F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51BE49E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A1E8127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0F4D8379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2BB96551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02709C49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528576A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67AE4E81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2506A945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0B987FF4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4717CD8" w14:textId="77777777" w:rsidR="00F07F08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0CF5611" w14:textId="77777777" w:rsidR="00F07F08" w:rsidRPr="0003051F" w:rsidRDefault="00F07F08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DBEEFB2" w14:textId="77777777" w:rsidR="001C601E" w:rsidRPr="0003051F" w:rsidRDefault="001C601E" w:rsidP="0003051F">
      <w:pPr>
        <w:spacing w:before="120" w:after="0" w:line="276" w:lineRule="auto"/>
        <w:jc w:val="center"/>
        <w:rPr>
          <w:rFonts w:ascii="Book Antiqua" w:eastAsia="Times New Roman" w:hAnsi="Book Antiqua"/>
        </w:rPr>
      </w:pPr>
      <w:r w:rsidRPr="0003051F">
        <w:rPr>
          <w:rFonts w:ascii="Book Antiqua" w:eastAsia="Times New Roman" w:hAnsi="Book Antiqua"/>
          <w:b/>
          <w:smallCaps/>
        </w:rPr>
        <w:t>DOLOŽKA</w:t>
      </w:r>
    </w:p>
    <w:p w14:paraId="60FE59E0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vybraných vplyvov</w:t>
      </w:r>
    </w:p>
    <w:p w14:paraId="18CADAE4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393C219D" w14:textId="1BAB2B08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b/>
        </w:rPr>
      </w:pPr>
      <w:r w:rsidRPr="0003051F">
        <w:rPr>
          <w:rFonts w:ascii="Book Antiqua" w:eastAsia="Times New Roman" w:hAnsi="Book Antiqua"/>
          <w:b/>
        </w:rPr>
        <w:t xml:space="preserve">A.1. Názov materiálu: </w:t>
      </w:r>
      <w:r w:rsidR="00D66DA3" w:rsidRPr="0003051F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neskorš</w:t>
      </w:r>
      <w:r w:rsidR="00F07F08">
        <w:rPr>
          <w:rFonts w:ascii="Book Antiqua" w:hAnsi="Book Antiqua" w:cs="Times New Roman"/>
        </w:rPr>
        <w:t>ích predpisov</w:t>
      </w:r>
    </w:p>
    <w:p w14:paraId="52E25422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</w:rPr>
      </w:pPr>
      <w:r w:rsidRPr="0003051F">
        <w:rPr>
          <w:rFonts w:ascii="Book Antiqua" w:eastAsia="Times New Roman" w:hAnsi="Book Antiqua"/>
          <w:b/>
        </w:rPr>
        <w:t>Termín začatia a ukončenia PPK:</w:t>
      </w:r>
      <w:r w:rsidRPr="0003051F">
        <w:rPr>
          <w:rFonts w:ascii="Book Antiqua" w:eastAsia="Times New Roman" w:hAnsi="Book Antiqua"/>
        </w:rPr>
        <w:t xml:space="preserve"> </w:t>
      </w:r>
      <w:r w:rsidRPr="0003051F">
        <w:rPr>
          <w:rFonts w:ascii="Book Antiqua" w:eastAsia="Times New Roman" w:hAnsi="Book Antiqua"/>
          <w:i/>
        </w:rPr>
        <w:t>bezpredmetné</w:t>
      </w:r>
    </w:p>
    <w:p w14:paraId="4FC27CDC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i/>
        </w:rPr>
      </w:pPr>
    </w:p>
    <w:p w14:paraId="733CDBF6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1C601E" w:rsidRPr="0003051F" w14:paraId="3BD60D5F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CF56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bookmarkStart w:id="1" w:name="_Hlk115171905"/>
            <w:r w:rsidRPr="0003051F">
              <w:rPr>
                <w:rFonts w:ascii="Book Antiqua" w:eastAsia="Times New Roman" w:hAnsi="Book Antiqua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3AB4C1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35234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977E53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Negatívne </w:t>
            </w:r>
          </w:p>
        </w:tc>
      </w:tr>
      <w:tr w:rsidR="001C601E" w:rsidRPr="0003051F" w14:paraId="6CF0256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CBB97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972722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50476" w14:textId="385CFCFD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491D28" w14:textId="0A354321" w:rsidR="001C601E" w:rsidRPr="0003051F" w:rsidRDefault="00D66DA3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</w:tr>
      <w:tr w:rsidR="001C601E" w:rsidRPr="0003051F" w14:paraId="49510807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D8B2A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4A467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7E6454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DBB23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187C7FC2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ADCDC8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BC584F" w14:textId="044A17BE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94A2B3" w14:textId="06B26144" w:rsidR="001C601E" w:rsidRPr="0003051F" w:rsidRDefault="00957C4A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251E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32A4509E" w14:textId="77777777" w:rsidTr="00501920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3DE67A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BFCE9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64F223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9F18C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56E0450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B57F2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 xml:space="preserve">– sociálnu </w:t>
            </w:r>
            <w:proofErr w:type="spellStart"/>
            <w:r w:rsidRPr="0003051F">
              <w:rPr>
                <w:rFonts w:ascii="Book Antiqua" w:eastAsia="Times New Roman" w:hAnsi="Book Antiqua"/>
                <w:color w:val="000000"/>
              </w:rPr>
              <w:t>exklúziu</w:t>
            </w:r>
            <w:proofErr w:type="spellEnd"/>
            <w:r w:rsidRPr="0003051F">
              <w:rPr>
                <w:rFonts w:ascii="Book Antiqua" w:eastAsia="Times New Roman" w:hAnsi="Book Antiqua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DD1A5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488DDE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7746B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38590101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C5DF82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1C6B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599417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9334A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24984E3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885EA0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A3031C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BAFA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DA178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7E6F9F73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E453E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B30F27" w14:textId="58F4BDA3" w:rsidR="001C601E" w:rsidRPr="0003051F" w:rsidRDefault="002410F7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59046A" w14:textId="401BF5F9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0B3EA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</w:tbl>
    <w:bookmarkEnd w:id="1"/>
    <w:p w14:paraId="1FAB2C38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04CC10AD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A.3. Poznámky</w:t>
      </w:r>
    </w:p>
    <w:p w14:paraId="5C689EEF" w14:textId="148329D5" w:rsidR="00047089" w:rsidRPr="00957C4A" w:rsidRDefault="00957C4A" w:rsidP="0003051F">
      <w:pPr>
        <w:spacing w:before="120" w:after="0" w:line="276" w:lineRule="auto"/>
        <w:jc w:val="both"/>
        <w:rPr>
          <w:rFonts w:ascii="Book Antiqua" w:hAnsi="Book Antiqua" w:cs="Times New Roman"/>
          <w:bCs/>
          <w:i/>
        </w:rPr>
      </w:pPr>
      <w:r>
        <w:rPr>
          <w:rFonts w:ascii="Book Antiqua" w:eastAsia="Times New Roman" w:hAnsi="Book Antiqua" w:cs="Times New Roman"/>
          <w:i/>
          <w:lang w:eastAsia="sk-SK"/>
        </w:rPr>
        <w:t>V roku 2023 sa predpokladá dopad na štátny rozpočet vo výške</w:t>
      </w:r>
      <w:r w:rsidRPr="00957C4A">
        <w:rPr>
          <w:rFonts w:ascii="Book Antiqua" w:eastAsia="Times New Roman" w:hAnsi="Book Antiqua" w:cs="Times New Roman"/>
          <w:i/>
          <w:lang w:eastAsia="sk-SK"/>
        </w:rPr>
        <w:t xml:space="preserve"> 689 816 eur, ktorý je rozpočtovo zabezpečený</w:t>
      </w:r>
      <w:r>
        <w:rPr>
          <w:rFonts w:ascii="Book Antiqua" w:eastAsia="Times New Roman" w:hAnsi="Book Antiqua" w:cs="Times New Roman"/>
          <w:i/>
          <w:lang w:eastAsia="sk-SK"/>
        </w:rPr>
        <w:t xml:space="preserve"> </w:t>
      </w:r>
      <w:r w:rsidRPr="00957C4A">
        <w:rPr>
          <w:rFonts w:ascii="Book Antiqua" w:eastAsia="Times New Roman" w:hAnsi="Book Antiqua" w:cs="Times New Roman"/>
          <w:i/>
          <w:lang w:eastAsia="sk-SK"/>
        </w:rPr>
        <w:t>z rozpočtového opatrenia MF SR č. 138/11/2023. Nárast výdavkov, ktorý nie je rozpočtovo zabezpečený, je kvantifikovaný v roku 2024 a 2025 v sume 34 491 eur ročne a v roku 2026 v sume 774 491 eur</w:t>
      </w:r>
      <w:r>
        <w:rPr>
          <w:rFonts w:ascii="Book Antiqua" w:eastAsia="Times New Roman" w:hAnsi="Book Antiqua" w:cs="Times New Roman"/>
          <w:i/>
          <w:lang w:eastAsia="sk-SK"/>
        </w:rPr>
        <w:t xml:space="preserve"> (to už zahŕňa aj náklady na tlač a distribúciu zoznamov kandidátov do každej domácnosti v spojených komunálnych voľbách, hoci to návrh zákona v predloženom znení zatiaľ legislatívne nerieši). </w:t>
      </w:r>
      <w:r w:rsidRPr="00074A10">
        <w:rPr>
          <w:rFonts w:ascii="Book Antiqua" w:hAnsi="Book Antiqua"/>
          <w:i/>
        </w:rPr>
        <w:t xml:space="preserve">Tento </w:t>
      </w:r>
      <w:r>
        <w:rPr>
          <w:rFonts w:ascii="Book Antiqua" w:hAnsi="Book Antiqua"/>
          <w:i/>
        </w:rPr>
        <w:t xml:space="preserve">nekrytý </w:t>
      </w:r>
      <w:r w:rsidRPr="00074A10">
        <w:rPr>
          <w:rFonts w:ascii="Book Antiqua" w:hAnsi="Book Antiqua"/>
          <w:i/>
        </w:rPr>
        <w:t xml:space="preserve">výpadok v štátnom rozpočte navrhujeme uhradiť z rozpočtovej rezervy (VPS) na riešenie vplyvov legislatívnych zmien, kde je </w:t>
      </w:r>
      <w:r w:rsidRPr="00382120">
        <w:rPr>
          <w:rFonts w:ascii="Book Antiqua" w:hAnsi="Book Antiqua"/>
          <w:i/>
        </w:rPr>
        <w:t xml:space="preserve">alokovaných </w:t>
      </w:r>
      <w:r>
        <w:rPr>
          <w:rFonts w:ascii="Book Antiqua" w:hAnsi="Book Antiqua" w:cs="Arial"/>
          <w:i/>
          <w:color w:val="222222"/>
          <w:shd w:val="clear" w:color="auto" w:fill="FFFFFF"/>
        </w:rPr>
        <w:t>857 992 282 € (nejde o štrukturálny výdavok, keďže sa vynakladá raz za štyri roky).</w:t>
      </w:r>
    </w:p>
    <w:p w14:paraId="23A87665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hAnsi="Book Antiqua"/>
          <w:i/>
          <w:iCs/>
        </w:rPr>
      </w:pPr>
    </w:p>
    <w:p w14:paraId="10D2C75A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A.4. Alternatívne riešenia</w:t>
      </w:r>
    </w:p>
    <w:p w14:paraId="01368631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i/>
          <w:color w:val="000000"/>
        </w:rPr>
      </w:pPr>
      <w:r w:rsidRPr="0003051F">
        <w:rPr>
          <w:rFonts w:ascii="Book Antiqua" w:eastAsia="Times New Roman" w:hAnsi="Book Antiqua"/>
          <w:i/>
          <w:color w:val="000000"/>
        </w:rPr>
        <w:t>bezpredmetné</w:t>
      </w:r>
    </w:p>
    <w:p w14:paraId="23C6A5A6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</w:p>
    <w:p w14:paraId="16CD8C5A" w14:textId="72471E4C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lastRenderedPageBreak/>
        <w:t>A.5. Stanovisko gestorov</w:t>
      </w:r>
    </w:p>
    <w:p w14:paraId="2D622ED7" w14:textId="4677729B" w:rsidR="00DA163A" w:rsidRPr="0003051F" w:rsidRDefault="00357A5C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Cs/>
          <w:color w:val="000000"/>
        </w:rPr>
      </w:pPr>
      <w:r w:rsidRPr="00476E46">
        <w:rPr>
          <w:rFonts w:ascii="Book Antiqua" w:hAnsi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74F27902" w14:textId="77777777" w:rsidR="001C601E" w:rsidRPr="0003051F" w:rsidRDefault="001C601E" w:rsidP="0003051F">
      <w:pPr>
        <w:spacing w:before="120" w:after="0" w:line="276" w:lineRule="auto"/>
        <w:rPr>
          <w:rFonts w:ascii="Book Antiqua" w:hAnsi="Book Antiqua"/>
        </w:rPr>
      </w:pPr>
    </w:p>
    <w:p w14:paraId="4748FBC0" w14:textId="77777777" w:rsidR="001C601E" w:rsidRPr="0003051F" w:rsidRDefault="001C601E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6D2F5AC9" w14:textId="7869F29C" w:rsidR="00FD5E9A" w:rsidRPr="0003051F" w:rsidRDefault="00777FB8" w:rsidP="0003051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03051F">
        <w:rPr>
          <w:rFonts w:ascii="Book Antiqua" w:hAnsi="Book Antiqua"/>
          <w:bCs/>
          <w:sz w:val="22"/>
          <w:szCs w:val="22"/>
        </w:rPr>
        <w:t>,</w:t>
      </w:r>
    </w:p>
    <w:p w14:paraId="707CC9AE" w14:textId="7AA204E5" w:rsidR="00777FB8" w:rsidRPr="0003051F" w:rsidRDefault="00777FB8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2E8DCB89" w14:textId="77777777" w:rsidR="00777FB8" w:rsidRPr="0003051F" w:rsidRDefault="00777FB8" w:rsidP="0003051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58FAE40D" w14:textId="70F0868A" w:rsidR="00383163" w:rsidRPr="0003051F" w:rsidRDefault="004F49D8" w:rsidP="0003051F">
      <w:pPr>
        <w:spacing w:before="120" w:after="0" w:line="276" w:lineRule="auto"/>
        <w:jc w:val="both"/>
        <w:rPr>
          <w:rFonts w:ascii="Book Antiqua" w:hAnsi="Book Antiqua"/>
        </w:rPr>
      </w:pPr>
      <w:r w:rsidRPr="0003051F">
        <w:rPr>
          <w:rFonts w:ascii="Book Antiqua" w:hAnsi="Book Antiqua"/>
        </w:rPr>
        <w:t xml:space="preserve"> </w:t>
      </w:r>
    </w:p>
    <w:sectPr w:rsidR="00383163" w:rsidRPr="0003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984"/>
    <w:multiLevelType w:val="hybridMultilevel"/>
    <w:tmpl w:val="527273A8"/>
    <w:lvl w:ilvl="0" w:tplc="0ABAC5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4E1"/>
    <w:multiLevelType w:val="hybridMultilevel"/>
    <w:tmpl w:val="7C1E2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8E13DD"/>
    <w:multiLevelType w:val="hybridMultilevel"/>
    <w:tmpl w:val="ABBCBD9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4164FC9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B8"/>
    <w:rsid w:val="000261F3"/>
    <w:rsid w:val="0003051F"/>
    <w:rsid w:val="00047089"/>
    <w:rsid w:val="00047B9C"/>
    <w:rsid w:val="00122228"/>
    <w:rsid w:val="00157A7A"/>
    <w:rsid w:val="0018030F"/>
    <w:rsid w:val="001B7228"/>
    <w:rsid w:val="001C601E"/>
    <w:rsid w:val="002410F7"/>
    <w:rsid w:val="00357A5C"/>
    <w:rsid w:val="00383163"/>
    <w:rsid w:val="003A39B8"/>
    <w:rsid w:val="004419D5"/>
    <w:rsid w:val="00444958"/>
    <w:rsid w:val="004F0F6C"/>
    <w:rsid w:val="004F49D8"/>
    <w:rsid w:val="0051302F"/>
    <w:rsid w:val="00553A4D"/>
    <w:rsid w:val="005907E3"/>
    <w:rsid w:val="005B24E2"/>
    <w:rsid w:val="005B5473"/>
    <w:rsid w:val="00652F91"/>
    <w:rsid w:val="006F0375"/>
    <w:rsid w:val="007539DC"/>
    <w:rsid w:val="00777FB8"/>
    <w:rsid w:val="007D7A83"/>
    <w:rsid w:val="007D7EA9"/>
    <w:rsid w:val="007E3849"/>
    <w:rsid w:val="007F5830"/>
    <w:rsid w:val="008841DE"/>
    <w:rsid w:val="008B19B2"/>
    <w:rsid w:val="008B5D2E"/>
    <w:rsid w:val="00957C4A"/>
    <w:rsid w:val="009609CE"/>
    <w:rsid w:val="00995B44"/>
    <w:rsid w:val="00A97E0C"/>
    <w:rsid w:val="00AA405F"/>
    <w:rsid w:val="00AC545A"/>
    <w:rsid w:val="00B67040"/>
    <w:rsid w:val="00B86665"/>
    <w:rsid w:val="00C140C5"/>
    <w:rsid w:val="00C66438"/>
    <w:rsid w:val="00C97421"/>
    <w:rsid w:val="00CE15F6"/>
    <w:rsid w:val="00D5639C"/>
    <w:rsid w:val="00D66DA3"/>
    <w:rsid w:val="00DA163A"/>
    <w:rsid w:val="00E87907"/>
    <w:rsid w:val="00EE47DB"/>
    <w:rsid w:val="00F07F08"/>
    <w:rsid w:val="00F31715"/>
    <w:rsid w:val="00F407E7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749"/>
  <w15:docId w15:val="{FB45DDA1-6CD4-43C9-9AE4-AAEFB8C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77FB8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77FB8"/>
    <w:pPr>
      <w:spacing w:after="0" w:line="240" w:lineRule="auto"/>
      <w:jc w:val="both"/>
    </w:pPr>
    <w:rPr>
      <w:rFonts w:ascii="Times New Roman" w:eastAsiaTheme="minorEastAsia"/>
      <w:kern w:val="2"/>
      <w:sz w:val="24"/>
      <w:szCs w:val="24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777FB8"/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777FB8"/>
    <w:pPr>
      <w:ind w:left="720"/>
      <w:contextualSpacing/>
    </w:pPr>
  </w:style>
  <w:style w:type="table" w:styleId="Mriekatabuky">
    <w:name w:val="Table Grid"/>
    <w:basedOn w:val="Normlnatabuka"/>
    <w:uiPriority w:val="59"/>
    <w:rsid w:val="00FD5E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chodzie"/>
    <w:qFormat/>
    <w:rsid w:val="001C601E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kern w:val="0"/>
      <w:lang w:bidi="hi-IN"/>
      <w14:ligatures w14:val="none"/>
    </w:rPr>
  </w:style>
  <w:style w:type="character" w:customStyle="1" w:styleId="awspan">
    <w:name w:val="awspan"/>
    <w:basedOn w:val="Predvolenpsmoodseku"/>
    <w:qFormat/>
    <w:rsid w:val="001C601E"/>
  </w:style>
  <w:style w:type="paragraph" w:styleId="Normlnywebov">
    <w:name w:val="Normal (Web)"/>
    <w:basedOn w:val="Normlny"/>
    <w:uiPriority w:val="99"/>
    <w:qFormat/>
    <w:rsid w:val="001C601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7B9C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E47D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5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23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06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401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480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59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Kuchárova</dc:creator>
  <cp:lastModifiedBy>Vetrák, Milan</cp:lastModifiedBy>
  <cp:revision>2</cp:revision>
  <dcterms:created xsi:type="dcterms:W3CDTF">2023-04-14T10:19:00Z</dcterms:created>
  <dcterms:modified xsi:type="dcterms:W3CDTF">2023-04-14T10:19:00Z</dcterms:modified>
</cp:coreProperties>
</file>