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CF8" w:rsidRPr="00793146" w:rsidRDefault="00734CF8" w:rsidP="00BA4143">
      <w:pPr>
        <w:pBdr>
          <w:bottom w:val="single" w:sz="12" w:space="1" w:color="auto"/>
        </w:pBdr>
        <w:spacing w:before="120" w:line="276" w:lineRule="auto"/>
        <w:jc w:val="center"/>
        <w:rPr>
          <w:rFonts w:ascii="Book Antiqua" w:hAnsi="Book Antiqua" w:cs="Book Antiqua"/>
          <w:b/>
          <w:bCs/>
          <w:spacing w:val="20"/>
          <w:sz w:val="22"/>
          <w:szCs w:val="22"/>
        </w:rPr>
      </w:pPr>
      <w:bookmarkStart w:id="0" w:name="_GoBack"/>
      <w:bookmarkEnd w:id="0"/>
      <w:r w:rsidRPr="00793146">
        <w:rPr>
          <w:rFonts w:ascii="Book Antiqua" w:hAnsi="Book Antiqua" w:cs="Book Antiqua"/>
          <w:b/>
          <w:bCs/>
          <w:spacing w:val="20"/>
          <w:sz w:val="22"/>
          <w:szCs w:val="22"/>
        </w:rPr>
        <w:t>NÁRODNÁ  RADA  SLOVENSKEJ  REPUBLIKY</w:t>
      </w:r>
    </w:p>
    <w:p w:rsidR="00734CF8" w:rsidRPr="00793146" w:rsidRDefault="00734CF8" w:rsidP="00BA4143">
      <w:pPr>
        <w:spacing w:before="120" w:line="276" w:lineRule="auto"/>
        <w:jc w:val="center"/>
        <w:rPr>
          <w:rFonts w:ascii="Book Antiqua" w:hAnsi="Book Antiqua" w:cs="Book Antiqua"/>
          <w:spacing w:val="20"/>
          <w:sz w:val="22"/>
          <w:szCs w:val="22"/>
        </w:rPr>
      </w:pPr>
    </w:p>
    <w:p w:rsidR="00734CF8" w:rsidRPr="00367D0F" w:rsidRDefault="00734CF8" w:rsidP="00BA4143">
      <w:pPr>
        <w:spacing w:before="120" w:line="276" w:lineRule="auto"/>
        <w:jc w:val="center"/>
        <w:rPr>
          <w:rFonts w:ascii="Book Antiqua" w:hAnsi="Book Antiqua" w:cs="Book Antiqua"/>
          <w:spacing w:val="20"/>
          <w:sz w:val="22"/>
          <w:szCs w:val="22"/>
        </w:rPr>
      </w:pPr>
      <w:r w:rsidRPr="00367D0F">
        <w:rPr>
          <w:rFonts w:ascii="Book Antiqua" w:hAnsi="Book Antiqua" w:cs="Book Antiqua"/>
          <w:spacing w:val="20"/>
          <w:sz w:val="22"/>
          <w:szCs w:val="22"/>
        </w:rPr>
        <w:t>VII</w:t>
      </w:r>
      <w:r w:rsidR="00837342">
        <w:rPr>
          <w:rFonts w:ascii="Book Antiqua" w:hAnsi="Book Antiqua" w:cs="Book Antiqua"/>
          <w:spacing w:val="20"/>
          <w:sz w:val="22"/>
          <w:szCs w:val="22"/>
        </w:rPr>
        <w:t>I</w:t>
      </w:r>
      <w:r w:rsidRPr="00367D0F">
        <w:rPr>
          <w:rFonts w:ascii="Book Antiqua" w:hAnsi="Book Antiqua" w:cs="Book Antiqua"/>
          <w:spacing w:val="20"/>
          <w:sz w:val="22"/>
          <w:szCs w:val="22"/>
        </w:rPr>
        <w:t>. volebné obdobie</w:t>
      </w:r>
    </w:p>
    <w:p w:rsidR="00734CF8" w:rsidRPr="00367D0F" w:rsidRDefault="00734CF8" w:rsidP="00BA4143">
      <w:pPr>
        <w:spacing w:before="120" w:line="276" w:lineRule="auto"/>
        <w:jc w:val="center"/>
        <w:rPr>
          <w:rFonts w:ascii="Book Antiqua" w:hAnsi="Book Antiqua" w:cs="Book Antiqua"/>
          <w:b/>
          <w:bCs/>
          <w:spacing w:val="30"/>
          <w:sz w:val="22"/>
          <w:szCs w:val="22"/>
        </w:rPr>
      </w:pPr>
    </w:p>
    <w:p w:rsidR="00734CF8" w:rsidRPr="00367D0F" w:rsidRDefault="00734CF8" w:rsidP="00BA4143">
      <w:pPr>
        <w:spacing w:before="120" w:line="276" w:lineRule="auto"/>
        <w:jc w:val="center"/>
        <w:rPr>
          <w:rFonts w:ascii="Book Antiqua" w:hAnsi="Book Antiqua" w:cs="Book Antiqua"/>
          <w:b/>
          <w:bCs/>
          <w:spacing w:val="30"/>
          <w:sz w:val="22"/>
          <w:szCs w:val="22"/>
        </w:rPr>
      </w:pPr>
    </w:p>
    <w:p w:rsidR="00734CF8" w:rsidRPr="003C5A1D" w:rsidRDefault="00734CF8" w:rsidP="00BA4143">
      <w:pPr>
        <w:spacing w:before="120" w:line="276" w:lineRule="auto"/>
        <w:jc w:val="center"/>
        <w:rPr>
          <w:rFonts w:ascii="Book Antiqua" w:hAnsi="Book Antiqua" w:cs="Book Antiqua"/>
          <w:bCs/>
          <w:spacing w:val="30"/>
          <w:sz w:val="22"/>
          <w:szCs w:val="22"/>
        </w:rPr>
      </w:pPr>
      <w:r w:rsidRPr="003C5A1D">
        <w:rPr>
          <w:rFonts w:ascii="Book Antiqua" w:hAnsi="Book Antiqua" w:cs="Book Antiqua"/>
          <w:bCs/>
          <w:spacing w:val="30"/>
          <w:sz w:val="22"/>
          <w:szCs w:val="22"/>
        </w:rPr>
        <w:t xml:space="preserve">Návrh </w:t>
      </w:r>
    </w:p>
    <w:p w:rsidR="00734CF8" w:rsidRPr="00367D0F" w:rsidRDefault="00734CF8" w:rsidP="00BA4143">
      <w:pPr>
        <w:spacing w:before="120" w:line="276" w:lineRule="auto"/>
        <w:jc w:val="center"/>
        <w:rPr>
          <w:rFonts w:ascii="Book Antiqua" w:hAnsi="Book Antiqua" w:cs="Book Antiqua"/>
          <w:b/>
          <w:bCs/>
          <w:spacing w:val="30"/>
          <w:sz w:val="22"/>
          <w:szCs w:val="22"/>
        </w:rPr>
      </w:pPr>
    </w:p>
    <w:p w:rsidR="00734CF8" w:rsidRPr="00367D0F" w:rsidRDefault="00734CF8" w:rsidP="00BA4143">
      <w:pPr>
        <w:spacing w:before="120" w:line="276" w:lineRule="auto"/>
        <w:jc w:val="center"/>
        <w:rPr>
          <w:rFonts w:ascii="Book Antiqua" w:hAnsi="Book Antiqua" w:cs="Book Antiqua"/>
          <w:b/>
          <w:bCs/>
          <w:caps/>
          <w:spacing w:val="30"/>
          <w:sz w:val="22"/>
          <w:szCs w:val="22"/>
        </w:rPr>
      </w:pPr>
      <w:r w:rsidRPr="00367D0F">
        <w:rPr>
          <w:rFonts w:ascii="Book Antiqua" w:hAnsi="Book Antiqua" w:cs="Book Antiqua"/>
          <w:b/>
          <w:bCs/>
          <w:caps/>
          <w:spacing w:val="30"/>
          <w:sz w:val="22"/>
          <w:szCs w:val="22"/>
        </w:rPr>
        <w:t>zákon</w:t>
      </w:r>
    </w:p>
    <w:p w:rsidR="00734CF8" w:rsidRPr="00367D0F" w:rsidRDefault="00734CF8" w:rsidP="00BA4143">
      <w:pPr>
        <w:spacing w:before="120" w:line="276" w:lineRule="auto"/>
        <w:jc w:val="center"/>
        <w:rPr>
          <w:rFonts w:ascii="Book Antiqua" w:hAnsi="Book Antiqua" w:cs="Book Antiqua"/>
          <w:sz w:val="22"/>
          <w:szCs w:val="22"/>
        </w:rPr>
      </w:pPr>
    </w:p>
    <w:p w:rsidR="00734CF8" w:rsidRPr="00793146" w:rsidRDefault="00837342" w:rsidP="00BA4143">
      <w:pPr>
        <w:spacing w:before="120" w:line="276" w:lineRule="auto"/>
        <w:jc w:val="center"/>
        <w:rPr>
          <w:rFonts w:ascii="Book Antiqua" w:hAnsi="Book Antiqua" w:cs="Book Antiqua"/>
          <w:sz w:val="22"/>
          <w:szCs w:val="22"/>
        </w:rPr>
      </w:pPr>
      <w:r>
        <w:rPr>
          <w:rFonts w:ascii="Book Antiqua" w:hAnsi="Book Antiqua" w:cs="Book Antiqua"/>
          <w:sz w:val="22"/>
          <w:szCs w:val="22"/>
        </w:rPr>
        <w:t>z ... 2023</w:t>
      </w:r>
      <w:r w:rsidR="00734CF8" w:rsidRPr="00367D0F">
        <w:rPr>
          <w:rFonts w:ascii="Book Antiqua" w:hAnsi="Book Antiqua" w:cs="Book Antiqua"/>
          <w:sz w:val="22"/>
          <w:szCs w:val="22"/>
        </w:rPr>
        <w:t>,</w:t>
      </w:r>
    </w:p>
    <w:p w:rsidR="00734CF8" w:rsidRPr="00793146" w:rsidRDefault="00734CF8" w:rsidP="00BA4143">
      <w:pPr>
        <w:spacing w:before="120" w:line="276" w:lineRule="auto"/>
        <w:jc w:val="center"/>
        <w:rPr>
          <w:rFonts w:ascii="Book Antiqua" w:hAnsi="Book Antiqua" w:cs="Book Antiqua"/>
          <w:sz w:val="22"/>
          <w:szCs w:val="22"/>
        </w:rPr>
      </w:pPr>
    </w:p>
    <w:p w:rsidR="00734CF8" w:rsidRPr="00793146" w:rsidRDefault="00734CF8" w:rsidP="00BA4143">
      <w:pPr>
        <w:spacing w:before="120" w:line="276" w:lineRule="auto"/>
        <w:jc w:val="center"/>
        <w:rPr>
          <w:rFonts w:ascii="Book Antiqua" w:hAnsi="Book Antiqua" w:cs="Book Antiqua"/>
          <w:sz w:val="22"/>
          <w:szCs w:val="22"/>
        </w:rPr>
      </w:pPr>
      <w:r w:rsidRPr="00793146">
        <w:rPr>
          <w:rFonts w:ascii="Book Antiqua" w:hAnsi="Book Antiqua" w:cs="Book Antiqua"/>
          <w:b/>
          <w:bCs/>
          <w:sz w:val="22"/>
          <w:szCs w:val="22"/>
        </w:rPr>
        <w:t>ktorým sa mení a dopĺňa zákon Národnej rady Slovenskej republiky č. 350/1996 Z. z. o rokovacom poriadku Národnej rady Slovenskej republiky v znení neskorších predpisov</w:t>
      </w:r>
    </w:p>
    <w:p w:rsidR="00734CF8" w:rsidRPr="00793146" w:rsidRDefault="00734CF8" w:rsidP="00BA4143">
      <w:pPr>
        <w:spacing w:before="120" w:line="276" w:lineRule="auto"/>
        <w:jc w:val="both"/>
        <w:rPr>
          <w:rFonts w:ascii="Book Antiqua" w:hAnsi="Book Antiqua" w:cs="Book Antiqua"/>
          <w:sz w:val="22"/>
          <w:szCs w:val="22"/>
        </w:rPr>
      </w:pPr>
    </w:p>
    <w:p w:rsidR="00734CF8" w:rsidRPr="00793146" w:rsidRDefault="00734CF8" w:rsidP="00BA4143">
      <w:pPr>
        <w:spacing w:before="120" w:line="276" w:lineRule="auto"/>
        <w:jc w:val="both"/>
        <w:rPr>
          <w:rFonts w:ascii="Book Antiqua" w:hAnsi="Book Antiqua" w:cs="Book Antiqua"/>
          <w:sz w:val="22"/>
          <w:szCs w:val="22"/>
        </w:rPr>
      </w:pPr>
      <w:r w:rsidRPr="00793146">
        <w:rPr>
          <w:rFonts w:ascii="Book Antiqua" w:hAnsi="Book Antiqua" w:cs="Book Antiqua"/>
          <w:sz w:val="22"/>
          <w:szCs w:val="22"/>
        </w:rPr>
        <w:t xml:space="preserve">Národná rada Slovenskej republiky sa uzniesla na tomto zákone: </w:t>
      </w:r>
    </w:p>
    <w:p w:rsidR="00734CF8" w:rsidRPr="00793146" w:rsidRDefault="00734CF8" w:rsidP="00BA4143">
      <w:pPr>
        <w:spacing w:before="120" w:line="276" w:lineRule="auto"/>
        <w:jc w:val="center"/>
        <w:rPr>
          <w:rFonts w:ascii="Book Antiqua" w:hAnsi="Book Antiqua" w:cs="Book Antiqua"/>
          <w:b/>
          <w:bCs/>
          <w:sz w:val="22"/>
          <w:szCs w:val="22"/>
        </w:rPr>
      </w:pPr>
    </w:p>
    <w:p w:rsidR="00734CF8" w:rsidRPr="00CF2E10" w:rsidRDefault="00734CF8" w:rsidP="00CF2E10">
      <w:pPr>
        <w:pStyle w:val="Nadpis3Podloha"/>
        <w:numPr>
          <w:ilvl w:val="0"/>
          <w:numId w:val="0"/>
        </w:numPr>
        <w:spacing w:line="276" w:lineRule="auto"/>
        <w:jc w:val="center"/>
        <w:rPr>
          <w:rFonts w:ascii="Book Antiqua" w:hAnsi="Book Antiqua" w:cs="Book Antiqua"/>
          <w:b/>
          <w:bCs/>
          <w:sz w:val="22"/>
          <w:szCs w:val="22"/>
        </w:rPr>
      </w:pPr>
      <w:r>
        <w:rPr>
          <w:rFonts w:ascii="Book Antiqua" w:hAnsi="Book Antiqua" w:cs="Book Antiqua"/>
          <w:b/>
          <w:bCs/>
          <w:sz w:val="22"/>
          <w:szCs w:val="22"/>
        </w:rPr>
        <w:t>Čl. I</w:t>
      </w:r>
    </w:p>
    <w:p w:rsidR="00837342" w:rsidRDefault="00734CF8" w:rsidP="00837342">
      <w:pPr>
        <w:pStyle w:val="Zkladntext"/>
        <w:spacing w:before="120" w:line="276" w:lineRule="auto"/>
        <w:ind w:firstLine="708"/>
        <w:rPr>
          <w:rFonts w:ascii="Book Antiqua" w:hAnsi="Book Antiqua" w:cs="Book Antiqua"/>
          <w:sz w:val="22"/>
          <w:szCs w:val="22"/>
        </w:rPr>
      </w:pPr>
      <w:r w:rsidRPr="000A0F29">
        <w:rPr>
          <w:rFonts w:ascii="Book Antiqua" w:hAnsi="Book Antiqua" w:cs="Book Antiqua"/>
          <w:sz w:val="22"/>
          <w:szCs w:val="22"/>
        </w:rPr>
        <w:t>Zákon Národnej rady  Slovenskej  republiky  č. 350/1996 Z. z. o rokovacom  poriadku Národnej  rady Slovenskej  republiky v znení nálezu Ústavného súdu  Slovenskej  republiky č. 77/1998  Z. z., zákona č. 86/2000 Z. z., zákona č. 138/2002 Z. z., zákona č. 100/2003           Z. z., zákona č. 551/2003 Z. z., zákona č. 215/2004 Z. z., zákona č. 360/2004 Z. z., zákona            č. 253/2005 Z. z., nálezu Ústavného súdu Slovenskej republiky č. 320/2005 Z. z., zákona        č. 261/2006 Z. z., zákona č. 199/2007 Z. z., zákona č. 400/2009 Z. z., zákona č. 38/2010 Z. z., zákona č. 153/2011 Z. z., zákona č. 187/2011 Z. z., uznesenia Ústavného súdu Slovenskej republiky č. 191/2011 Z. z., uznesenia Ústavného súdu Slovenskej republiky č. 237/2011       Z. z., zákona č. 69/2012 Z. z., zákona č. 79/2012 Z. z., zákona č. 236/2012 Z. z., zákona               č. 296/2012 Z. z., zákona č. 330/2012 Z. z., zákona č. 309/2013, zákona č. 402/2013 Z. z., zákona č. 375/2015 Z. z., zákona č. 399/2015 Z. z., zákona č. 1/2017 Z. z., zákona č. 55/2017 Z. z., zákona č. 217/2018 Z. z., zákona č. 314/2018 Z.</w:t>
      </w:r>
      <w:r w:rsidR="00837342">
        <w:rPr>
          <w:rFonts w:ascii="Book Antiqua" w:hAnsi="Book Antiqua" w:cs="Book Antiqua"/>
          <w:sz w:val="22"/>
          <w:szCs w:val="22"/>
        </w:rPr>
        <w:t xml:space="preserve"> z., zákona č. 318/2018 Z. z., </w:t>
      </w:r>
      <w:r w:rsidRPr="000A0F29">
        <w:rPr>
          <w:rFonts w:ascii="Book Antiqua" w:hAnsi="Book Antiqua" w:cs="Book Antiqua"/>
          <w:sz w:val="22"/>
          <w:szCs w:val="22"/>
        </w:rPr>
        <w:t xml:space="preserve">zákona </w:t>
      </w:r>
      <w:r w:rsidR="000A0F29" w:rsidRPr="000A0F29">
        <w:rPr>
          <w:rFonts w:ascii="Book Antiqua" w:hAnsi="Book Antiqua" w:cs="Book Antiqua"/>
          <w:sz w:val="22"/>
          <w:szCs w:val="22"/>
        </w:rPr>
        <w:t xml:space="preserve">    </w:t>
      </w:r>
      <w:r w:rsidR="00837342">
        <w:rPr>
          <w:rFonts w:ascii="Book Antiqua" w:hAnsi="Book Antiqua" w:cs="Book Antiqua"/>
          <w:sz w:val="22"/>
          <w:szCs w:val="22"/>
        </w:rPr>
        <w:t xml:space="preserve">  </w:t>
      </w:r>
      <w:r w:rsidRPr="000A0F29">
        <w:rPr>
          <w:rFonts w:ascii="Book Antiqua" w:hAnsi="Book Antiqua" w:cs="Book Antiqua"/>
          <w:sz w:val="22"/>
          <w:szCs w:val="22"/>
        </w:rPr>
        <w:t>č. 6/2019 Z. z.</w:t>
      </w:r>
      <w:r w:rsidR="00837342">
        <w:rPr>
          <w:rFonts w:ascii="Book Antiqua" w:hAnsi="Book Antiqua" w:cs="Book Antiqua"/>
          <w:sz w:val="22"/>
          <w:szCs w:val="22"/>
        </w:rPr>
        <w:t xml:space="preserve">, </w:t>
      </w:r>
      <w:r w:rsidR="00837342" w:rsidRPr="00837342">
        <w:rPr>
          <w:rFonts w:ascii="Book Antiqua" w:hAnsi="Book Antiqua" w:cs="Segoe UI"/>
          <w:sz w:val="22"/>
          <w:szCs w:val="22"/>
          <w:shd w:val="clear" w:color="auto" w:fill="FFFFFF"/>
        </w:rPr>
        <w:t>zákona č. 241/2020 Z.</w:t>
      </w:r>
      <w:r w:rsidR="00837342">
        <w:rPr>
          <w:rFonts w:ascii="Book Antiqua" w:hAnsi="Book Antiqua" w:cs="Segoe UI"/>
          <w:sz w:val="22"/>
          <w:szCs w:val="22"/>
          <w:shd w:val="clear" w:color="auto" w:fill="FFFFFF"/>
        </w:rPr>
        <w:t xml:space="preserve"> z., zákona č. 423/2020 Z. z., </w:t>
      </w:r>
      <w:r w:rsidR="00837342" w:rsidRPr="00837342">
        <w:rPr>
          <w:rFonts w:ascii="Book Antiqua" w:hAnsi="Book Antiqua" w:cs="Segoe UI"/>
          <w:sz w:val="22"/>
          <w:szCs w:val="22"/>
          <w:shd w:val="clear" w:color="auto" w:fill="FFFFFF"/>
        </w:rPr>
        <w:t>zákona č. 288/2021 Z. z.</w:t>
      </w:r>
      <w:r w:rsidRPr="00837342">
        <w:rPr>
          <w:rFonts w:ascii="Book Antiqua" w:hAnsi="Book Antiqua" w:cs="Book Antiqua"/>
          <w:sz w:val="22"/>
          <w:szCs w:val="22"/>
        </w:rPr>
        <w:t xml:space="preserve"> </w:t>
      </w:r>
      <w:r w:rsidR="00837342">
        <w:rPr>
          <w:rFonts w:ascii="Book Antiqua" w:hAnsi="Book Antiqua" w:cs="Book Antiqua"/>
          <w:sz w:val="22"/>
          <w:szCs w:val="22"/>
        </w:rPr>
        <w:t xml:space="preserve">a zákona č. .../2023 Z. z. </w:t>
      </w:r>
      <w:r w:rsidRPr="000A0F29">
        <w:rPr>
          <w:rFonts w:ascii="Book Antiqua" w:hAnsi="Book Antiqua" w:cs="Book Antiqua"/>
          <w:sz w:val="22"/>
          <w:szCs w:val="22"/>
        </w:rPr>
        <w:t>sa mení a dopĺňa takto:</w:t>
      </w:r>
    </w:p>
    <w:p w:rsidR="00837342" w:rsidRDefault="00837342" w:rsidP="00837342">
      <w:pPr>
        <w:pStyle w:val="Zkladntext"/>
        <w:spacing w:before="120" w:line="276" w:lineRule="auto"/>
        <w:ind w:left="851" w:hanging="425"/>
        <w:rPr>
          <w:rFonts w:ascii="Book Antiqua" w:hAnsi="Book Antiqua"/>
          <w:noProof/>
          <w:sz w:val="22"/>
          <w:szCs w:val="22"/>
        </w:rPr>
      </w:pPr>
      <w:r>
        <w:rPr>
          <w:rFonts w:ascii="Book Antiqua" w:hAnsi="Book Antiqua" w:cs="Book Antiqua"/>
          <w:sz w:val="22"/>
          <w:szCs w:val="22"/>
        </w:rPr>
        <w:t xml:space="preserve">1. </w:t>
      </w:r>
      <w:r>
        <w:rPr>
          <w:rFonts w:ascii="Book Antiqua" w:hAnsi="Book Antiqua" w:cs="Book Antiqua"/>
          <w:sz w:val="22"/>
          <w:szCs w:val="22"/>
        </w:rPr>
        <w:tab/>
      </w:r>
      <w:r w:rsidR="00FC12CF" w:rsidRPr="00FE74AF">
        <w:rPr>
          <w:rFonts w:ascii="Book Antiqua" w:hAnsi="Book Antiqua"/>
          <w:noProof/>
          <w:sz w:val="22"/>
          <w:szCs w:val="22"/>
        </w:rPr>
        <w:t>V § 17 ods. 2 druhej vete sa na konci pripájajú tieto slová: „alebo tretina členov Výboru Národnej rady Slovenskej republiky pre európske záležitosti (ďalej len „výbor pre európske záležitosti“) v prípade návrhu legislatívneho aktu Európskej únie podľa § 58aa ods. 4“.</w:t>
      </w:r>
    </w:p>
    <w:p w:rsidR="00E06B4A" w:rsidRDefault="00837342" w:rsidP="00837342">
      <w:pPr>
        <w:pStyle w:val="Zkladntext"/>
        <w:spacing w:before="120" w:line="276" w:lineRule="auto"/>
        <w:ind w:left="851" w:hanging="425"/>
        <w:rPr>
          <w:rFonts w:ascii="Book Antiqua" w:hAnsi="Book Antiqua"/>
          <w:sz w:val="22"/>
          <w:szCs w:val="22"/>
        </w:rPr>
      </w:pPr>
      <w:r>
        <w:rPr>
          <w:rFonts w:ascii="Book Antiqua" w:hAnsi="Book Antiqua"/>
          <w:noProof/>
          <w:sz w:val="22"/>
          <w:szCs w:val="22"/>
        </w:rPr>
        <w:t>2.</w:t>
      </w:r>
      <w:r>
        <w:rPr>
          <w:rFonts w:ascii="Book Antiqua" w:hAnsi="Book Antiqua"/>
          <w:noProof/>
          <w:sz w:val="22"/>
          <w:szCs w:val="22"/>
        </w:rPr>
        <w:tab/>
      </w:r>
      <w:r w:rsidR="00E06B4A" w:rsidRPr="00E06B4A">
        <w:rPr>
          <w:rFonts w:ascii="Book Antiqua" w:hAnsi="Book Antiqua"/>
          <w:noProof/>
          <w:sz w:val="22"/>
          <w:szCs w:val="22"/>
        </w:rPr>
        <w:t>V § 24 ods. 1 sa vkladá nová prvá veta, ktorá znie: „</w:t>
      </w:r>
      <w:r w:rsidR="00E06B4A" w:rsidRPr="00E06B4A">
        <w:rPr>
          <w:rFonts w:ascii="Book Antiqua" w:hAnsi="Book Antiqua"/>
          <w:sz w:val="22"/>
          <w:szCs w:val="22"/>
        </w:rPr>
        <w:t>Ihneď po otvorení každej schôdze zaznie v rokovacej sále štátna hymna Slovenskej republiky</w:t>
      </w:r>
      <w:r w:rsidR="00E06B4A">
        <w:rPr>
          <w:rFonts w:ascii="Book Antiqua" w:hAnsi="Book Antiqua"/>
          <w:sz w:val="22"/>
          <w:szCs w:val="22"/>
        </w:rPr>
        <w:t>.“.</w:t>
      </w:r>
    </w:p>
    <w:p w:rsidR="00E06B4A" w:rsidRDefault="00E06B4A" w:rsidP="00837342">
      <w:pPr>
        <w:pStyle w:val="Zkladntext"/>
        <w:spacing w:before="120" w:line="276" w:lineRule="auto"/>
        <w:ind w:left="851" w:hanging="425"/>
        <w:rPr>
          <w:rFonts w:ascii="Book Antiqua" w:hAnsi="Book Antiqua"/>
          <w:sz w:val="22"/>
          <w:szCs w:val="22"/>
        </w:rPr>
      </w:pPr>
      <w:r>
        <w:rPr>
          <w:rFonts w:ascii="Book Antiqua" w:hAnsi="Book Antiqua"/>
          <w:sz w:val="22"/>
          <w:szCs w:val="22"/>
        </w:rPr>
        <w:lastRenderedPageBreak/>
        <w:t>3.</w:t>
      </w:r>
      <w:r>
        <w:rPr>
          <w:rFonts w:ascii="Book Antiqua" w:hAnsi="Book Antiqua"/>
          <w:sz w:val="22"/>
          <w:szCs w:val="22"/>
        </w:rPr>
        <w:tab/>
        <w:t>V § 25 sa za slovami „podklad na rokovanie“ vypúšťa čiarka a slová „ak národná rada bez rozpravy nerozhodne inak“.</w:t>
      </w:r>
    </w:p>
    <w:p w:rsidR="00E06B4A" w:rsidRDefault="00E06B4A" w:rsidP="00837342">
      <w:pPr>
        <w:pStyle w:val="Zkladntext"/>
        <w:spacing w:before="120" w:line="276" w:lineRule="auto"/>
        <w:ind w:left="851" w:hanging="425"/>
        <w:rPr>
          <w:rFonts w:ascii="Book Antiqua" w:hAnsi="Book Antiqua"/>
          <w:noProof/>
          <w:sz w:val="22"/>
          <w:szCs w:val="22"/>
        </w:rPr>
      </w:pPr>
      <w:r>
        <w:rPr>
          <w:rFonts w:ascii="Book Antiqua" w:hAnsi="Book Antiqua"/>
          <w:noProof/>
          <w:sz w:val="22"/>
          <w:szCs w:val="22"/>
        </w:rPr>
        <w:t>4.</w:t>
      </w:r>
      <w:r>
        <w:rPr>
          <w:rFonts w:ascii="Book Antiqua" w:hAnsi="Book Antiqua"/>
          <w:noProof/>
          <w:sz w:val="22"/>
          <w:szCs w:val="22"/>
        </w:rPr>
        <w:tab/>
        <w:t>V § 27 ods. 7 druhej vete sa slová „bez možnosti“ nahrádzajú slovami „s možnosťou“.</w:t>
      </w:r>
    </w:p>
    <w:p w:rsidR="00B143AC" w:rsidRDefault="00B143AC" w:rsidP="00837342">
      <w:pPr>
        <w:pStyle w:val="Zkladntext"/>
        <w:spacing w:before="120" w:line="276" w:lineRule="auto"/>
        <w:ind w:left="851" w:hanging="425"/>
        <w:rPr>
          <w:rFonts w:ascii="Book Antiqua" w:hAnsi="Book Antiqua"/>
          <w:noProof/>
          <w:sz w:val="22"/>
          <w:szCs w:val="22"/>
        </w:rPr>
      </w:pPr>
      <w:r>
        <w:rPr>
          <w:rFonts w:ascii="Book Antiqua" w:hAnsi="Book Antiqua"/>
          <w:noProof/>
          <w:sz w:val="22"/>
          <w:szCs w:val="22"/>
        </w:rPr>
        <w:t>5.</w:t>
      </w:r>
      <w:r>
        <w:rPr>
          <w:rFonts w:ascii="Book Antiqua" w:hAnsi="Book Antiqua"/>
          <w:noProof/>
          <w:sz w:val="22"/>
          <w:szCs w:val="22"/>
        </w:rPr>
        <w:tab/>
        <w:t>V § 30 sa číslica „20“ nahrádza číslicou „30“, číslica „30“ sa nahrádza číslicou „60“ a číslica „10“ sa nahrádza číslicou „20“.</w:t>
      </w:r>
    </w:p>
    <w:p w:rsidR="00B143AC" w:rsidRPr="00E06B4A" w:rsidRDefault="00B143AC" w:rsidP="00837342">
      <w:pPr>
        <w:pStyle w:val="Zkladntext"/>
        <w:spacing w:before="120" w:line="276" w:lineRule="auto"/>
        <w:ind w:left="851" w:hanging="425"/>
        <w:rPr>
          <w:rFonts w:ascii="Book Antiqua" w:hAnsi="Book Antiqua"/>
          <w:noProof/>
          <w:sz w:val="22"/>
          <w:szCs w:val="22"/>
        </w:rPr>
      </w:pPr>
      <w:r>
        <w:rPr>
          <w:rFonts w:ascii="Book Antiqua" w:hAnsi="Book Antiqua"/>
          <w:noProof/>
          <w:sz w:val="22"/>
          <w:szCs w:val="22"/>
        </w:rPr>
        <w:t>6.</w:t>
      </w:r>
      <w:r>
        <w:rPr>
          <w:rFonts w:ascii="Book Antiqua" w:hAnsi="Book Antiqua"/>
          <w:noProof/>
          <w:sz w:val="22"/>
          <w:szCs w:val="22"/>
        </w:rPr>
        <w:tab/>
        <w:t>V § 32 ods. 4 druhej vete sa za slovo „materiály“ vkladajú slová „oblečenie alebo doplnky oblečenia“.</w:t>
      </w:r>
    </w:p>
    <w:p w:rsidR="00837342" w:rsidRDefault="00B143AC" w:rsidP="00837342">
      <w:pPr>
        <w:pStyle w:val="Zkladntext"/>
        <w:spacing w:before="120" w:line="276" w:lineRule="auto"/>
        <w:ind w:left="851" w:hanging="425"/>
        <w:rPr>
          <w:rFonts w:ascii="Book Antiqua" w:hAnsi="Book Antiqua"/>
          <w:noProof/>
          <w:sz w:val="22"/>
          <w:szCs w:val="22"/>
        </w:rPr>
      </w:pPr>
      <w:r>
        <w:rPr>
          <w:rFonts w:ascii="Book Antiqua" w:hAnsi="Book Antiqua"/>
          <w:noProof/>
          <w:sz w:val="22"/>
          <w:szCs w:val="22"/>
        </w:rPr>
        <w:t>7</w:t>
      </w:r>
      <w:r w:rsidR="00E06B4A">
        <w:rPr>
          <w:rFonts w:ascii="Book Antiqua" w:hAnsi="Book Antiqua"/>
          <w:noProof/>
          <w:sz w:val="22"/>
          <w:szCs w:val="22"/>
        </w:rPr>
        <w:t>.</w:t>
      </w:r>
      <w:r w:rsidR="00E06B4A">
        <w:rPr>
          <w:rFonts w:ascii="Book Antiqua" w:hAnsi="Book Antiqua"/>
          <w:noProof/>
          <w:sz w:val="22"/>
          <w:szCs w:val="22"/>
        </w:rPr>
        <w:tab/>
      </w:r>
      <w:r w:rsidR="00FC12CF" w:rsidRPr="00FE74AF">
        <w:rPr>
          <w:rFonts w:ascii="Book Antiqua" w:hAnsi="Book Antiqua"/>
          <w:noProof/>
          <w:sz w:val="22"/>
          <w:szCs w:val="22"/>
        </w:rPr>
        <w:t>V § 45 ods. 2 sa slová „Výbor Národnej rady Slovenskej republiky pre európske záležitosti (ďalej len „výbor pre európske záležitosti“)“ nahrádzajú slovami „výbor pre európske záležitosti“.</w:t>
      </w:r>
    </w:p>
    <w:p w:rsidR="00837342" w:rsidRDefault="00B143AC" w:rsidP="0010387D">
      <w:pPr>
        <w:pStyle w:val="Zkladntext"/>
        <w:spacing w:before="120" w:line="276" w:lineRule="auto"/>
        <w:ind w:left="851" w:hanging="425"/>
        <w:rPr>
          <w:rFonts w:ascii="Book Antiqua" w:hAnsi="Book Antiqua"/>
          <w:noProof/>
          <w:sz w:val="22"/>
          <w:szCs w:val="22"/>
        </w:rPr>
      </w:pPr>
      <w:r>
        <w:rPr>
          <w:rFonts w:ascii="Book Antiqua" w:hAnsi="Book Antiqua"/>
          <w:noProof/>
          <w:sz w:val="22"/>
          <w:szCs w:val="22"/>
        </w:rPr>
        <w:t>8</w:t>
      </w:r>
      <w:r w:rsidR="00837342">
        <w:rPr>
          <w:rFonts w:ascii="Book Antiqua" w:hAnsi="Book Antiqua"/>
          <w:noProof/>
          <w:sz w:val="22"/>
          <w:szCs w:val="22"/>
        </w:rPr>
        <w:t>.</w:t>
      </w:r>
      <w:r w:rsidR="00837342">
        <w:rPr>
          <w:rFonts w:ascii="Book Antiqua" w:hAnsi="Book Antiqua"/>
          <w:noProof/>
          <w:sz w:val="22"/>
          <w:szCs w:val="22"/>
        </w:rPr>
        <w:tab/>
      </w:r>
      <w:r w:rsidR="00FC12CF" w:rsidRPr="00FE74AF">
        <w:rPr>
          <w:rFonts w:ascii="Book Antiqua" w:hAnsi="Book Antiqua"/>
          <w:noProof/>
          <w:sz w:val="22"/>
          <w:szCs w:val="22"/>
        </w:rPr>
        <w:t>V § 58a ods. 3 písm. f) sa slová „písmen a) a b)“ nahrádzajú slovami „písmen a) až c)“.</w:t>
      </w:r>
    </w:p>
    <w:p w:rsidR="00837342" w:rsidRDefault="00B143AC" w:rsidP="00837342">
      <w:pPr>
        <w:pStyle w:val="Zkladntext"/>
        <w:spacing w:before="120" w:line="276" w:lineRule="auto"/>
        <w:ind w:left="851" w:hanging="425"/>
        <w:rPr>
          <w:rFonts w:ascii="Book Antiqua" w:hAnsi="Book Antiqua" w:cs="Book Antiqua"/>
          <w:sz w:val="22"/>
          <w:szCs w:val="22"/>
        </w:rPr>
      </w:pPr>
      <w:r>
        <w:rPr>
          <w:rFonts w:ascii="Book Antiqua" w:hAnsi="Book Antiqua"/>
          <w:noProof/>
          <w:sz w:val="22"/>
          <w:szCs w:val="22"/>
        </w:rPr>
        <w:t>9</w:t>
      </w:r>
      <w:r w:rsidR="00837342">
        <w:rPr>
          <w:rFonts w:ascii="Book Antiqua" w:hAnsi="Book Antiqua"/>
          <w:noProof/>
          <w:sz w:val="22"/>
          <w:szCs w:val="22"/>
        </w:rPr>
        <w:t>.</w:t>
      </w:r>
      <w:r w:rsidR="00837342">
        <w:rPr>
          <w:rFonts w:ascii="Book Antiqua" w:hAnsi="Book Antiqua"/>
          <w:noProof/>
          <w:sz w:val="22"/>
          <w:szCs w:val="22"/>
        </w:rPr>
        <w:tab/>
      </w:r>
      <w:r w:rsidR="00734CF8" w:rsidRPr="00793146">
        <w:rPr>
          <w:rFonts w:ascii="Book Antiqua" w:hAnsi="Book Antiqua" w:cs="Book Antiqua"/>
          <w:sz w:val="22"/>
          <w:szCs w:val="22"/>
        </w:rPr>
        <w:t>V § 58a ods. 8 sa slová „štyri týždne“ nahrádzajú slovami „päť týždňov“.</w:t>
      </w:r>
    </w:p>
    <w:p w:rsidR="00734CF8" w:rsidRPr="00793146" w:rsidRDefault="00B143AC" w:rsidP="00837342">
      <w:pPr>
        <w:pStyle w:val="Zkladntext"/>
        <w:spacing w:before="120" w:line="276" w:lineRule="auto"/>
        <w:ind w:left="851" w:hanging="425"/>
        <w:rPr>
          <w:rFonts w:ascii="Book Antiqua" w:hAnsi="Book Antiqua" w:cs="Book Antiqua"/>
          <w:sz w:val="22"/>
          <w:szCs w:val="22"/>
        </w:rPr>
      </w:pPr>
      <w:r>
        <w:rPr>
          <w:rFonts w:ascii="Book Antiqua" w:hAnsi="Book Antiqua"/>
          <w:noProof/>
          <w:sz w:val="22"/>
          <w:szCs w:val="22"/>
        </w:rPr>
        <w:t>10</w:t>
      </w:r>
      <w:r w:rsidR="00837342">
        <w:rPr>
          <w:rFonts w:ascii="Book Antiqua" w:hAnsi="Book Antiqua"/>
          <w:noProof/>
          <w:sz w:val="22"/>
          <w:szCs w:val="22"/>
        </w:rPr>
        <w:t>.</w:t>
      </w:r>
      <w:r w:rsidR="00837342">
        <w:rPr>
          <w:rFonts w:ascii="Book Antiqua" w:hAnsi="Book Antiqua" w:cs="Book Antiqua"/>
          <w:sz w:val="22"/>
          <w:szCs w:val="22"/>
        </w:rPr>
        <w:tab/>
      </w:r>
      <w:r w:rsidR="00734CF8" w:rsidRPr="00793146">
        <w:rPr>
          <w:rFonts w:ascii="Book Antiqua" w:hAnsi="Book Antiqua" w:cs="Book Antiqua"/>
          <w:sz w:val="22"/>
          <w:szCs w:val="22"/>
        </w:rPr>
        <w:t>V § 58a za sa odsek 8 vkladá nový odsek 9, ktorý znie:</w:t>
      </w:r>
    </w:p>
    <w:p w:rsidR="00734CF8" w:rsidRPr="00793146" w:rsidRDefault="00734CF8" w:rsidP="00837342">
      <w:pPr>
        <w:pStyle w:val="Zkladntext"/>
        <w:spacing w:before="120" w:line="276" w:lineRule="auto"/>
        <w:ind w:left="1418" w:hanging="567"/>
        <w:rPr>
          <w:rFonts w:ascii="Book Antiqua" w:hAnsi="Book Antiqua" w:cs="Book Antiqua"/>
          <w:sz w:val="22"/>
          <w:szCs w:val="22"/>
        </w:rPr>
      </w:pPr>
      <w:r w:rsidRPr="00793146">
        <w:rPr>
          <w:rFonts w:ascii="Book Antiqua" w:hAnsi="Book Antiqua" w:cs="Book Antiqua"/>
          <w:sz w:val="22"/>
          <w:szCs w:val="22"/>
        </w:rPr>
        <w:t xml:space="preserve">„(9) </w:t>
      </w:r>
      <w:r w:rsidR="000A0F29">
        <w:rPr>
          <w:rFonts w:ascii="Book Antiqua" w:hAnsi="Book Antiqua" w:cs="Book Antiqua"/>
          <w:sz w:val="22"/>
          <w:szCs w:val="22"/>
        </w:rPr>
        <w:tab/>
      </w:r>
      <w:r w:rsidRPr="009C224F">
        <w:rPr>
          <w:rFonts w:ascii="Book Antiqua" w:hAnsi="Book Antiqua" w:cs="Book Antiqua"/>
          <w:sz w:val="22"/>
          <w:szCs w:val="22"/>
        </w:rPr>
        <w:t xml:space="preserve">Ak vláda alebo poverený člen vlády predloží výboru pre európske záležitosti predbežné stanovisko podľa odseku 8 </w:t>
      </w:r>
      <w:r w:rsidRPr="002F1FDE">
        <w:rPr>
          <w:rFonts w:ascii="Book Antiqua" w:hAnsi="Book Antiqua" w:cs="Book Antiqua"/>
          <w:sz w:val="22"/>
          <w:szCs w:val="22"/>
        </w:rPr>
        <w:t>a výbor pre európske záležitosti ho neschváli, člen vlády vyjadrí k návrhu podľa odseku 3 písm. a) negatívne stanovisko vo forme parlamentnej výhrady na rokovaní príslušného orgánu Európskej únie. Ak vláda alebo poverený člen vlády predloží výboru pre európske záležitosti predbežné stanovisko podľa odseku 8 a výbor pre európske záležitosti sa k nemu ani deň pred rokovaním v príslušnom orgáne Európskej únie nevyjadrí, hoci bol zvolaný, člen vlády vyjadrí k návrhu podľa odseku 3 písm. a) negatívne stanovisko vo forme parlamentnej výhrady na rokovaní príslušného orgánu Európskej únie. Ak vláda alebo poverený člen vlády predloží výboru pre európske záležitosti predbežné stanovisko podľa odseku 8 a výbor pre európske záležitosti sa k nemu ani deň pred rokovaním v príslušnom orgáne Európskej únie nevyjadrí, pretože nebol zvolaný, člen vlády je viazaný predbežným stanoviskom, ktoré predložil výboru pre európske záležitosti. Ak vláda alebo poverený člen vlády nepredloží výboru</w:t>
      </w:r>
      <w:r w:rsidRPr="00793146">
        <w:rPr>
          <w:rFonts w:ascii="Book Antiqua" w:hAnsi="Book Antiqua" w:cs="Book Antiqua"/>
          <w:sz w:val="22"/>
          <w:szCs w:val="22"/>
        </w:rPr>
        <w:t xml:space="preserve"> pre európske záležitosti predbežné stanovisko podľa odseku 8, člen vlády vyjadrí k návrhu podľ</w:t>
      </w:r>
      <w:r>
        <w:rPr>
          <w:rFonts w:ascii="Book Antiqua" w:hAnsi="Book Antiqua" w:cs="Book Antiqua"/>
          <w:sz w:val="22"/>
          <w:szCs w:val="22"/>
        </w:rPr>
        <w:t xml:space="preserve">a </w:t>
      </w:r>
      <w:r w:rsidRPr="00793146">
        <w:rPr>
          <w:rFonts w:ascii="Book Antiqua" w:hAnsi="Book Antiqua" w:cs="Book Antiqua"/>
          <w:sz w:val="22"/>
          <w:szCs w:val="22"/>
        </w:rPr>
        <w:t>odseku 3 písm. a) negatívne stanovisko vo forme parlamentnej výhrady na rokovaní príslušného orgánu Európskej únie.</w:t>
      </w:r>
      <w:r w:rsidRPr="009C224F">
        <w:rPr>
          <w:rFonts w:ascii="Book Antiqua" w:hAnsi="Book Antiqua" w:cs="Book Antiqua"/>
          <w:sz w:val="22"/>
          <w:szCs w:val="22"/>
        </w:rPr>
        <w:t>“.</w:t>
      </w:r>
    </w:p>
    <w:p w:rsidR="00837342" w:rsidRDefault="00734CF8" w:rsidP="00F3006F">
      <w:pPr>
        <w:spacing w:before="120" w:line="276" w:lineRule="auto"/>
        <w:ind w:firstLine="851"/>
        <w:rPr>
          <w:rFonts w:ascii="Book Antiqua" w:hAnsi="Book Antiqua" w:cs="Book Antiqua"/>
          <w:sz w:val="22"/>
          <w:szCs w:val="22"/>
        </w:rPr>
      </w:pPr>
      <w:r w:rsidRPr="00793146">
        <w:rPr>
          <w:rFonts w:ascii="Book Antiqua" w:hAnsi="Book Antiqua" w:cs="Book Antiqua"/>
          <w:sz w:val="22"/>
          <w:szCs w:val="22"/>
        </w:rPr>
        <w:t>Doterajšie odseky 9 až 13 sa označujú ako odseky 10 až 14.</w:t>
      </w:r>
    </w:p>
    <w:p w:rsidR="00734CF8" w:rsidRPr="00793146" w:rsidRDefault="00B143AC" w:rsidP="00837342">
      <w:pPr>
        <w:spacing w:before="120" w:line="276" w:lineRule="auto"/>
        <w:ind w:left="851" w:hanging="425"/>
        <w:jc w:val="both"/>
        <w:rPr>
          <w:rFonts w:ascii="Book Antiqua" w:hAnsi="Book Antiqua" w:cs="Book Antiqua"/>
          <w:sz w:val="22"/>
          <w:szCs w:val="22"/>
        </w:rPr>
      </w:pPr>
      <w:r>
        <w:rPr>
          <w:rFonts w:ascii="Book Antiqua" w:hAnsi="Book Antiqua" w:cs="Book Antiqua"/>
          <w:sz w:val="22"/>
          <w:szCs w:val="22"/>
        </w:rPr>
        <w:t>11</w:t>
      </w:r>
      <w:r w:rsidR="00837342">
        <w:rPr>
          <w:rFonts w:ascii="Book Antiqua" w:hAnsi="Book Antiqua" w:cs="Book Antiqua"/>
          <w:sz w:val="22"/>
          <w:szCs w:val="22"/>
        </w:rPr>
        <w:t>.</w:t>
      </w:r>
      <w:r w:rsidR="00837342">
        <w:rPr>
          <w:rFonts w:ascii="Book Antiqua" w:hAnsi="Book Antiqua" w:cs="Book Antiqua"/>
          <w:sz w:val="22"/>
          <w:szCs w:val="22"/>
        </w:rPr>
        <w:tab/>
      </w:r>
      <w:r w:rsidR="00734CF8" w:rsidRPr="00793146">
        <w:rPr>
          <w:rFonts w:ascii="Book Antiqua" w:hAnsi="Book Antiqua" w:cs="Book Antiqua"/>
          <w:sz w:val="22"/>
          <w:szCs w:val="22"/>
        </w:rPr>
        <w:t>V § 58a odsek 10 znie:</w:t>
      </w:r>
    </w:p>
    <w:p w:rsidR="00734CF8" w:rsidRDefault="00734CF8" w:rsidP="00837342">
      <w:pPr>
        <w:pStyle w:val="Zkladntext"/>
        <w:spacing w:before="120" w:line="276" w:lineRule="auto"/>
        <w:ind w:left="1418" w:hanging="567"/>
        <w:rPr>
          <w:rFonts w:ascii="Book Antiqua" w:hAnsi="Book Antiqua" w:cs="Book Antiqua"/>
          <w:sz w:val="22"/>
          <w:szCs w:val="22"/>
        </w:rPr>
      </w:pPr>
      <w:r w:rsidRPr="00793146">
        <w:rPr>
          <w:rFonts w:ascii="Book Antiqua" w:hAnsi="Book Antiqua" w:cs="Book Antiqua"/>
          <w:sz w:val="22"/>
          <w:szCs w:val="22"/>
        </w:rPr>
        <w:t xml:space="preserve">„(10) </w:t>
      </w:r>
      <w:r w:rsidR="000A0F29">
        <w:rPr>
          <w:rFonts w:ascii="Book Antiqua" w:hAnsi="Book Antiqua" w:cs="Book Antiqua"/>
          <w:sz w:val="22"/>
          <w:szCs w:val="22"/>
        </w:rPr>
        <w:tab/>
      </w:r>
      <w:r w:rsidRPr="00793146">
        <w:rPr>
          <w:rFonts w:ascii="Book Antiqua" w:hAnsi="Book Antiqua" w:cs="Book Antiqua"/>
          <w:sz w:val="22"/>
          <w:szCs w:val="22"/>
        </w:rPr>
        <w:t>Vláda alebo poverený člen vlády najneskôr päť pracovných dní pred rokovaním v príslušnom orgáne Európskej únie predkladá výboru pre európske záležitosti návrh stanoviska Slovenskej republiky</w:t>
      </w:r>
      <w:r w:rsidRPr="00793146">
        <w:rPr>
          <w:rFonts w:ascii="Book Antiqua" w:hAnsi="Book Antiqua" w:cs="Book Antiqua"/>
          <w:sz w:val="22"/>
          <w:szCs w:val="22"/>
          <w:vertAlign w:val="superscript"/>
        </w:rPr>
        <w:t xml:space="preserve"> </w:t>
      </w:r>
      <w:r w:rsidRPr="00793146">
        <w:rPr>
          <w:rFonts w:ascii="Book Antiqua" w:hAnsi="Book Antiqua" w:cs="Book Antiqua"/>
          <w:sz w:val="22"/>
          <w:szCs w:val="22"/>
        </w:rPr>
        <w:t xml:space="preserve">k návrhom podľa odseku 3 písm. a). Ak vláda alebo poverený člen vlády nepredloží výboru pre európske záležitosti návrh stanoviska Slovenskej republiky v lehote podľa prvej vety, člen vlády je povinný vyjadriť negatívne stanovisko Slovenskej </w:t>
      </w:r>
      <w:r w:rsidRPr="00793146">
        <w:rPr>
          <w:rFonts w:ascii="Book Antiqua" w:hAnsi="Book Antiqua" w:cs="Book Antiqua"/>
          <w:sz w:val="22"/>
          <w:szCs w:val="22"/>
        </w:rPr>
        <w:lastRenderedPageBreak/>
        <w:t>republiky na rokovaní v príslušnom orgáne Európskej únie. Člen vlády v tomto prípade nemôže uplatniť iné stanovisko,</w:t>
      </w:r>
      <w:r w:rsidRPr="00793146">
        <w:rPr>
          <w:rFonts w:ascii="Book Antiqua" w:hAnsi="Book Antiqua" w:cs="Book Antiqua"/>
          <w:sz w:val="22"/>
          <w:szCs w:val="22"/>
          <w:vertAlign w:val="superscript"/>
        </w:rPr>
        <w:t>47c)</w:t>
      </w:r>
      <w:r w:rsidRPr="00793146">
        <w:rPr>
          <w:rFonts w:ascii="Book Antiqua" w:hAnsi="Book Antiqua" w:cs="Book Antiqua"/>
          <w:sz w:val="22"/>
          <w:szCs w:val="22"/>
        </w:rPr>
        <w:t xml:space="preserve"> ako je uvedené v druhej vete.“.</w:t>
      </w:r>
    </w:p>
    <w:p w:rsidR="00734CF8" w:rsidRPr="000A0F29" w:rsidRDefault="00734CF8" w:rsidP="00F30EC8">
      <w:pPr>
        <w:spacing w:before="120" w:line="276" w:lineRule="auto"/>
        <w:ind w:firstLine="708"/>
        <w:rPr>
          <w:rFonts w:ascii="Book Antiqua" w:hAnsi="Book Antiqua" w:cs="Book Antiqua"/>
          <w:sz w:val="22"/>
          <w:szCs w:val="22"/>
        </w:rPr>
      </w:pPr>
      <w:r w:rsidRPr="000A0F29">
        <w:rPr>
          <w:rFonts w:ascii="Book Antiqua" w:hAnsi="Book Antiqua" w:cs="Book Antiqua"/>
          <w:sz w:val="22"/>
          <w:szCs w:val="22"/>
        </w:rPr>
        <w:t>Poznámka pod čiarou k odkazu 47c znie:</w:t>
      </w:r>
    </w:p>
    <w:p w:rsidR="00734CF8" w:rsidRDefault="00734CF8" w:rsidP="000A0F29">
      <w:pPr>
        <w:pStyle w:val="Zkladntext"/>
        <w:spacing w:before="120" w:line="276" w:lineRule="auto"/>
        <w:ind w:left="720"/>
        <w:rPr>
          <w:rFonts w:ascii="Book Antiqua" w:hAnsi="Book Antiqua" w:cs="Book Antiqua"/>
          <w:sz w:val="22"/>
          <w:szCs w:val="22"/>
        </w:rPr>
      </w:pPr>
      <w:r w:rsidRPr="000A0F29">
        <w:rPr>
          <w:rFonts w:ascii="Book Antiqua" w:hAnsi="Book Antiqua" w:cs="Book Antiqua"/>
          <w:sz w:val="22"/>
          <w:szCs w:val="22"/>
        </w:rPr>
        <w:t>„</w:t>
      </w:r>
      <w:r w:rsidRPr="000A0F29">
        <w:rPr>
          <w:rFonts w:ascii="Book Antiqua" w:hAnsi="Book Antiqua" w:cs="Book Antiqua"/>
          <w:sz w:val="22"/>
          <w:szCs w:val="22"/>
          <w:vertAlign w:val="superscript"/>
        </w:rPr>
        <w:t>47c)</w:t>
      </w:r>
      <w:r w:rsidRPr="000A0F29">
        <w:rPr>
          <w:rFonts w:ascii="Book Antiqua" w:hAnsi="Book Antiqua" w:cs="Book Antiqua"/>
          <w:sz w:val="22"/>
          <w:szCs w:val="22"/>
        </w:rPr>
        <w:t xml:space="preserve"> Čl. 2 ods. 5 prvá veta ústavného zákona č. 397/2004 Z. z. o spolupráci Národnej rady Slovenskej republiky a vlády Slovenskej republiky v záležitostiach Európskej únie v znení ústavného</w:t>
      </w:r>
      <w:r w:rsidR="00F3006F">
        <w:rPr>
          <w:rFonts w:ascii="Book Antiqua" w:hAnsi="Book Antiqua" w:cs="Book Antiqua"/>
          <w:sz w:val="22"/>
          <w:szCs w:val="22"/>
        </w:rPr>
        <w:t xml:space="preserve"> zákona č. .../2023</w:t>
      </w:r>
      <w:r w:rsidRPr="000A0F29">
        <w:rPr>
          <w:rFonts w:ascii="Book Antiqua" w:hAnsi="Book Antiqua" w:cs="Book Antiqua"/>
          <w:sz w:val="22"/>
          <w:szCs w:val="22"/>
        </w:rPr>
        <w:t xml:space="preserve"> Z. z.“.</w:t>
      </w:r>
    </w:p>
    <w:p w:rsidR="00837342" w:rsidRDefault="00B143AC" w:rsidP="00837342">
      <w:pPr>
        <w:pStyle w:val="Zkladntext"/>
        <w:spacing w:before="120" w:line="276" w:lineRule="auto"/>
        <w:ind w:left="851" w:hanging="425"/>
        <w:rPr>
          <w:rFonts w:ascii="Book Antiqua" w:hAnsi="Book Antiqua" w:cs="Book Antiqua"/>
          <w:sz w:val="22"/>
          <w:szCs w:val="22"/>
        </w:rPr>
      </w:pPr>
      <w:r>
        <w:rPr>
          <w:rFonts w:ascii="Book Antiqua" w:hAnsi="Book Antiqua" w:cs="Book Antiqua"/>
          <w:sz w:val="22"/>
          <w:szCs w:val="22"/>
        </w:rPr>
        <w:t>12</w:t>
      </w:r>
      <w:r w:rsidR="00837342">
        <w:rPr>
          <w:rFonts w:ascii="Book Antiqua" w:hAnsi="Book Antiqua" w:cs="Book Antiqua"/>
          <w:sz w:val="22"/>
          <w:szCs w:val="22"/>
        </w:rPr>
        <w:t xml:space="preserve">. </w:t>
      </w:r>
      <w:r w:rsidR="00837342">
        <w:rPr>
          <w:rFonts w:ascii="Book Antiqua" w:hAnsi="Book Antiqua" w:cs="Book Antiqua"/>
          <w:sz w:val="22"/>
          <w:szCs w:val="22"/>
        </w:rPr>
        <w:tab/>
      </w:r>
      <w:r w:rsidR="00734CF8" w:rsidRPr="00793146">
        <w:rPr>
          <w:rFonts w:ascii="Book Antiqua" w:hAnsi="Book Antiqua" w:cs="Book Antiqua"/>
          <w:sz w:val="22"/>
          <w:szCs w:val="22"/>
        </w:rPr>
        <w:t>V § 58a ods. 12 sa za slovo „uplatní“ vkladajú slová „podľa osobitného predpisu</w:t>
      </w:r>
      <w:r w:rsidR="00734CF8" w:rsidRPr="00793146">
        <w:rPr>
          <w:rFonts w:ascii="Book Antiqua" w:hAnsi="Book Antiqua" w:cs="Book Antiqua"/>
          <w:sz w:val="22"/>
          <w:szCs w:val="22"/>
          <w:vertAlign w:val="superscript"/>
        </w:rPr>
        <w:t>47c)</w:t>
      </w:r>
      <w:r w:rsidR="00734CF8" w:rsidRPr="00793146">
        <w:rPr>
          <w:rFonts w:ascii="Book Antiqua" w:hAnsi="Book Antiqua" w:cs="Book Antiqua"/>
          <w:sz w:val="22"/>
          <w:szCs w:val="22"/>
        </w:rPr>
        <w:t xml:space="preserve"> a v súlade s odsekom 10“.</w:t>
      </w:r>
    </w:p>
    <w:p w:rsidR="00FC12CF" w:rsidRPr="00FC12CF" w:rsidRDefault="00B143AC" w:rsidP="00837342">
      <w:pPr>
        <w:pStyle w:val="Zkladntext"/>
        <w:spacing w:before="120" w:line="276" w:lineRule="auto"/>
        <w:ind w:left="851" w:hanging="425"/>
        <w:rPr>
          <w:rFonts w:ascii="Book Antiqua" w:hAnsi="Book Antiqua" w:cs="Book Antiqua"/>
          <w:sz w:val="22"/>
          <w:szCs w:val="22"/>
        </w:rPr>
      </w:pPr>
      <w:r>
        <w:rPr>
          <w:rFonts w:ascii="Book Antiqua" w:hAnsi="Book Antiqua" w:cs="Book Antiqua"/>
          <w:sz w:val="22"/>
          <w:szCs w:val="22"/>
        </w:rPr>
        <w:t>13</w:t>
      </w:r>
      <w:r w:rsidR="00837342">
        <w:rPr>
          <w:rFonts w:ascii="Book Antiqua" w:hAnsi="Book Antiqua" w:cs="Book Antiqua"/>
          <w:sz w:val="22"/>
          <w:szCs w:val="22"/>
        </w:rPr>
        <w:t>.</w:t>
      </w:r>
      <w:r w:rsidR="00837342">
        <w:rPr>
          <w:rFonts w:ascii="Book Antiqua" w:hAnsi="Book Antiqua" w:cs="Book Antiqua"/>
          <w:sz w:val="22"/>
          <w:szCs w:val="22"/>
        </w:rPr>
        <w:tab/>
      </w:r>
      <w:r w:rsidR="00FC12CF" w:rsidRPr="00FC12CF">
        <w:rPr>
          <w:rFonts w:ascii="Book Antiqua" w:hAnsi="Book Antiqua"/>
          <w:noProof/>
          <w:sz w:val="22"/>
          <w:szCs w:val="22"/>
        </w:rPr>
        <w:t>Za § 58a sa vkladá § 58aa, ktorý vrátane nadpisu znie:</w:t>
      </w:r>
    </w:p>
    <w:p w:rsidR="00837342" w:rsidRDefault="00FC12CF" w:rsidP="00837342">
      <w:pPr>
        <w:spacing w:before="120" w:line="276" w:lineRule="auto"/>
        <w:ind w:left="143" w:firstLine="708"/>
        <w:jc w:val="center"/>
        <w:rPr>
          <w:rFonts w:ascii="Book Antiqua" w:hAnsi="Book Antiqua"/>
          <w:b/>
          <w:noProof/>
          <w:sz w:val="22"/>
          <w:szCs w:val="22"/>
        </w:rPr>
      </w:pPr>
      <w:r w:rsidRPr="00FE74AF">
        <w:rPr>
          <w:rFonts w:ascii="Book Antiqua" w:hAnsi="Book Antiqua"/>
          <w:b/>
          <w:noProof/>
          <w:sz w:val="22"/>
          <w:szCs w:val="22"/>
        </w:rPr>
        <w:t>„§ 58aa</w:t>
      </w:r>
    </w:p>
    <w:p w:rsidR="00FC12CF" w:rsidRPr="0088502D" w:rsidRDefault="00FC12CF" w:rsidP="00837342">
      <w:pPr>
        <w:spacing w:before="120" w:line="276" w:lineRule="auto"/>
        <w:ind w:left="143" w:firstLine="708"/>
        <w:jc w:val="center"/>
        <w:rPr>
          <w:rFonts w:ascii="Book Antiqua" w:hAnsi="Book Antiqua"/>
          <w:b/>
          <w:noProof/>
          <w:sz w:val="22"/>
          <w:szCs w:val="22"/>
        </w:rPr>
      </w:pPr>
      <w:r w:rsidRPr="00FE74AF">
        <w:rPr>
          <w:rFonts w:ascii="Book Antiqua" w:hAnsi="Book Antiqua"/>
          <w:b/>
          <w:noProof/>
          <w:sz w:val="22"/>
          <w:szCs w:val="22"/>
        </w:rPr>
        <w:t xml:space="preserve">Posudzovanie súladu návrhov legislatívnych aktov Európskej únie </w:t>
      </w:r>
      <w:r>
        <w:rPr>
          <w:rFonts w:ascii="Book Antiqua" w:hAnsi="Book Antiqua"/>
          <w:b/>
          <w:noProof/>
          <w:sz w:val="22"/>
          <w:szCs w:val="22"/>
        </w:rPr>
        <w:t>so zásadou subsidiarity</w:t>
      </w:r>
    </w:p>
    <w:p w:rsidR="00FC12CF" w:rsidRPr="0088502D" w:rsidRDefault="00FC12CF" w:rsidP="00837342">
      <w:pPr>
        <w:numPr>
          <w:ilvl w:val="0"/>
          <w:numId w:val="18"/>
        </w:numPr>
        <w:spacing w:before="120" w:line="276" w:lineRule="auto"/>
        <w:ind w:left="1418" w:hanging="567"/>
        <w:jc w:val="both"/>
        <w:rPr>
          <w:rFonts w:ascii="Book Antiqua" w:hAnsi="Book Antiqua"/>
          <w:noProof/>
          <w:sz w:val="22"/>
          <w:szCs w:val="22"/>
        </w:rPr>
      </w:pPr>
      <w:r w:rsidRPr="00FE74AF">
        <w:rPr>
          <w:rFonts w:ascii="Book Antiqua" w:hAnsi="Book Antiqua"/>
          <w:noProof/>
          <w:sz w:val="22"/>
          <w:szCs w:val="22"/>
        </w:rPr>
        <w:t>Predseda výboru pre európske záležitosti priebežne zaradí do návrhu programu schôdze výboru návrhy legislatívnych aktov Európskej únie, ktoré boli výboru pre európske záležitosti doručené, aby výbor pre európske záležitosti mohol preskúmať ich súlad so zásadou subsidiarity [§ 58a ods. 3 písm. c)] najneskôr do desiatich dní pred uplynutím lehoty ôsmych týždňov stanovenej podľa osobitného predpisu</w:t>
      </w:r>
      <w:r w:rsidRPr="00FE74AF">
        <w:rPr>
          <w:rFonts w:ascii="Book Antiqua" w:hAnsi="Book Antiqua"/>
          <w:noProof/>
          <w:sz w:val="22"/>
          <w:szCs w:val="22"/>
          <w:vertAlign w:val="superscript"/>
        </w:rPr>
        <w:t>47da)</w:t>
      </w:r>
      <w:r w:rsidRPr="00FE74AF">
        <w:rPr>
          <w:rFonts w:ascii="Book Antiqua" w:hAnsi="Book Antiqua"/>
          <w:noProof/>
          <w:sz w:val="22"/>
          <w:szCs w:val="22"/>
        </w:rPr>
        <w:t>.</w:t>
      </w:r>
    </w:p>
    <w:p w:rsidR="00FC12CF" w:rsidRPr="0088502D" w:rsidRDefault="00FC12CF" w:rsidP="00837342">
      <w:pPr>
        <w:numPr>
          <w:ilvl w:val="0"/>
          <w:numId w:val="18"/>
        </w:numPr>
        <w:spacing w:before="120" w:line="276" w:lineRule="auto"/>
        <w:ind w:left="1418" w:hanging="567"/>
        <w:jc w:val="both"/>
        <w:rPr>
          <w:rFonts w:ascii="Book Antiqua" w:hAnsi="Book Antiqua"/>
          <w:noProof/>
          <w:sz w:val="22"/>
          <w:szCs w:val="22"/>
        </w:rPr>
      </w:pPr>
      <w:r w:rsidRPr="00FE74AF">
        <w:rPr>
          <w:rFonts w:ascii="Book Antiqua" w:hAnsi="Book Antiqua"/>
          <w:noProof/>
          <w:sz w:val="22"/>
          <w:szCs w:val="22"/>
        </w:rPr>
        <w:t>Výbor pre európske záležitosti môže požiadať o stanovisko k návrhu legislatívneho aktu Európskej únie ostatné výbory národnej rady [§ 58a ods. 3 písm. f)] a stanoviť lehotu na zaslanie stanoviska, ktorá nesmie byť kratšia ako tri týždne.</w:t>
      </w:r>
    </w:p>
    <w:p w:rsidR="00FC12CF" w:rsidRPr="0088502D" w:rsidRDefault="00FC12CF" w:rsidP="00837342">
      <w:pPr>
        <w:numPr>
          <w:ilvl w:val="0"/>
          <w:numId w:val="18"/>
        </w:numPr>
        <w:spacing w:before="120" w:line="276" w:lineRule="auto"/>
        <w:ind w:left="1418" w:hanging="567"/>
        <w:jc w:val="both"/>
        <w:rPr>
          <w:rFonts w:ascii="Book Antiqua" w:hAnsi="Book Antiqua"/>
          <w:noProof/>
          <w:sz w:val="22"/>
          <w:szCs w:val="22"/>
        </w:rPr>
      </w:pPr>
      <w:r w:rsidRPr="00FE74AF">
        <w:rPr>
          <w:rFonts w:ascii="Book Antiqua" w:hAnsi="Book Antiqua"/>
          <w:noProof/>
          <w:sz w:val="22"/>
          <w:szCs w:val="22"/>
        </w:rPr>
        <w:t>Výbor pre európske záležitosti zaujme k návrhu legislatívneho aktu Európskej únie uznesením odôvodnené stanovisko</w:t>
      </w:r>
      <w:r w:rsidRPr="00FE74AF">
        <w:rPr>
          <w:rFonts w:ascii="Book Antiqua" w:hAnsi="Book Antiqua"/>
          <w:noProof/>
          <w:sz w:val="22"/>
          <w:szCs w:val="22"/>
          <w:vertAlign w:val="superscript"/>
        </w:rPr>
        <w:t>47da)</w:t>
      </w:r>
      <w:r w:rsidRPr="00FE74AF">
        <w:rPr>
          <w:rFonts w:ascii="Book Antiqua" w:hAnsi="Book Antiqua"/>
          <w:noProof/>
          <w:sz w:val="22"/>
          <w:szCs w:val="22"/>
        </w:rPr>
        <w:t>, ak sa domnieva, že takýto návrh nie je v súlade so zásadou subsidiarity. Výbor pre európske záležitosti zohľadní pred prijatím uznesenia podľa prvej vety stanoviská výborov národnej rady podľa odseku 2 a predbežné stanovisko vlády podľa § 58a ods. 8, ak boli výboru pre európske záležitosti doručené v stanovenej lehote. Predseda výboru pre európske záležitosti zašle odôvodnené stanovisko predsedovi národnej rad</w:t>
      </w:r>
      <w:r>
        <w:rPr>
          <w:rFonts w:ascii="Book Antiqua" w:hAnsi="Book Antiqua"/>
          <w:noProof/>
          <w:sz w:val="22"/>
          <w:szCs w:val="22"/>
        </w:rPr>
        <w:t>y do 48 hodín od jeho prijatia.</w:t>
      </w:r>
    </w:p>
    <w:p w:rsidR="00FC12CF" w:rsidRPr="0088502D" w:rsidRDefault="00FC12CF" w:rsidP="00837342">
      <w:pPr>
        <w:numPr>
          <w:ilvl w:val="0"/>
          <w:numId w:val="18"/>
        </w:numPr>
        <w:spacing w:before="120" w:line="276" w:lineRule="auto"/>
        <w:ind w:left="1418" w:hanging="567"/>
        <w:jc w:val="both"/>
        <w:rPr>
          <w:rFonts w:ascii="Book Antiqua" w:hAnsi="Book Antiqua"/>
          <w:noProof/>
          <w:sz w:val="22"/>
          <w:szCs w:val="22"/>
        </w:rPr>
      </w:pPr>
      <w:r w:rsidRPr="00FE74AF">
        <w:rPr>
          <w:rFonts w:ascii="Book Antiqua" w:hAnsi="Book Antiqua"/>
          <w:noProof/>
          <w:sz w:val="22"/>
          <w:szCs w:val="22"/>
        </w:rPr>
        <w:t xml:space="preserve">Ak výbor pre európske záležitosti nepríjme uznesením odôvodnené stanovisko podľa odseku 3 a tretina členov výboru pre európske záležitosti sa napriek tomu domnieva, že návrh legislatívneho aktu Európskej únie nie je v súlade so zásadou subsidiarity, môže do 48 hodín od zasadnutia výboru pre európske záležitosti podľa odseku 3 požiadať predsedu národnej rady o zvolanie schôdze národnej rady podľa § 17 ods. 2. </w:t>
      </w:r>
      <w:r>
        <w:rPr>
          <w:rFonts w:ascii="Book Antiqua" w:hAnsi="Book Antiqua"/>
          <w:noProof/>
          <w:sz w:val="22"/>
          <w:szCs w:val="22"/>
        </w:rPr>
        <w:t>N</w:t>
      </w:r>
      <w:r w:rsidRPr="00FE74AF">
        <w:rPr>
          <w:rFonts w:ascii="Book Antiqua" w:hAnsi="Book Antiqua"/>
          <w:noProof/>
          <w:sz w:val="22"/>
          <w:szCs w:val="22"/>
        </w:rPr>
        <w:t>árodná rada zaujme k návrhu legislatívneho aktu Európskej únie uznesením odôvodnené stanovisko, ak sa domnieva, že takýto návrh nie je v súlade so zásadou subsidiarity.</w:t>
      </w:r>
    </w:p>
    <w:p w:rsidR="00FC12CF" w:rsidRPr="0088502D" w:rsidRDefault="00FC12CF" w:rsidP="00837342">
      <w:pPr>
        <w:numPr>
          <w:ilvl w:val="0"/>
          <w:numId w:val="18"/>
        </w:numPr>
        <w:spacing w:before="120" w:line="276" w:lineRule="auto"/>
        <w:ind w:left="1418" w:hanging="567"/>
        <w:jc w:val="both"/>
        <w:rPr>
          <w:rFonts w:ascii="Book Antiqua" w:hAnsi="Book Antiqua"/>
          <w:noProof/>
          <w:sz w:val="22"/>
          <w:szCs w:val="22"/>
        </w:rPr>
      </w:pPr>
      <w:r w:rsidRPr="00FE74AF">
        <w:rPr>
          <w:rFonts w:ascii="Book Antiqua" w:hAnsi="Book Antiqua"/>
          <w:noProof/>
          <w:sz w:val="22"/>
          <w:szCs w:val="22"/>
        </w:rPr>
        <w:lastRenderedPageBreak/>
        <w:t xml:space="preserve">Ak národná rada zaujme k návrhu legislatívneho aktu Európskej únie uznesením odôvodnené stanovisko podľa odseku 4, toto </w:t>
      </w:r>
      <w:r>
        <w:rPr>
          <w:rFonts w:ascii="Book Antiqua" w:hAnsi="Book Antiqua"/>
          <w:noProof/>
          <w:sz w:val="22"/>
          <w:szCs w:val="22"/>
        </w:rPr>
        <w:t>uznesenie</w:t>
      </w:r>
      <w:r w:rsidRPr="00FE74AF">
        <w:rPr>
          <w:rFonts w:ascii="Book Antiqua" w:hAnsi="Book Antiqua"/>
          <w:noProof/>
          <w:sz w:val="22"/>
          <w:szCs w:val="22"/>
        </w:rPr>
        <w:t xml:space="preserve"> má prednosť pred uznesením výboru pre európske záležitosti.</w:t>
      </w:r>
    </w:p>
    <w:p w:rsidR="00FC12CF" w:rsidRPr="0088502D" w:rsidRDefault="00FC12CF" w:rsidP="00837342">
      <w:pPr>
        <w:numPr>
          <w:ilvl w:val="0"/>
          <w:numId w:val="18"/>
        </w:numPr>
        <w:spacing w:before="120" w:line="276" w:lineRule="auto"/>
        <w:ind w:left="1418" w:hanging="567"/>
        <w:jc w:val="both"/>
        <w:rPr>
          <w:rFonts w:ascii="Book Antiqua" w:hAnsi="Book Antiqua"/>
          <w:noProof/>
          <w:sz w:val="22"/>
          <w:szCs w:val="22"/>
        </w:rPr>
      </w:pPr>
      <w:r w:rsidRPr="00FE74AF">
        <w:rPr>
          <w:rFonts w:ascii="Book Antiqua" w:hAnsi="Book Antiqua"/>
          <w:noProof/>
          <w:sz w:val="22"/>
          <w:szCs w:val="22"/>
        </w:rPr>
        <w:t>Predseda národnej rady postúpi odôvodnené stanovisko výboru pre európske záležitosti podľa odseku 3 alebo odôvodnené stanovisko národnej rady podľa odseku 4 bez zbytočného odkladu vláde, predsedovi Európskeho parlamentu, predsedovi Rady Európskej únie a predsedovi Európskej komisie.</w:t>
      </w:r>
      <w:r>
        <w:rPr>
          <w:rFonts w:ascii="Book Antiqua" w:hAnsi="Book Antiqua"/>
          <w:noProof/>
          <w:sz w:val="22"/>
          <w:szCs w:val="22"/>
        </w:rPr>
        <w:t>“.</w:t>
      </w:r>
    </w:p>
    <w:p w:rsidR="00FC12CF" w:rsidRPr="00FE74AF" w:rsidRDefault="00FC12CF" w:rsidP="00FC12CF">
      <w:pPr>
        <w:spacing w:before="120" w:line="276" w:lineRule="auto"/>
        <w:ind w:left="720"/>
        <w:jc w:val="both"/>
        <w:rPr>
          <w:rFonts w:ascii="Book Antiqua" w:hAnsi="Book Antiqua"/>
          <w:noProof/>
          <w:sz w:val="22"/>
          <w:szCs w:val="22"/>
        </w:rPr>
      </w:pPr>
      <w:r w:rsidRPr="00FE74AF">
        <w:rPr>
          <w:rFonts w:ascii="Book Antiqua" w:hAnsi="Book Antiqua"/>
          <w:noProof/>
          <w:sz w:val="22"/>
          <w:szCs w:val="22"/>
        </w:rPr>
        <w:t>Poznámka pod čiarou k odkazu 47da a znie:</w:t>
      </w:r>
    </w:p>
    <w:p w:rsidR="00FC12CF" w:rsidRDefault="00FC12CF" w:rsidP="00FC12CF">
      <w:pPr>
        <w:pStyle w:val="Zkladntext"/>
        <w:spacing w:before="120" w:line="276" w:lineRule="auto"/>
        <w:ind w:left="720"/>
        <w:rPr>
          <w:rFonts w:ascii="Book Antiqua" w:hAnsi="Book Antiqua"/>
          <w:noProof/>
          <w:sz w:val="22"/>
          <w:szCs w:val="22"/>
        </w:rPr>
      </w:pPr>
      <w:r w:rsidRPr="00FE74AF">
        <w:rPr>
          <w:rFonts w:ascii="Book Antiqua" w:hAnsi="Book Antiqua"/>
          <w:noProof/>
          <w:sz w:val="22"/>
          <w:szCs w:val="22"/>
        </w:rPr>
        <w:t>„</w:t>
      </w:r>
      <w:r w:rsidRPr="00FE74AF">
        <w:rPr>
          <w:rFonts w:ascii="Book Antiqua" w:hAnsi="Book Antiqua"/>
          <w:noProof/>
          <w:sz w:val="22"/>
          <w:szCs w:val="22"/>
          <w:vertAlign w:val="superscript"/>
        </w:rPr>
        <w:t>47da)</w:t>
      </w:r>
      <w:r w:rsidRPr="00FE74AF">
        <w:rPr>
          <w:rFonts w:ascii="Book Antiqua" w:hAnsi="Book Antiqua"/>
          <w:noProof/>
          <w:sz w:val="22"/>
          <w:szCs w:val="22"/>
        </w:rPr>
        <w:t xml:space="preserve"> </w:t>
      </w:r>
      <w:r>
        <w:rPr>
          <w:rFonts w:ascii="Book Antiqua" w:hAnsi="Book Antiqua"/>
          <w:noProof/>
          <w:sz w:val="22"/>
          <w:szCs w:val="22"/>
        </w:rPr>
        <w:t>Č</w:t>
      </w:r>
      <w:r w:rsidRPr="00FE74AF">
        <w:rPr>
          <w:rFonts w:ascii="Book Antiqua" w:hAnsi="Book Antiqua"/>
          <w:noProof/>
          <w:sz w:val="22"/>
          <w:szCs w:val="22"/>
        </w:rPr>
        <w:t>l. 6 Protokolu o uplatňovaní zásad subsidiarity a proporcionality pripojený k Zmluve o Európskej únii a k Zmlu</w:t>
      </w:r>
      <w:r>
        <w:rPr>
          <w:rFonts w:ascii="Book Antiqua" w:hAnsi="Book Antiqua"/>
          <w:noProof/>
          <w:sz w:val="22"/>
          <w:szCs w:val="22"/>
        </w:rPr>
        <w:t>ve o fungovaní Eur</w:t>
      </w:r>
      <w:r w:rsidRPr="00FE74AF">
        <w:rPr>
          <w:rFonts w:ascii="Book Antiqua" w:hAnsi="Book Antiqua"/>
          <w:noProof/>
          <w:sz w:val="22"/>
          <w:szCs w:val="22"/>
        </w:rPr>
        <w:t>ópskej únie.“.</w:t>
      </w:r>
    </w:p>
    <w:p w:rsidR="00B143AC" w:rsidRDefault="00B143AC" w:rsidP="00B143AC">
      <w:pPr>
        <w:pStyle w:val="Zkladntext"/>
        <w:spacing w:before="120" w:line="276" w:lineRule="auto"/>
        <w:ind w:left="851" w:hanging="425"/>
        <w:rPr>
          <w:rFonts w:ascii="Book Antiqua" w:hAnsi="Book Antiqua"/>
          <w:noProof/>
          <w:sz w:val="22"/>
          <w:szCs w:val="22"/>
        </w:rPr>
      </w:pPr>
      <w:r>
        <w:rPr>
          <w:rFonts w:ascii="Book Antiqua" w:hAnsi="Book Antiqua"/>
          <w:noProof/>
          <w:sz w:val="22"/>
          <w:szCs w:val="22"/>
        </w:rPr>
        <w:t xml:space="preserve">14. </w:t>
      </w:r>
      <w:r>
        <w:rPr>
          <w:rFonts w:ascii="Book Antiqua" w:hAnsi="Book Antiqua"/>
          <w:noProof/>
          <w:sz w:val="22"/>
          <w:szCs w:val="22"/>
        </w:rPr>
        <w:tab/>
        <w:t>V § 83 ods. 4 druhej vete sa na konci bodka nahrádza čiarkou a pripájajú sa tieto slová: „ak nie je ďalej ustanovené inak.“.</w:t>
      </w:r>
    </w:p>
    <w:p w:rsidR="00B143AC" w:rsidRDefault="00B143AC" w:rsidP="00B143AC">
      <w:pPr>
        <w:pStyle w:val="Zkladntext"/>
        <w:spacing w:before="120" w:line="276" w:lineRule="auto"/>
        <w:ind w:left="851" w:hanging="425"/>
        <w:rPr>
          <w:rFonts w:ascii="Book Antiqua" w:hAnsi="Book Antiqua" w:cs="Segoe UI"/>
          <w:sz w:val="22"/>
          <w:szCs w:val="22"/>
          <w:shd w:val="clear" w:color="auto" w:fill="FFFFFF"/>
        </w:rPr>
      </w:pPr>
      <w:r>
        <w:rPr>
          <w:rFonts w:ascii="Book Antiqua" w:hAnsi="Book Antiqua"/>
          <w:noProof/>
          <w:sz w:val="22"/>
          <w:szCs w:val="22"/>
        </w:rPr>
        <w:t>15.</w:t>
      </w:r>
      <w:r>
        <w:rPr>
          <w:rFonts w:ascii="Book Antiqua" w:hAnsi="Book Antiqua"/>
          <w:noProof/>
          <w:sz w:val="22"/>
          <w:szCs w:val="22"/>
        </w:rPr>
        <w:tab/>
        <w:t>V § 83 ods. 4 sa na konci pripája táto veta: „</w:t>
      </w:r>
      <w:r w:rsidRPr="00B143AC">
        <w:rPr>
          <w:rFonts w:ascii="Book Antiqua" w:hAnsi="Book Antiqua" w:cs="Segoe UI"/>
          <w:sz w:val="22"/>
          <w:szCs w:val="22"/>
          <w:shd w:val="clear" w:color="auto" w:fill="FFFFFF"/>
        </w:rPr>
        <w:t>Hlasovanie o návrhoch zo spoločnej správy výborov a o pozmeňujúcich a doplňujúcich návrhoch podaných na schôdzi národnej rady</w:t>
      </w:r>
      <w:r>
        <w:rPr>
          <w:rFonts w:ascii="Book Antiqua" w:hAnsi="Book Antiqua" w:cs="Segoe UI"/>
          <w:sz w:val="22"/>
          <w:szCs w:val="22"/>
          <w:shd w:val="clear" w:color="auto" w:fill="FFFFFF"/>
        </w:rPr>
        <w:t xml:space="preserve"> s výnimkou návrhov, ktoré majú výlučne legislatívno-technický charakter, sa uskutoční až na najbližšej riadnej schôdzi národnej rady.“.</w:t>
      </w:r>
    </w:p>
    <w:p w:rsidR="00B143AC" w:rsidRDefault="00B143AC" w:rsidP="00B143AC">
      <w:pPr>
        <w:pStyle w:val="Zkladntext"/>
        <w:spacing w:before="120" w:line="276" w:lineRule="auto"/>
        <w:ind w:left="851" w:hanging="425"/>
        <w:rPr>
          <w:rFonts w:ascii="Book Antiqua" w:hAnsi="Book Antiqua"/>
          <w:noProof/>
          <w:sz w:val="22"/>
          <w:szCs w:val="22"/>
        </w:rPr>
      </w:pPr>
      <w:r>
        <w:rPr>
          <w:rFonts w:ascii="Book Antiqua" w:hAnsi="Book Antiqua"/>
          <w:noProof/>
          <w:sz w:val="22"/>
          <w:szCs w:val="22"/>
        </w:rPr>
        <w:t>16.</w:t>
      </w:r>
      <w:r>
        <w:rPr>
          <w:rFonts w:ascii="Book Antiqua" w:hAnsi="Book Antiqua"/>
          <w:noProof/>
          <w:sz w:val="22"/>
          <w:szCs w:val="22"/>
        </w:rPr>
        <w:tab/>
        <w:t xml:space="preserve">V § 96 ods. 3 prvej vete sa za slovo </w:t>
      </w:r>
      <w:r w:rsidR="003D7566">
        <w:rPr>
          <w:rFonts w:ascii="Book Antiqua" w:hAnsi="Book Antiqua"/>
          <w:noProof/>
          <w:sz w:val="22"/>
          <w:szCs w:val="22"/>
        </w:rPr>
        <w:t>„rada“ vkladajú slová „na dvoch po sebe nasledujúcich schôdzach“ a za slovo „dňa“ sa vkladá slovo „druhého“.</w:t>
      </w:r>
    </w:p>
    <w:p w:rsidR="003D7566" w:rsidRPr="00793146" w:rsidRDefault="003D7566" w:rsidP="00B143AC">
      <w:pPr>
        <w:pStyle w:val="Zkladntext"/>
        <w:spacing w:before="120" w:line="276" w:lineRule="auto"/>
        <w:ind w:left="851" w:hanging="425"/>
        <w:rPr>
          <w:rFonts w:ascii="Book Antiqua" w:hAnsi="Book Antiqua" w:cs="Book Antiqua"/>
          <w:sz w:val="22"/>
          <w:szCs w:val="22"/>
        </w:rPr>
      </w:pPr>
      <w:r>
        <w:rPr>
          <w:rFonts w:ascii="Book Antiqua" w:hAnsi="Book Antiqua"/>
          <w:noProof/>
          <w:sz w:val="22"/>
          <w:szCs w:val="22"/>
        </w:rPr>
        <w:t>17.</w:t>
      </w:r>
      <w:r>
        <w:rPr>
          <w:rFonts w:ascii="Book Antiqua" w:hAnsi="Book Antiqua"/>
          <w:noProof/>
          <w:sz w:val="22"/>
          <w:szCs w:val="22"/>
        </w:rPr>
        <w:tab/>
        <w:t>V § 133 ods. 3 sa číslica „100 000“ nahrádza číslicou „50 000“.</w:t>
      </w:r>
    </w:p>
    <w:p w:rsidR="00734CF8" w:rsidRPr="00CF2E10" w:rsidRDefault="00734CF8" w:rsidP="00CF2E10">
      <w:pPr>
        <w:pStyle w:val="Zkladntext"/>
        <w:spacing w:before="120" w:line="276" w:lineRule="auto"/>
        <w:rPr>
          <w:rFonts w:ascii="Book Antiqua" w:hAnsi="Book Antiqua" w:cs="Book Antiqua"/>
          <w:sz w:val="22"/>
          <w:szCs w:val="22"/>
        </w:rPr>
      </w:pPr>
    </w:p>
    <w:p w:rsidR="00734CF8" w:rsidRPr="00793146" w:rsidRDefault="00734CF8" w:rsidP="00A15661">
      <w:pPr>
        <w:spacing w:before="120" w:line="276" w:lineRule="auto"/>
        <w:jc w:val="center"/>
        <w:rPr>
          <w:rFonts w:ascii="Book Antiqua" w:hAnsi="Book Antiqua" w:cs="Book Antiqua"/>
          <w:b/>
          <w:bCs/>
          <w:sz w:val="22"/>
          <w:szCs w:val="22"/>
        </w:rPr>
      </w:pPr>
      <w:r w:rsidRPr="00793146">
        <w:rPr>
          <w:rFonts w:ascii="Book Antiqua" w:hAnsi="Book Antiqua" w:cs="Book Antiqua"/>
          <w:b/>
          <w:bCs/>
          <w:sz w:val="22"/>
          <w:szCs w:val="22"/>
        </w:rPr>
        <w:t>Čl. II</w:t>
      </w:r>
    </w:p>
    <w:p w:rsidR="00734CF8" w:rsidRPr="00BA4143" w:rsidRDefault="00734CF8" w:rsidP="00CF2E10">
      <w:pPr>
        <w:pStyle w:val="Zkladntext"/>
        <w:spacing w:before="120" w:line="276" w:lineRule="auto"/>
        <w:ind w:firstLine="708"/>
        <w:jc w:val="left"/>
        <w:rPr>
          <w:rFonts w:ascii="Book Antiqua" w:hAnsi="Book Antiqua" w:cs="Book Antiqua"/>
          <w:sz w:val="22"/>
          <w:szCs w:val="22"/>
        </w:rPr>
      </w:pPr>
      <w:r w:rsidRPr="000A0F29">
        <w:rPr>
          <w:rFonts w:ascii="Book Antiqua" w:hAnsi="Book Antiqua" w:cs="Book Antiqua"/>
          <w:sz w:val="22"/>
          <w:szCs w:val="22"/>
        </w:rPr>
        <w:t>Tento zákon n</w:t>
      </w:r>
      <w:r w:rsidR="003D7566">
        <w:rPr>
          <w:rFonts w:ascii="Book Antiqua" w:hAnsi="Book Antiqua" w:cs="Book Antiqua"/>
          <w:sz w:val="22"/>
          <w:szCs w:val="22"/>
        </w:rPr>
        <w:t>adobúda účinnosť 1. októbra</w:t>
      </w:r>
      <w:r w:rsidR="00837342">
        <w:rPr>
          <w:rFonts w:ascii="Book Antiqua" w:hAnsi="Book Antiqua" w:cs="Book Antiqua"/>
          <w:sz w:val="22"/>
          <w:szCs w:val="22"/>
        </w:rPr>
        <w:t xml:space="preserve"> 2023</w:t>
      </w:r>
      <w:r w:rsidRPr="000A0F29">
        <w:rPr>
          <w:rFonts w:ascii="Book Antiqua" w:hAnsi="Book Antiqua" w:cs="Book Antiqua"/>
          <w:sz w:val="22"/>
          <w:szCs w:val="22"/>
        </w:rPr>
        <w:t>.</w:t>
      </w:r>
    </w:p>
    <w:sectPr w:rsidR="00734CF8" w:rsidRPr="00BA4143" w:rsidSect="00C6460E">
      <w:pgSz w:w="11906" w:h="16838"/>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0246"/>
    <w:multiLevelType w:val="hybridMultilevel"/>
    <w:tmpl w:val="56322D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AC68E4"/>
    <w:multiLevelType w:val="hybridMultilevel"/>
    <w:tmpl w:val="C6E8338C"/>
    <w:lvl w:ilvl="0" w:tplc="699E4F84">
      <w:start w:val="2"/>
      <w:numFmt w:val="decimal"/>
      <w:lvlText w:val="%1"/>
      <w:lvlJc w:val="left"/>
      <w:pPr>
        <w:ind w:left="1068" w:hanging="360"/>
      </w:pPr>
      <w:rPr>
        <w:rFonts w:hint="default"/>
        <w:sz w:val="24"/>
        <w:szCs w:val="24"/>
      </w:rPr>
    </w:lvl>
    <w:lvl w:ilvl="1" w:tplc="E836F1BE">
      <w:start w:val="1"/>
      <w:numFmt w:val="lowerLetter"/>
      <w:lvlText w:val="%2."/>
      <w:lvlJc w:val="left"/>
      <w:pPr>
        <w:ind w:left="1788" w:hanging="360"/>
      </w:pPr>
    </w:lvl>
    <w:lvl w:ilvl="2" w:tplc="9D3A2DE6">
      <w:start w:val="1"/>
      <w:numFmt w:val="lowerRoman"/>
      <w:lvlText w:val="%3."/>
      <w:lvlJc w:val="right"/>
      <w:pPr>
        <w:ind w:left="2508" w:hanging="180"/>
      </w:pPr>
    </w:lvl>
    <w:lvl w:ilvl="3" w:tplc="463CCF6E">
      <w:start w:val="1"/>
      <w:numFmt w:val="decimal"/>
      <w:lvlText w:val="%4."/>
      <w:lvlJc w:val="left"/>
      <w:pPr>
        <w:ind w:left="3228" w:hanging="360"/>
      </w:pPr>
    </w:lvl>
    <w:lvl w:ilvl="4" w:tplc="5D04EA26">
      <w:start w:val="1"/>
      <w:numFmt w:val="lowerLetter"/>
      <w:lvlText w:val="%5."/>
      <w:lvlJc w:val="left"/>
      <w:pPr>
        <w:ind w:left="3948" w:hanging="360"/>
      </w:pPr>
    </w:lvl>
    <w:lvl w:ilvl="5" w:tplc="6DDE7B40">
      <w:start w:val="1"/>
      <w:numFmt w:val="lowerRoman"/>
      <w:lvlText w:val="%6."/>
      <w:lvlJc w:val="right"/>
      <w:pPr>
        <w:ind w:left="4668" w:hanging="180"/>
      </w:pPr>
    </w:lvl>
    <w:lvl w:ilvl="6" w:tplc="D284A33C">
      <w:start w:val="1"/>
      <w:numFmt w:val="decimal"/>
      <w:lvlText w:val="%7."/>
      <w:lvlJc w:val="left"/>
      <w:pPr>
        <w:ind w:left="5388" w:hanging="360"/>
      </w:pPr>
    </w:lvl>
    <w:lvl w:ilvl="7" w:tplc="9F646F74">
      <w:start w:val="1"/>
      <w:numFmt w:val="lowerLetter"/>
      <w:lvlText w:val="%8."/>
      <w:lvlJc w:val="left"/>
      <w:pPr>
        <w:ind w:left="6108" w:hanging="360"/>
      </w:pPr>
    </w:lvl>
    <w:lvl w:ilvl="8" w:tplc="271A8F12">
      <w:start w:val="1"/>
      <w:numFmt w:val="lowerRoman"/>
      <w:lvlText w:val="%9."/>
      <w:lvlJc w:val="right"/>
      <w:pPr>
        <w:ind w:left="6828" w:hanging="180"/>
      </w:pPr>
    </w:lvl>
  </w:abstractNum>
  <w:abstractNum w:abstractNumId="2" w15:restartNumberingAfterBreak="0">
    <w:nsid w:val="12296735"/>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1B5F530D"/>
    <w:multiLevelType w:val="multilevel"/>
    <w:tmpl w:val="A47218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8442D4"/>
    <w:multiLevelType w:val="multilevel"/>
    <w:tmpl w:val="9AE01AF8"/>
    <w:lvl w:ilvl="0">
      <w:start w:val="1"/>
      <w:numFmt w:val="upperLetter"/>
      <w:pStyle w:val="Nadpis1orobas"/>
      <w:lvlText w:val="%1."/>
      <w:lvlJc w:val="left"/>
      <w:pPr>
        <w:tabs>
          <w:tab w:val="num" w:pos="567"/>
        </w:tabs>
        <w:ind w:left="567" w:hanging="567"/>
      </w:pPr>
      <w:rPr>
        <w:rFonts w:ascii="Times New Roman" w:hAnsi="Times New Roman" w:cs="Times New Roman" w:hint="default"/>
        <w:b/>
        <w:bCs/>
        <w:i w:val="0"/>
        <w:iCs w:val="0"/>
        <w:sz w:val="28"/>
        <w:szCs w:val="28"/>
      </w:rPr>
    </w:lvl>
    <w:lvl w:ilvl="1">
      <w:start w:val="1"/>
      <w:numFmt w:val="decimal"/>
      <w:pStyle w:val="Nadpis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pStyle w:val="Nadpis3Podloha"/>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pStyle w:val="Nadpis4Termn"/>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pStyle w:val="Nadpis5"/>
      <w:lvlText w:val="(%5)"/>
      <w:lvlJc w:val="left"/>
      <w:pPr>
        <w:tabs>
          <w:tab w:val="num" w:pos="3240"/>
        </w:tabs>
        <w:ind w:left="2880"/>
      </w:pPr>
      <w:rPr>
        <w:rFonts w:hint="default"/>
      </w:rPr>
    </w:lvl>
    <w:lvl w:ilvl="5">
      <w:start w:val="1"/>
      <w:numFmt w:val="lowerLetter"/>
      <w:pStyle w:val="Nadpis6"/>
      <w:lvlText w:val="(%6)"/>
      <w:lvlJc w:val="left"/>
      <w:pPr>
        <w:tabs>
          <w:tab w:val="num" w:pos="3960"/>
        </w:tabs>
        <w:ind w:left="3600"/>
      </w:pPr>
      <w:rPr>
        <w:rFonts w:hint="default"/>
      </w:rPr>
    </w:lvl>
    <w:lvl w:ilvl="6">
      <w:start w:val="1"/>
      <w:numFmt w:val="lowerRoman"/>
      <w:pStyle w:val="Nadpis7"/>
      <w:lvlText w:val="(%7)"/>
      <w:lvlJc w:val="left"/>
      <w:pPr>
        <w:tabs>
          <w:tab w:val="num" w:pos="4680"/>
        </w:tabs>
        <w:ind w:left="4320"/>
      </w:pPr>
      <w:rPr>
        <w:rFonts w:hint="default"/>
      </w:rPr>
    </w:lvl>
    <w:lvl w:ilvl="7">
      <w:start w:val="1"/>
      <w:numFmt w:val="lowerLetter"/>
      <w:pStyle w:val="Nadpis8"/>
      <w:lvlText w:val="(%8)"/>
      <w:lvlJc w:val="left"/>
      <w:pPr>
        <w:tabs>
          <w:tab w:val="num" w:pos="5400"/>
        </w:tabs>
        <w:ind w:left="5040"/>
      </w:pPr>
      <w:rPr>
        <w:rFonts w:hint="default"/>
      </w:rPr>
    </w:lvl>
    <w:lvl w:ilvl="8">
      <w:start w:val="1"/>
      <w:numFmt w:val="lowerRoman"/>
      <w:pStyle w:val="Nadpis9"/>
      <w:lvlText w:val="(%9)"/>
      <w:lvlJc w:val="left"/>
      <w:pPr>
        <w:tabs>
          <w:tab w:val="num" w:pos="6120"/>
        </w:tabs>
        <w:ind w:left="5760"/>
      </w:pPr>
      <w:rPr>
        <w:rFonts w:hint="default"/>
      </w:rPr>
    </w:lvl>
  </w:abstractNum>
  <w:abstractNum w:abstractNumId="5" w15:restartNumberingAfterBreak="0">
    <w:nsid w:val="1BCB72C4"/>
    <w:multiLevelType w:val="singleLevel"/>
    <w:tmpl w:val="0405000F"/>
    <w:lvl w:ilvl="0">
      <w:start w:val="1"/>
      <w:numFmt w:val="decimal"/>
      <w:lvlText w:val="%1."/>
      <w:lvlJc w:val="left"/>
      <w:pPr>
        <w:tabs>
          <w:tab w:val="num" w:pos="360"/>
        </w:tabs>
        <w:ind w:left="360" w:hanging="360"/>
      </w:pPr>
    </w:lvl>
  </w:abstractNum>
  <w:abstractNum w:abstractNumId="6" w15:restartNumberingAfterBreak="0">
    <w:nsid w:val="22597A44"/>
    <w:multiLevelType w:val="multilevel"/>
    <w:tmpl w:val="38CAF89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900"/>
        </w:tabs>
        <w:ind w:left="900" w:hanging="360"/>
      </w:p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7" w15:restartNumberingAfterBreak="0">
    <w:nsid w:val="29B4164F"/>
    <w:multiLevelType w:val="hybridMultilevel"/>
    <w:tmpl w:val="2C3E9BC0"/>
    <w:lvl w:ilvl="0" w:tplc="2AAE9860">
      <w:start w:val="1"/>
      <w:numFmt w:val="decimal"/>
      <w:lvlText w:val="%1."/>
      <w:lvlJc w:val="left"/>
      <w:pPr>
        <w:ind w:left="720" w:hanging="360"/>
      </w:pPr>
      <w:rPr>
        <w:b w:val="0"/>
        <w:bCs w:val="0"/>
      </w:rPr>
    </w:lvl>
    <w:lvl w:ilvl="1" w:tplc="0E4CF262">
      <w:start w:val="1"/>
      <w:numFmt w:val="decimal"/>
      <w:lvlText w:val="%2."/>
      <w:lvlJc w:val="left"/>
      <w:pPr>
        <w:tabs>
          <w:tab w:val="num" w:pos="1440"/>
        </w:tabs>
        <w:ind w:left="1440" w:hanging="360"/>
      </w:pPr>
    </w:lvl>
    <w:lvl w:ilvl="2" w:tplc="61848310">
      <w:start w:val="1"/>
      <w:numFmt w:val="decimal"/>
      <w:lvlText w:val="%3."/>
      <w:lvlJc w:val="left"/>
      <w:pPr>
        <w:tabs>
          <w:tab w:val="num" w:pos="2160"/>
        </w:tabs>
        <w:ind w:left="2160" w:hanging="360"/>
      </w:pPr>
    </w:lvl>
    <w:lvl w:ilvl="3" w:tplc="774C00E0">
      <w:start w:val="1"/>
      <w:numFmt w:val="decimal"/>
      <w:lvlText w:val="%4."/>
      <w:lvlJc w:val="left"/>
      <w:pPr>
        <w:tabs>
          <w:tab w:val="num" w:pos="2880"/>
        </w:tabs>
        <w:ind w:left="2880" w:hanging="360"/>
      </w:pPr>
    </w:lvl>
    <w:lvl w:ilvl="4" w:tplc="F6105AD4">
      <w:start w:val="1"/>
      <w:numFmt w:val="decimal"/>
      <w:lvlText w:val="%5."/>
      <w:lvlJc w:val="left"/>
      <w:pPr>
        <w:tabs>
          <w:tab w:val="num" w:pos="3600"/>
        </w:tabs>
        <w:ind w:left="3600" w:hanging="360"/>
      </w:pPr>
    </w:lvl>
    <w:lvl w:ilvl="5" w:tplc="E2A2E250">
      <w:start w:val="1"/>
      <w:numFmt w:val="decimal"/>
      <w:lvlText w:val="%6."/>
      <w:lvlJc w:val="left"/>
      <w:pPr>
        <w:tabs>
          <w:tab w:val="num" w:pos="4320"/>
        </w:tabs>
        <w:ind w:left="4320" w:hanging="360"/>
      </w:pPr>
    </w:lvl>
    <w:lvl w:ilvl="6" w:tplc="C7E07468">
      <w:start w:val="1"/>
      <w:numFmt w:val="decimal"/>
      <w:lvlText w:val="%7."/>
      <w:lvlJc w:val="left"/>
      <w:pPr>
        <w:tabs>
          <w:tab w:val="num" w:pos="5040"/>
        </w:tabs>
        <w:ind w:left="5040" w:hanging="360"/>
      </w:pPr>
    </w:lvl>
    <w:lvl w:ilvl="7" w:tplc="25B63DD2">
      <w:start w:val="1"/>
      <w:numFmt w:val="decimal"/>
      <w:lvlText w:val="%8."/>
      <w:lvlJc w:val="left"/>
      <w:pPr>
        <w:tabs>
          <w:tab w:val="num" w:pos="5760"/>
        </w:tabs>
        <w:ind w:left="5760" w:hanging="360"/>
      </w:pPr>
    </w:lvl>
    <w:lvl w:ilvl="8" w:tplc="EFB239E6">
      <w:start w:val="1"/>
      <w:numFmt w:val="decimal"/>
      <w:lvlText w:val="%9."/>
      <w:lvlJc w:val="left"/>
      <w:pPr>
        <w:tabs>
          <w:tab w:val="num" w:pos="6480"/>
        </w:tabs>
        <w:ind w:left="6480" w:hanging="360"/>
      </w:pPr>
    </w:lvl>
  </w:abstractNum>
  <w:abstractNum w:abstractNumId="8" w15:restartNumberingAfterBreak="0">
    <w:nsid w:val="3CA67469"/>
    <w:multiLevelType w:val="hybridMultilevel"/>
    <w:tmpl w:val="4BF8C4C2"/>
    <w:lvl w:ilvl="0" w:tplc="84B8EA0E">
      <w:start w:val="1"/>
      <w:numFmt w:val="decimal"/>
      <w:lvlText w:val="(%1)"/>
      <w:lvlJc w:val="left"/>
      <w:pPr>
        <w:ind w:left="1080" w:hanging="360"/>
      </w:pPr>
      <w:rPr>
        <w:rFonts w:hint="default"/>
      </w:rPr>
    </w:lvl>
    <w:lvl w:ilvl="1" w:tplc="B1BABC5C">
      <w:start w:val="1"/>
      <w:numFmt w:val="lowerLetter"/>
      <w:lvlText w:val="%2."/>
      <w:lvlJc w:val="left"/>
      <w:pPr>
        <w:ind w:left="1800" w:hanging="360"/>
      </w:pPr>
    </w:lvl>
    <w:lvl w:ilvl="2" w:tplc="A9386562">
      <w:start w:val="1"/>
      <w:numFmt w:val="lowerRoman"/>
      <w:lvlText w:val="%3."/>
      <w:lvlJc w:val="right"/>
      <w:pPr>
        <w:ind w:left="2520" w:hanging="180"/>
      </w:pPr>
    </w:lvl>
    <w:lvl w:ilvl="3" w:tplc="FCF27B14">
      <w:start w:val="1"/>
      <w:numFmt w:val="decimal"/>
      <w:lvlText w:val="%4."/>
      <w:lvlJc w:val="left"/>
      <w:pPr>
        <w:ind w:left="3240" w:hanging="360"/>
      </w:pPr>
    </w:lvl>
    <w:lvl w:ilvl="4" w:tplc="0B04DC5A">
      <w:start w:val="1"/>
      <w:numFmt w:val="lowerLetter"/>
      <w:lvlText w:val="%5."/>
      <w:lvlJc w:val="left"/>
      <w:pPr>
        <w:ind w:left="3960" w:hanging="360"/>
      </w:pPr>
    </w:lvl>
    <w:lvl w:ilvl="5" w:tplc="EF9E2E54">
      <w:start w:val="1"/>
      <w:numFmt w:val="lowerRoman"/>
      <w:lvlText w:val="%6."/>
      <w:lvlJc w:val="right"/>
      <w:pPr>
        <w:ind w:left="4680" w:hanging="180"/>
      </w:pPr>
    </w:lvl>
    <w:lvl w:ilvl="6" w:tplc="A8AA000E">
      <w:start w:val="1"/>
      <w:numFmt w:val="decimal"/>
      <w:lvlText w:val="%7."/>
      <w:lvlJc w:val="left"/>
      <w:pPr>
        <w:ind w:left="5400" w:hanging="360"/>
      </w:pPr>
    </w:lvl>
    <w:lvl w:ilvl="7" w:tplc="6D3AB138">
      <w:start w:val="1"/>
      <w:numFmt w:val="lowerLetter"/>
      <w:lvlText w:val="%8."/>
      <w:lvlJc w:val="left"/>
      <w:pPr>
        <w:ind w:left="6120" w:hanging="360"/>
      </w:pPr>
    </w:lvl>
    <w:lvl w:ilvl="8" w:tplc="2564E48E">
      <w:start w:val="1"/>
      <w:numFmt w:val="lowerRoman"/>
      <w:lvlText w:val="%9."/>
      <w:lvlJc w:val="right"/>
      <w:pPr>
        <w:ind w:left="6840" w:hanging="180"/>
      </w:pPr>
    </w:lvl>
  </w:abstractNum>
  <w:abstractNum w:abstractNumId="9" w15:restartNumberingAfterBreak="0">
    <w:nsid w:val="3D38608A"/>
    <w:multiLevelType w:val="hybridMultilevel"/>
    <w:tmpl w:val="C40454EC"/>
    <w:lvl w:ilvl="0" w:tplc="DCE86D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E063891"/>
    <w:multiLevelType w:val="hybridMultilevel"/>
    <w:tmpl w:val="2C3E9BC0"/>
    <w:lvl w:ilvl="0" w:tplc="C34A99C4">
      <w:start w:val="1"/>
      <w:numFmt w:val="decimal"/>
      <w:lvlText w:val="%1."/>
      <w:lvlJc w:val="left"/>
      <w:pPr>
        <w:ind w:left="720" w:hanging="360"/>
      </w:pPr>
      <w:rPr>
        <w:b w:val="0"/>
        <w:bCs w:val="0"/>
      </w:rPr>
    </w:lvl>
    <w:lvl w:ilvl="1" w:tplc="650AC1BA">
      <w:start w:val="1"/>
      <w:numFmt w:val="decimal"/>
      <w:lvlText w:val="%2."/>
      <w:lvlJc w:val="left"/>
      <w:pPr>
        <w:tabs>
          <w:tab w:val="num" w:pos="1440"/>
        </w:tabs>
        <w:ind w:left="1440" w:hanging="360"/>
      </w:pPr>
    </w:lvl>
    <w:lvl w:ilvl="2" w:tplc="8B84B282">
      <w:start w:val="1"/>
      <w:numFmt w:val="decimal"/>
      <w:lvlText w:val="%3."/>
      <w:lvlJc w:val="left"/>
      <w:pPr>
        <w:tabs>
          <w:tab w:val="num" w:pos="2160"/>
        </w:tabs>
        <w:ind w:left="2160" w:hanging="360"/>
      </w:pPr>
    </w:lvl>
    <w:lvl w:ilvl="3" w:tplc="962241D4">
      <w:start w:val="1"/>
      <w:numFmt w:val="decimal"/>
      <w:lvlText w:val="%4."/>
      <w:lvlJc w:val="left"/>
      <w:pPr>
        <w:tabs>
          <w:tab w:val="num" w:pos="2880"/>
        </w:tabs>
        <w:ind w:left="2880" w:hanging="360"/>
      </w:pPr>
    </w:lvl>
    <w:lvl w:ilvl="4" w:tplc="C0D2E8A2">
      <w:start w:val="1"/>
      <w:numFmt w:val="decimal"/>
      <w:lvlText w:val="%5."/>
      <w:lvlJc w:val="left"/>
      <w:pPr>
        <w:tabs>
          <w:tab w:val="num" w:pos="3600"/>
        </w:tabs>
        <w:ind w:left="3600" w:hanging="360"/>
      </w:pPr>
    </w:lvl>
    <w:lvl w:ilvl="5" w:tplc="28DCED00">
      <w:start w:val="1"/>
      <w:numFmt w:val="decimal"/>
      <w:lvlText w:val="%6."/>
      <w:lvlJc w:val="left"/>
      <w:pPr>
        <w:tabs>
          <w:tab w:val="num" w:pos="4320"/>
        </w:tabs>
        <w:ind w:left="4320" w:hanging="360"/>
      </w:pPr>
    </w:lvl>
    <w:lvl w:ilvl="6" w:tplc="99CA3ECA">
      <w:start w:val="1"/>
      <w:numFmt w:val="decimal"/>
      <w:lvlText w:val="%7."/>
      <w:lvlJc w:val="left"/>
      <w:pPr>
        <w:tabs>
          <w:tab w:val="num" w:pos="5040"/>
        </w:tabs>
        <w:ind w:left="5040" w:hanging="360"/>
      </w:pPr>
    </w:lvl>
    <w:lvl w:ilvl="7" w:tplc="5C209BB8">
      <w:start w:val="1"/>
      <w:numFmt w:val="decimal"/>
      <w:lvlText w:val="%8."/>
      <w:lvlJc w:val="left"/>
      <w:pPr>
        <w:tabs>
          <w:tab w:val="num" w:pos="5760"/>
        </w:tabs>
        <w:ind w:left="5760" w:hanging="360"/>
      </w:pPr>
    </w:lvl>
    <w:lvl w:ilvl="8" w:tplc="746CF0C0">
      <w:start w:val="1"/>
      <w:numFmt w:val="decimal"/>
      <w:lvlText w:val="%9."/>
      <w:lvlJc w:val="left"/>
      <w:pPr>
        <w:tabs>
          <w:tab w:val="num" w:pos="6480"/>
        </w:tabs>
        <w:ind w:left="6480" w:hanging="360"/>
      </w:pPr>
    </w:lvl>
  </w:abstractNum>
  <w:abstractNum w:abstractNumId="11" w15:restartNumberingAfterBreak="0">
    <w:nsid w:val="42840748"/>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4B92EF6"/>
    <w:multiLevelType w:val="hybridMultilevel"/>
    <w:tmpl w:val="2700AA7C"/>
    <w:lvl w:ilvl="0" w:tplc="7CC6512E">
      <w:start w:val="3"/>
      <w:numFmt w:val="decimal"/>
      <w:lvlText w:val="(%1)"/>
      <w:lvlJc w:val="left"/>
      <w:pPr>
        <w:ind w:left="1080" w:hanging="360"/>
      </w:pPr>
      <w:rPr>
        <w:rFonts w:hint="default"/>
      </w:rPr>
    </w:lvl>
    <w:lvl w:ilvl="1" w:tplc="B9904378">
      <w:start w:val="1"/>
      <w:numFmt w:val="lowerLetter"/>
      <w:lvlText w:val="%2."/>
      <w:lvlJc w:val="left"/>
      <w:pPr>
        <w:ind w:left="1800" w:hanging="360"/>
      </w:pPr>
    </w:lvl>
    <w:lvl w:ilvl="2" w:tplc="B45242BA">
      <w:start w:val="1"/>
      <w:numFmt w:val="lowerRoman"/>
      <w:lvlText w:val="%3."/>
      <w:lvlJc w:val="right"/>
      <w:pPr>
        <w:ind w:left="2520" w:hanging="180"/>
      </w:pPr>
    </w:lvl>
    <w:lvl w:ilvl="3" w:tplc="54745296">
      <w:start w:val="1"/>
      <w:numFmt w:val="decimal"/>
      <w:lvlText w:val="%4."/>
      <w:lvlJc w:val="left"/>
      <w:pPr>
        <w:ind w:left="3240" w:hanging="360"/>
      </w:pPr>
    </w:lvl>
    <w:lvl w:ilvl="4" w:tplc="BBFE9E56">
      <w:start w:val="1"/>
      <w:numFmt w:val="lowerLetter"/>
      <w:lvlText w:val="%5."/>
      <w:lvlJc w:val="left"/>
      <w:pPr>
        <w:ind w:left="3960" w:hanging="360"/>
      </w:pPr>
    </w:lvl>
    <w:lvl w:ilvl="5" w:tplc="BE3CA934">
      <w:start w:val="1"/>
      <w:numFmt w:val="lowerRoman"/>
      <w:lvlText w:val="%6."/>
      <w:lvlJc w:val="right"/>
      <w:pPr>
        <w:ind w:left="4680" w:hanging="180"/>
      </w:pPr>
    </w:lvl>
    <w:lvl w:ilvl="6" w:tplc="D6E24A7E">
      <w:start w:val="1"/>
      <w:numFmt w:val="decimal"/>
      <w:lvlText w:val="%7."/>
      <w:lvlJc w:val="left"/>
      <w:pPr>
        <w:ind w:left="5400" w:hanging="360"/>
      </w:pPr>
    </w:lvl>
    <w:lvl w:ilvl="7" w:tplc="2BB40F1C">
      <w:start w:val="1"/>
      <w:numFmt w:val="lowerLetter"/>
      <w:lvlText w:val="%8."/>
      <w:lvlJc w:val="left"/>
      <w:pPr>
        <w:ind w:left="6120" w:hanging="360"/>
      </w:pPr>
    </w:lvl>
    <w:lvl w:ilvl="8" w:tplc="15AA6182">
      <w:start w:val="1"/>
      <w:numFmt w:val="lowerRoman"/>
      <w:lvlText w:val="%9."/>
      <w:lvlJc w:val="right"/>
      <w:pPr>
        <w:ind w:left="6840" w:hanging="180"/>
      </w:pPr>
    </w:lvl>
  </w:abstractNum>
  <w:abstractNum w:abstractNumId="13" w15:restartNumberingAfterBreak="0">
    <w:nsid w:val="50A346BB"/>
    <w:multiLevelType w:val="hybridMultilevel"/>
    <w:tmpl w:val="B652FF34"/>
    <w:lvl w:ilvl="0" w:tplc="335220F6">
      <w:start w:val="1"/>
      <w:numFmt w:val="decimal"/>
      <w:lvlText w:val="%1."/>
      <w:lvlJc w:val="left"/>
      <w:pPr>
        <w:ind w:left="720" w:hanging="360"/>
      </w:pPr>
      <w:rPr>
        <w:rFonts w:hint="default"/>
      </w:rPr>
    </w:lvl>
    <w:lvl w:ilvl="1" w:tplc="C78AAD0A">
      <w:start w:val="1"/>
      <w:numFmt w:val="lowerLetter"/>
      <w:lvlText w:val="%2."/>
      <w:lvlJc w:val="left"/>
      <w:pPr>
        <w:ind w:left="1440" w:hanging="360"/>
      </w:pPr>
    </w:lvl>
    <w:lvl w:ilvl="2" w:tplc="D7AC6F62">
      <w:start w:val="1"/>
      <w:numFmt w:val="lowerRoman"/>
      <w:lvlText w:val="%3."/>
      <w:lvlJc w:val="right"/>
      <w:pPr>
        <w:ind w:left="2160" w:hanging="180"/>
      </w:pPr>
    </w:lvl>
    <w:lvl w:ilvl="3" w:tplc="71E4CB40">
      <w:start w:val="1"/>
      <w:numFmt w:val="decimal"/>
      <w:lvlText w:val="%4."/>
      <w:lvlJc w:val="left"/>
      <w:pPr>
        <w:ind w:left="2880" w:hanging="360"/>
      </w:pPr>
    </w:lvl>
    <w:lvl w:ilvl="4" w:tplc="10E6B694">
      <w:start w:val="1"/>
      <w:numFmt w:val="lowerLetter"/>
      <w:lvlText w:val="%5."/>
      <w:lvlJc w:val="left"/>
      <w:pPr>
        <w:ind w:left="3600" w:hanging="360"/>
      </w:pPr>
    </w:lvl>
    <w:lvl w:ilvl="5" w:tplc="E91A3880">
      <w:start w:val="1"/>
      <w:numFmt w:val="lowerRoman"/>
      <w:lvlText w:val="%6."/>
      <w:lvlJc w:val="right"/>
      <w:pPr>
        <w:ind w:left="4320" w:hanging="180"/>
      </w:pPr>
    </w:lvl>
    <w:lvl w:ilvl="6" w:tplc="EB92D602">
      <w:start w:val="1"/>
      <w:numFmt w:val="decimal"/>
      <w:lvlText w:val="%7."/>
      <w:lvlJc w:val="left"/>
      <w:pPr>
        <w:ind w:left="5040" w:hanging="360"/>
      </w:pPr>
    </w:lvl>
    <w:lvl w:ilvl="7" w:tplc="A2701A50">
      <w:start w:val="1"/>
      <w:numFmt w:val="lowerLetter"/>
      <w:lvlText w:val="%8."/>
      <w:lvlJc w:val="left"/>
      <w:pPr>
        <w:ind w:left="5760" w:hanging="360"/>
      </w:pPr>
    </w:lvl>
    <w:lvl w:ilvl="8" w:tplc="CFA20EAE">
      <w:start w:val="1"/>
      <w:numFmt w:val="lowerRoman"/>
      <w:lvlText w:val="%9."/>
      <w:lvlJc w:val="right"/>
      <w:pPr>
        <w:ind w:left="6480" w:hanging="180"/>
      </w:pPr>
    </w:lvl>
  </w:abstractNum>
  <w:abstractNum w:abstractNumId="14" w15:restartNumberingAfterBreak="0">
    <w:nsid w:val="539A05FD"/>
    <w:multiLevelType w:val="hybridMultilevel"/>
    <w:tmpl w:val="92FA123A"/>
    <w:lvl w:ilvl="0" w:tplc="66B48A76">
      <w:start w:val="1"/>
      <w:numFmt w:val="decimal"/>
      <w:lvlText w:val="%1."/>
      <w:lvlJc w:val="left"/>
      <w:pPr>
        <w:ind w:left="1080" w:hanging="360"/>
      </w:pPr>
      <w:rPr>
        <w:rFonts w:hint="default"/>
      </w:rPr>
    </w:lvl>
    <w:lvl w:ilvl="1" w:tplc="50FC2B8E">
      <w:start w:val="1"/>
      <w:numFmt w:val="lowerLetter"/>
      <w:lvlText w:val="%2."/>
      <w:lvlJc w:val="left"/>
      <w:pPr>
        <w:ind w:left="1800" w:hanging="360"/>
      </w:pPr>
    </w:lvl>
    <w:lvl w:ilvl="2" w:tplc="3B06CD4E">
      <w:start w:val="1"/>
      <w:numFmt w:val="lowerRoman"/>
      <w:lvlText w:val="%3."/>
      <w:lvlJc w:val="right"/>
      <w:pPr>
        <w:ind w:left="2520" w:hanging="180"/>
      </w:pPr>
    </w:lvl>
    <w:lvl w:ilvl="3" w:tplc="CFA6A5A0">
      <w:start w:val="1"/>
      <w:numFmt w:val="decimal"/>
      <w:lvlText w:val="%4."/>
      <w:lvlJc w:val="left"/>
      <w:pPr>
        <w:ind w:left="3240" w:hanging="360"/>
      </w:pPr>
    </w:lvl>
    <w:lvl w:ilvl="4" w:tplc="7CB6E0E8">
      <w:start w:val="1"/>
      <w:numFmt w:val="lowerLetter"/>
      <w:lvlText w:val="%5."/>
      <w:lvlJc w:val="left"/>
      <w:pPr>
        <w:ind w:left="3960" w:hanging="360"/>
      </w:pPr>
    </w:lvl>
    <w:lvl w:ilvl="5" w:tplc="ADD09992">
      <w:start w:val="1"/>
      <w:numFmt w:val="lowerRoman"/>
      <w:lvlText w:val="%6."/>
      <w:lvlJc w:val="right"/>
      <w:pPr>
        <w:ind w:left="4680" w:hanging="180"/>
      </w:pPr>
    </w:lvl>
    <w:lvl w:ilvl="6" w:tplc="08284EA2">
      <w:start w:val="1"/>
      <w:numFmt w:val="decimal"/>
      <w:lvlText w:val="%7."/>
      <w:lvlJc w:val="left"/>
      <w:pPr>
        <w:ind w:left="5400" w:hanging="360"/>
      </w:pPr>
    </w:lvl>
    <w:lvl w:ilvl="7" w:tplc="136802E4">
      <w:start w:val="1"/>
      <w:numFmt w:val="lowerLetter"/>
      <w:lvlText w:val="%8."/>
      <w:lvlJc w:val="left"/>
      <w:pPr>
        <w:ind w:left="6120" w:hanging="360"/>
      </w:pPr>
    </w:lvl>
    <w:lvl w:ilvl="8" w:tplc="2C52932E">
      <w:start w:val="1"/>
      <w:numFmt w:val="lowerRoman"/>
      <w:lvlText w:val="%9."/>
      <w:lvlJc w:val="right"/>
      <w:pPr>
        <w:ind w:left="6840" w:hanging="180"/>
      </w:pPr>
    </w:lvl>
  </w:abstractNum>
  <w:abstractNum w:abstractNumId="15" w15:restartNumberingAfterBreak="0">
    <w:nsid w:val="69280016"/>
    <w:multiLevelType w:val="multilevel"/>
    <w:tmpl w:val="C76630A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7B14722A"/>
    <w:multiLevelType w:val="multilevel"/>
    <w:tmpl w:val="2DEC20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num>
  <w:num w:numId="3">
    <w:abstractNumId w:val="11"/>
  </w:num>
  <w:num w:numId="4">
    <w:abstractNumId w:val="2"/>
  </w:num>
  <w:num w:numId="5">
    <w:abstractNumId w:val="3"/>
  </w:num>
  <w:num w:numId="6">
    <w:abstractNumId w:val="15"/>
  </w:num>
  <w:num w:numId="7">
    <w:abstractNumId w:val="16"/>
  </w:num>
  <w:num w:numId="8">
    <w:abstractNumId w:val="5"/>
  </w:num>
  <w:num w:numId="9">
    <w:abstractNumId w:val="1"/>
  </w:num>
  <w:num w:numId="10">
    <w:abstractNumId w:val="13"/>
  </w:num>
  <w:num w:numId="11">
    <w:abstractNumId w:val="14"/>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2"/>
  </w:num>
  <w:num w:numId="15">
    <w:abstractNumId w:val="10"/>
  </w:num>
  <w:num w:numId="16">
    <w:abstractNumId w:val="7"/>
  </w:num>
  <w:num w:numId="17">
    <w:abstractNumId w:val="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A29"/>
    <w:rsid w:val="0003276E"/>
    <w:rsid w:val="00055036"/>
    <w:rsid w:val="00071193"/>
    <w:rsid w:val="00096340"/>
    <w:rsid w:val="000A0F29"/>
    <w:rsid w:val="000A15AE"/>
    <w:rsid w:val="000B0093"/>
    <w:rsid w:val="000C13CD"/>
    <w:rsid w:val="000F2B76"/>
    <w:rsid w:val="0010387D"/>
    <w:rsid w:val="00147F86"/>
    <w:rsid w:val="0016288E"/>
    <w:rsid w:val="00177289"/>
    <w:rsid w:val="001B3623"/>
    <w:rsid w:val="001E24E9"/>
    <w:rsid w:val="00226F0B"/>
    <w:rsid w:val="00233538"/>
    <w:rsid w:val="0024597E"/>
    <w:rsid w:val="00275475"/>
    <w:rsid w:val="00281A0F"/>
    <w:rsid w:val="00292899"/>
    <w:rsid w:val="002A263D"/>
    <w:rsid w:val="002B3483"/>
    <w:rsid w:val="002E2F42"/>
    <w:rsid w:val="002F1FDE"/>
    <w:rsid w:val="00332138"/>
    <w:rsid w:val="003533A4"/>
    <w:rsid w:val="00367D0F"/>
    <w:rsid w:val="00374C07"/>
    <w:rsid w:val="0037581D"/>
    <w:rsid w:val="003C5A1D"/>
    <w:rsid w:val="003C7951"/>
    <w:rsid w:val="003D7566"/>
    <w:rsid w:val="003E5341"/>
    <w:rsid w:val="003E5C85"/>
    <w:rsid w:val="003E77D8"/>
    <w:rsid w:val="003F01D0"/>
    <w:rsid w:val="0040622B"/>
    <w:rsid w:val="00445A97"/>
    <w:rsid w:val="004643BD"/>
    <w:rsid w:val="00466490"/>
    <w:rsid w:val="004729C2"/>
    <w:rsid w:val="004A235E"/>
    <w:rsid w:val="004B53F6"/>
    <w:rsid w:val="004C0465"/>
    <w:rsid w:val="004E7584"/>
    <w:rsid w:val="00515977"/>
    <w:rsid w:val="0053372D"/>
    <w:rsid w:val="00537A3D"/>
    <w:rsid w:val="00542DCE"/>
    <w:rsid w:val="00562F8E"/>
    <w:rsid w:val="00586D7A"/>
    <w:rsid w:val="005940C8"/>
    <w:rsid w:val="005D1927"/>
    <w:rsid w:val="00627A99"/>
    <w:rsid w:val="00632E4D"/>
    <w:rsid w:val="00635A1C"/>
    <w:rsid w:val="00662A0C"/>
    <w:rsid w:val="00672D91"/>
    <w:rsid w:val="006A0E93"/>
    <w:rsid w:val="006A4C78"/>
    <w:rsid w:val="006C46D7"/>
    <w:rsid w:val="006C60CD"/>
    <w:rsid w:val="006D736F"/>
    <w:rsid w:val="006F6B9C"/>
    <w:rsid w:val="00714078"/>
    <w:rsid w:val="00727F69"/>
    <w:rsid w:val="00734CF8"/>
    <w:rsid w:val="0074166B"/>
    <w:rsid w:val="00746D81"/>
    <w:rsid w:val="00752116"/>
    <w:rsid w:val="007546A1"/>
    <w:rsid w:val="007802A2"/>
    <w:rsid w:val="00792E82"/>
    <w:rsid w:val="00793146"/>
    <w:rsid w:val="007B7F2E"/>
    <w:rsid w:val="007C3B68"/>
    <w:rsid w:val="007D1F9C"/>
    <w:rsid w:val="007D6758"/>
    <w:rsid w:val="00806507"/>
    <w:rsid w:val="00820143"/>
    <w:rsid w:val="0082207A"/>
    <w:rsid w:val="00837342"/>
    <w:rsid w:val="00872039"/>
    <w:rsid w:val="00875E16"/>
    <w:rsid w:val="008B2FBE"/>
    <w:rsid w:val="008D7D19"/>
    <w:rsid w:val="008D7E23"/>
    <w:rsid w:val="008F4849"/>
    <w:rsid w:val="00910803"/>
    <w:rsid w:val="00936E5C"/>
    <w:rsid w:val="00956184"/>
    <w:rsid w:val="009A1957"/>
    <w:rsid w:val="009A1AEF"/>
    <w:rsid w:val="009A4CFA"/>
    <w:rsid w:val="009C224F"/>
    <w:rsid w:val="009C3F3F"/>
    <w:rsid w:val="009F5660"/>
    <w:rsid w:val="00A15661"/>
    <w:rsid w:val="00A319D0"/>
    <w:rsid w:val="00A457A3"/>
    <w:rsid w:val="00A5061A"/>
    <w:rsid w:val="00A70242"/>
    <w:rsid w:val="00A85A29"/>
    <w:rsid w:val="00A94B1C"/>
    <w:rsid w:val="00AA6159"/>
    <w:rsid w:val="00AD1D4E"/>
    <w:rsid w:val="00AE328D"/>
    <w:rsid w:val="00AE32CB"/>
    <w:rsid w:val="00B0530D"/>
    <w:rsid w:val="00B143AC"/>
    <w:rsid w:val="00B959B6"/>
    <w:rsid w:val="00BA4143"/>
    <w:rsid w:val="00BE6ACB"/>
    <w:rsid w:val="00BF0E6F"/>
    <w:rsid w:val="00BF2739"/>
    <w:rsid w:val="00C373BC"/>
    <w:rsid w:val="00C442DA"/>
    <w:rsid w:val="00C6460E"/>
    <w:rsid w:val="00C818ED"/>
    <w:rsid w:val="00CA3863"/>
    <w:rsid w:val="00CB4E67"/>
    <w:rsid w:val="00CC5C6B"/>
    <w:rsid w:val="00CD705B"/>
    <w:rsid w:val="00CF2E10"/>
    <w:rsid w:val="00CF3354"/>
    <w:rsid w:val="00CF5EC3"/>
    <w:rsid w:val="00D043BD"/>
    <w:rsid w:val="00D17313"/>
    <w:rsid w:val="00D1766C"/>
    <w:rsid w:val="00D46F98"/>
    <w:rsid w:val="00D52AA0"/>
    <w:rsid w:val="00D90698"/>
    <w:rsid w:val="00DC0AB7"/>
    <w:rsid w:val="00DC1A82"/>
    <w:rsid w:val="00DD68C1"/>
    <w:rsid w:val="00DF229A"/>
    <w:rsid w:val="00DF496C"/>
    <w:rsid w:val="00E06B4A"/>
    <w:rsid w:val="00E11BB1"/>
    <w:rsid w:val="00E67F2E"/>
    <w:rsid w:val="00E801F1"/>
    <w:rsid w:val="00E85E26"/>
    <w:rsid w:val="00EB79EF"/>
    <w:rsid w:val="00ED3AE5"/>
    <w:rsid w:val="00EF1D41"/>
    <w:rsid w:val="00F3006F"/>
    <w:rsid w:val="00F30EC8"/>
    <w:rsid w:val="00F67A64"/>
    <w:rsid w:val="00FC12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6C05EFC-B8D9-4BEC-B33D-2C2FEDCB2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6460E"/>
    <w:pPr>
      <w:autoSpaceDE w:val="0"/>
      <w:autoSpaceDN w:val="0"/>
    </w:pPr>
    <w:rPr>
      <w:sz w:val="20"/>
      <w:szCs w:val="20"/>
    </w:rPr>
  </w:style>
  <w:style w:type="paragraph" w:styleId="Nadpis5">
    <w:name w:val="heading 5"/>
    <w:basedOn w:val="Normlny"/>
    <w:next w:val="Normlny"/>
    <w:link w:val="Nadpis5Char"/>
    <w:uiPriority w:val="99"/>
    <w:qFormat/>
    <w:rsid w:val="00C6460E"/>
    <w:pPr>
      <w:numPr>
        <w:ilvl w:val="4"/>
        <w:numId w:val="1"/>
      </w:numPr>
      <w:spacing w:before="240" w:after="60"/>
      <w:outlineLvl w:val="4"/>
    </w:pPr>
    <w:rPr>
      <w:b/>
      <w:bCs/>
      <w:i/>
      <w:iCs/>
      <w:sz w:val="26"/>
      <w:szCs w:val="26"/>
    </w:rPr>
  </w:style>
  <w:style w:type="paragraph" w:styleId="Nadpis6">
    <w:name w:val="heading 6"/>
    <w:basedOn w:val="Normlny"/>
    <w:next w:val="Normlny"/>
    <w:link w:val="Nadpis6Char"/>
    <w:uiPriority w:val="99"/>
    <w:qFormat/>
    <w:rsid w:val="00C6460E"/>
    <w:pPr>
      <w:numPr>
        <w:ilvl w:val="5"/>
        <w:numId w:val="1"/>
      </w:numPr>
      <w:spacing w:before="240" w:after="60"/>
      <w:outlineLvl w:val="5"/>
    </w:pPr>
    <w:rPr>
      <w:b/>
      <w:bCs/>
    </w:rPr>
  </w:style>
  <w:style w:type="paragraph" w:styleId="Nadpis7">
    <w:name w:val="heading 7"/>
    <w:basedOn w:val="Normlny"/>
    <w:next w:val="Normlny"/>
    <w:link w:val="Nadpis7Char"/>
    <w:uiPriority w:val="99"/>
    <w:qFormat/>
    <w:rsid w:val="00C6460E"/>
    <w:pPr>
      <w:numPr>
        <w:ilvl w:val="6"/>
        <w:numId w:val="1"/>
      </w:numPr>
      <w:spacing w:before="240" w:after="60"/>
      <w:outlineLvl w:val="6"/>
    </w:pPr>
    <w:rPr>
      <w:sz w:val="24"/>
      <w:szCs w:val="24"/>
    </w:rPr>
  </w:style>
  <w:style w:type="paragraph" w:styleId="Nadpis8">
    <w:name w:val="heading 8"/>
    <w:basedOn w:val="Normlny"/>
    <w:next w:val="Normlny"/>
    <w:link w:val="Nadpis8Char"/>
    <w:uiPriority w:val="99"/>
    <w:qFormat/>
    <w:rsid w:val="00C6460E"/>
    <w:pPr>
      <w:numPr>
        <w:ilvl w:val="7"/>
        <w:numId w:val="1"/>
      </w:numPr>
      <w:spacing w:before="240" w:after="60"/>
      <w:outlineLvl w:val="7"/>
    </w:pPr>
    <w:rPr>
      <w:i/>
      <w:iCs/>
      <w:sz w:val="24"/>
      <w:szCs w:val="24"/>
    </w:rPr>
  </w:style>
  <w:style w:type="paragraph" w:styleId="Nadpis9">
    <w:name w:val="heading 9"/>
    <w:basedOn w:val="Normlny"/>
    <w:next w:val="Normlny"/>
    <w:link w:val="Nadpis9Char"/>
    <w:uiPriority w:val="99"/>
    <w:qFormat/>
    <w:rsid w:val="00C6460E"/>
    <w:pPr>
      <w:numPr>
        <w:ilvl w:val="8"/>
        <w:numId w:val="1"/>
      </w:numPr>
      <w:spacing w:before="240" w:after="60"/>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9"/>
    <w:locked/>
    <w:rsid w:val="00C6460E"/>
    <w:rPr>
      <w:b/>
      <w:bCs/>
      <w:i/>
      <w:iCs/>
      <w:sz w:val="26"/>
      <w:szCs w:val="26"/>
    </w:rPr>
  </w:style>
  <w:style w:type="character" w:customStyle="1" w:styleId="Nadpis6Char">
    <w:name w:val="Nadpis 6 Char"/>
    <w:basedOn w:val="Predvolenpsmoodseku"/>
    <w:link w:val="Nadpis6"/>
    <w:uiPriority w:val="99"/>
    <w:locked/>
    <w:rsid w:val="00C6460E"/>
    <w:rPr>
      <w:b/>
      <w:bCs/>
    </w:rPr>
  </w:style>
  <w:style w:type="character" w:customStyle="1" w:styleId="Nadpis7Char">
    <w:name w:val="Nadpis 7 Char"/>
    <w:basedOn w:val="Predvolenpsmoodseku"/>
    <w:link w:val="Nadpis7"/>
    <w:uiPriority w:val="99"/>
    <w:locked/>
    <w:rsid w:val="00C6460E"/>
    <w:rPr>
      <w:sz w:val="24"/>
      <w:szCs w:val="24"/>
    </w:rPr>
  </w:style>
  <w:style w:type="character" w:customStyle="1" w:styleId="Nadpis8Char">
    <w:name w:val="Nadpis 8 Char"/>
    <w:basedOn w:val="Predvolenpsmoodseku"/>
    <w:link w:val="Nadpis8"/>
    <w:uiPriority w:val="99"/>
    <w:locked/>
    <w:rsid w:val="00C6460E"/>
    <w:rPr>
      <w:i/>
      <w:iCs/>
      <w:sz w:val="24"/>
      <w:szCs w:val="24"/>
    </w:rPr>
  </w:style>
  <w:style w:type="character" w:customStyle="1" w:styleId="Nadpis9Char">
    <w:name w:val="Nadpis 9 Char"/>
    <w:basedOn w:val="Predvolenpsmoodseku"/>
    <w:link w:val="Nadpis9"/>
    <w:uiPriority w:val="99"/>
    <w:locked/>
    <w:rsid w:val="00C6460E"/>
  </w:style>
  <w:style w:type="paragraph" w:customStyle="1" w:styleId="Nadpis1orobas">
    <w:name w:val="Nadpis 1.Čo robí (časť)"/>
    <w:basedOn w:val="Normlny"/>
    <w:next w:val="Normlny"/>
    <w:uiPriority w:val="99"/>
    <w:rsid w:val="00C6460E"/>
    <w:pPr>
      <w:keepNext/>
      <w:numPr>
        <w:numId w:val="1"/>
      </w:numPr>
      <w:spacing w:before="360"/>
      <w:outlineLvl w:val="0"/>
    </w:pPr>
    <w:rPr>
      <w:b/>
      <w:bCs/>
      <w:kern w:val="32"/>
      <w:sz w:val="28"/>
      <w:szCs w:val="28"/>
    </w:rPr>
  </w:style>
  <w:style w:type="paragraph" w:customStyle="1" w:styleId="Nadpis2loha">
    <w:name w:val="Nadpis 2.Úloha"/>
    <w:basedOn w:val="Normlny"/>
    <w:uiPriority w:val="99"/>
    <w:rsid w:val="00C6460E"/>
    <w:pPr>
      <w:numPr>
        <w:ilvl w:val="1"/>
        <w:numId w:val="1"/>
      </w:numPr>
      <w:spacing w:before="120"/>
      <w:jc w:val="both"/>
      <w:outlineLvl w:val="1"/>
    </w:pPr>
    <w:rPr>
      <w:sz w:val="24"/>
      <w:szCs w:val="24"/>
    </w:rPr>
  </w:style>
  <w:style w:type="paragraph" w:customStyle="1" w:styleId="Nadpis3Podloha">
    <w:name w:val="Nadpis 3.Podúloha"/>
    <w:basedOn w:val="Normlny"/>
    <w:uiPriority w:val="99"/>
    <w:rsid w:val="00C6460E"/>
    <w:pPr>
      <w:keepNext/>
      <w:numPr>
        <w:ilvl w:val="2"/>
        <w:numId w:val="1"/>
      </w:numPr>
      <w:spacing w:before="120"/>
      <w:ind w:left="2269"/>
      <w:outlineLvl w:val="2"/>
    </w:pPr>
    <w:rPr>
      <w:sz w:val="24"/>
      <w:szCs w:val="24"/>
    </w:rPr>
  </w:style>
  <w:style w:type="paragraph" w:customStyle="1" w:styleId="Nadpis4Termn">
    <w:name w:val="Nadpis 4.Termín"/>
    <w:basedOn w:val="Normlny"/>
    <w:next w:val="Nadpis2loha"/>
    <w:uiPriority w:val="99"/>
    <w:rsid w:val="00C6460E"/>
    <w:pPr>
      <w:numPr>
        <w:ilvl w:val="3"/>
        <w:numId w:val="1"/>
      </w:numPr>
      <w:spacing w:before="120" w:after="120"/>
      <w:outlineLvl w:val="3"/>
    </w:pPr>
    <w:rPr>
      <w:i/>
      <w:iCs/>
      <w:sz w:val="24"/>
      <w:szCs w:val="24"/>
    </w:rPr>
  </w:style>
  <w:style w:type="paragraph" w:styleId="Zkladntext">
    <w:name w:val="Body Text"/>
    <w:basedOn w:val="Normlny"/>
    <w:link w:val="ZkladntextChar"/>
    <w:uiPriority w:val="99"/>
    <w:rsid w:val="00C6460E"/>
    <w:pPr>
      <w:jc w:val="both"/>
    </w:pPr>
  </w:style>
  <w:style w:type="character" w:customStyle="1" w:styleId="ZkladntextChar">
    <w:name w:val="Základný text Char"/>
    <w:basedOn w:val="Predvolenpsmoodseku"/>
    <w:link w:val="Zkladntext"/>
    <w:uiPriority w:val="99"/>
    <w:locked/>
    <w:rsid w:val="00C6460E"/>
    <w:rPr>
      <w:rFonts w:ascii="Times New Roman" w:hAnsi="Times New Roman" w:cs="Times New Roman"/>
      <w:sz w:val="20"/>
      <w:szCs w:val="20"/>
    </w:rPr>
  </w:style>
  <w:style w:type="character" w:customStyle="1" w:styleId="Heading1CharorobasChar">
    <w:name w:val="Heading 1 Char.Čo robí (časť) Char"/>
    <w:uiPriority w:val="99"/>
    <w:rsid w:val="00C6460E"/>
    <w:rPr>
      <w:rFonts w:ascii="Times New Roman" w:hAnsi="Times New Roman" w:cs="Times New Roman"/>
      <w:b/>
      <w:bCs/>
      <w:kern w:val="32"/>
      <w:sz w:val="28"/>
      <w:szCs w:val="28"/>
    </w:rPr>
  </w:style>
  <w:style w:type="character" w:styleId="Odkaznakomentr">
    <w:name w:val="annotation reference"/>
    <w:basedOn w:val="Predvolenpsmoodseku"/>
    <w:uiPriority w:val="99"/>
    <w:semiHidden/>
    <w:rsid w:val="00C6460E"/>
    <w:rPr>
      <w:sz w:val="16"/>
      <w:szCs w:val="16"/>
    </w:rPr>
  </w:style>
  <w:style w:type="paragraph" w:styleId="Textkomentra">
    <w:name w:val="annotation text"/>
    <w:basedOn w:val="Normlny"/>
    <w:link w:val="TextkomentraChar"/>
    <w:uiPriority w:val="99"/>
    <w:semiHidden/>
    <w:rsid w:val="00C6460E"/>
  </w:style>
  <w:style w:type="character" w:customStyle="1" w:styleId="TextkomentraChar">
    <w:name w:val="Text komentára Char"/>
    <w:basedOn w:val="Predvolenpsmoodseku"/>
    <w:link w:val="Textkomentra"/>
    <w:uiPriority w:val="99"/>
    <w:locked/>
    <w:rsid w:val="00C6460E"/>
    <w:rPr>
      <w:rFonts w:ascii="Times New Roman" w:hAnsi="Times New Roman" w:cs="Times New Roman"/>
      <w:sz w:val="20"/>
      <w:szCs w:val="20"/>
    </w:rPr>
  </w:style>
  <w:style w:type="paragraph" w:styleId="Textbubliny">
    <w:name w:val="Balloon Text"/>
    <w:basedOn w:val="Normlny"/>
    <w:link w:val="TextbublinyChar"/>
    <w:uiPriority w:val="99"/>
    <w:semiHidden/>
    <w:rsid w:val="00C6460E"/>
    <w:rPr>
      <w:rFonts w:ascii="Tahoma" w:hAnsi="Tahoma" w:cs="Tahoma"/>
      <w:sz w:val="16"/>
      <w:szCs w:val="16"/>
    </w:rPr>
  </w:style>
  <w:style w:type="character" w:customStyle="1" w:styleId="TextbublinyChar">
    <w:name w:val="Text bubliny Char"/>
    <w:basedOn w:val="Predvolenpsmoodseku"/>
    <w:link w:val="Textbubliny"/>
    <w:uiPriority w:val="99"/>
    <w:locked/>
    <w:rsid w:val="00C6460E"/>
    <w:rPr>
      <w:rFonts w:ascii="Tahoma" w:hAnsi="Tahoma" w:cs="Tahoma"/>
      <w:sz w:val="16"/>
      <w:szCs w:val="16"/>
    </w:rPr>
  </w:style>
  <w:style w:type="paragraph" w:styleId="Predmetkomentra">
    <w:name w:val="annotation subject"/>
    <w:basedOn w:val="Textkomentra"/>
    <w:next w:val="Textkomentra"/>
    <w:link w:val="PredmetkomentraChar"/>
    <w:uiPriority w:val="99"/>
    <w:semiHidden/>
    <w:rsid w:val="007546A1"/>
    <w:rPr>
      <w:b/>
      <w:bCs/>
    </w:rPr>
  </w:style>
  <w:style w:type="character" w:customStyle="1" w:styleId="PredmetkomentraChar">
    <w:name w:val="Predmet komentára Char"/>
    <w:basedOn w:val="TextkomentraChar"/>
    <w:link w:val="Predmetkomentra"/>
    <w:uiPriority w:val="99"/>
    <w:semiHidden/>
    <w:locked/>
    <w:rsid w:val="007546A1"/>
    <w:rPr>
      <w:rFonts w:ascii="Times New Roman" w:hAnsi="Times New Roman" w:cs="Times New Roman"/>
      <w:b/>
      <w:bCs/>
      <w:sz w:val="20"/>
      <w:szCs w:val="20"/>
    </w:rPr>
  </w:style>
  <w:style w:type="paragraph" w:styleId="Odsekzoznamu">
    <w:name w:val="List Paragraph"/>
    <w:basedOn w:val="Normlny"/>
    <w:uiPriority w:val="99"/>
    <w:qFormat/>
    <w:rsid w:val="00445A97"/>
    <w:pPr>
      <w:autoSpaceDE/>
      <w:autoSpaceDN/>
      <w:spacing w:after="200" w:line="276" w:lineRule="auto"/>
      <w:ind w:left="72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1281</Words>
  <Characters>7306</Characters>
  <Application>Microsoft Office Word</Application>
  <DocSecurity>0</DocSecurity>
  <Lines>60</Lines>
  <Paragraphs>17</Paragraphs>
  <ScaleCrop>false</ScaleCrop>
  <HeadingPairs>
    <vt:vector size="2" baseType="variant">
      <vt:variant>
        <vt:lpstr>Názov</vt:lpstr>
      </vt:variant>
      <vt:variant>
        <vt:i4>1</vt:i4>
      </vt:variant>
    </vt:vector>
  </HeadingPairs>
  <TitlesOfParts>
    <vt:vector size="1" baseType="lpstr">
      <vt:lpstr>NÁRODNÁ  RADA  SLOVENSKEJ  REPUBLIKY</vt:lpstr>
    </vt:vector>
  </TitlesOfParts>
  <Company>Nebo</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Valaštínová</dc:creator>
  <cp:lastModifiedBy>Vetrák, Milan</cp:lastModifiedBy>
  <cp:revision>2</cp:revision>
  <cp:lastPrinted>2023-04-14T09:55:00Z</cp:lastPrinted>
  <dcterms:created xsi:type="dcterms:W3CDTF">2023-04-14T10:08:00Z</dcterms:created>
  <dcterms:modified xsi:type="dcterms:W3CDTF">2023-04-14T10:08:00Z</dcterms:modified>
</cp:coreProperties>
</file>