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51DE" w14:textId="77777777" w:rsidR="00FD5E9A" w:rsidRPr="0003051F" w:rsidRDefault="00FD5E9A" w:rsidP="0003051F">
      <w:pPr>
        <w:spacing w:before="120" w:after="0" w:line="276" w:lineRule="auto"/>
        <w:jc w:val="center"/>
        <w:rPr>
          <w:rFonts w:ascii="Book Antiqua" w:hAnsi="Book Antiqua" w:cs="Times New Roman"/>
          <w:b/>
          <w:caps/>
        </w:rPr>
      </w:pPr>
      <w:r w:rsidRPr="0003051F">
        <w:rPr>
          <w:rFonts w:ascii="Book Antiqua" w:hAnsi="Book Antiqua" w:cs="Times New Roman"/>
          <w:b/>
          <w:caps/>
        </w:rPr>
        <w:t>Dôvodová správa</w:t>
      </w:r>
    </w:p>
    <w:p w14:paraId="397070BD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9A1DA41" w14:textId="77777777" w:rsidR="00FD5E9A" w:rsidRPr="0003051F" w:rsidRDefault="00FD5E9A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>A. Všeobecná časť</w:t>
      </w:r>
    </w:p>
    <w:p w14:paraId="5378F4E7" w14:textId="7D8AA1BB" w:rsid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 xml:space="preserve">Návrh zákona, </w:t>
      </w:r>
      <w:r w:rsidR="001C46AA" w:rsidRPr="001C46AA">
        <w:rPr>
          <w:rFonts w:ascii="Book Antiqua" w:eastAsia="Times New Roman" w:hAnsi="Book Antiqua" w:cs="Times New Roman"/>
          <w:bCs/>
          <w:color w:val="000000"/>
          <w:lang w:eastAsia="sk-SK"/>
        </w:rPr>
        <w:t>ktorým sa mení a dopĺňa zákon č. 151/2010 Z. z. o zahraničnej službe a o zmene a doplnení niektorých zákonov</w:t>
      </w:r>
      <w:r w:rsidR="009065A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v znení neskorších predpisov</w:t>
      </w:r>
      <w:r w:rsidR="0003051F">
        <w:rPr>
          <w:rFonts w:ascii="Book Antiqua" w:hAnsi="Book Antiqua" w:cs="Times New Roman"/>
        </w:rPr>
        <w:t xml:space="preserve"> (ďalej len „návrh zákona“) predkladá</w:t>
      </w:r>
      <w:r w:rsidRPr="0003051F">
        <w:rPr>
          <w:rFonts w:ascii="Book Antiqua" w:hAnsi="Book Antiqua" w:cs="Times New Roman"/>
        </w:rPr>
        <w:t xml:space="preserve"> na rokovanie Národnej rady Slovenskej republiky </w:t>
      </w:r>
      <w:r w:rsidR="0003051F">
        <w:rPr>
          <w:rFonts w:ascii="Book Antiqua" w:hAnsi="Book Antiqua" w:cs="Times New Roman"/>
        </w:rPr>
        <w:t xml:space="preserve">skupina poslancov </w:t>
      </w:r>
      <w:r w:rsidRPr="0003051F">
        <w:rPr>
          <w:rFonts w:ascii="Book Antiqua" w:hAnsi="Book Antiqua" w:cs="Times New Roman"/>
        </w:rPr>
        <w:t>Národnej rady Slovenskej republiky</w:t>
      </w:r>
      <w:r w:rsidR="0003051F">
        <w:rPr>
          <w:rFonts w:ascii="Book Antiqua" w:hAnsi="Book Antiqua" w:cs="Times New Roman"/>
        </w:rPr>
        <w:t>.</w:t>
      </w:r>
    </w:p>
    <w:p w14:paraId="38593791" w14:textId="602C9220" w:rsidR="003E1128" w:rsidRPr="009065A2" w:rsidRDefault="009065A2" w:rsidP="009065A2">
      <w:pPr>
        <w:spacing w:before="120" w:after="0" w:line="276" w:lineRule="auto"/>
        <w:ind w:firstLine="708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 xml:space="preserve">Cieľom návrhu zákona je </w:t>
      </w:r>
      <w:r w:rsidR="003E1128" w:rsidRPr="009065A2">
        <w:rPr>
          <w:rFonts w:ascii="Book Antiqua" w:hAnsi="Book Antiqua" w:cs="Times New Roman"/>
          <w:b/>
        </w:rPr>
        <w:t>posilniť právomoci parlamentu vo vzťahu k vláde v oblasti zahraničnej služby, a to tak, že príslušné výbory Národnej rady Slovenskej republiky budú vedúcim diplomatických misií schvaľovať zameranie činnosti ich misie na rozdiel od súčasnosti, keď t</w:t>
      </w:r>
      <w:r w:rsidRPr="009065A2">
        <w:rPr>
          <w:rFonts w:ascii="Book Antiqua" w:hAnsi="Book Antiqua" w:cs="Times New Roman"/>
          <w:b/>
        </w:rPr>
        <w:t>akéto zameranie len prerokúvajú.</w:t>
      </w:r>
    </w:p>
    <w:p w14:paraId="51A259FD" w14:textId="2B405CC6" w:rsidR="0003051F" w:rsidRPr="003E1128" w:rsidRDefault="0071235A" w:rsidP="009065A2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Návrh zákona nepredpokladá </w:t>
      </w:r>
      <w:r w:rsidR="00FD5E9A" w:rsidRPr="003E1128">
        <w:rPr>
          <w:rFonts w:ascii="Book Antiqua" w:hAnsi="Book Antiqua" w:cs="Times New Roman"/>
        </w:rPr>
        <w:t xml:space="preserve">vplyv na rozpočet verejnej správy, </w:t>
      </w:r>
      <w:r w:rsidR="0003051F" w:rsidRPr="003E1128">
        <w:rPr>
          <w:rFonts w:ascii="Book Antiqua" w:hAnsi="Book Antiqua" w:cs="Times New Roman"/>
        </w:rPr>
        <w:t>nebude mať vplyv</w:t>
      </w:r>
      <w:r w:rsidR="00FD5E9A" w:rsidRPr="003E1128">
        <w:rPr>
          <w:rFonts w:ascii="Book Antiqua" w:hAnsi="Book Antiqua" w:cs="Times New Roman"/>
        </w:rPr>
        <w:t xml:space="preserve"> na podnikateľské prostredie, sociálne vplyvy, vplyvy na životné prostredie, </w:t>
      </w:r>
      <w:r w:rsidR="0003051F" w:rsidRPr="003E1128">
        <w:rPr>
          <w:rFonts w:ascii="Book Antiqua" w:hAnsi="Book Antiqua" w:cs="Times New Roman"/>
        </w:rPr>
        <w:t xml:space="preserve">ani </w:t>
      </w:r>
      <w:r w:rsidR="00FD5E9A" w:rsidRPr="003E1128">
        <w:rPr>
          <w:rFonts w:ascii="Book Antiqua" w:hAnsi="Book Antiqua" w:cs="Times New Roman"/>
        </w:rPr>
        <w:t>vplyvy na informatizáciu spol</w:t>
      </w:r>
      <w:r w:rsidR="0003051F" w:rsidRPr="003E1128">
        <w:rPr>
          <w:rFonts w:ascii="Book Antiqua" w:hAnsi="Book Antiqua" w:cs="Times New Roman"/>
        </w:rPr>
        <w:t>očnosti.</w:t>
      </w:r>
    </w:p>
    <w:p w14:paraId="7FCBD330" w14:textId="5C631407" w:rsidR="00FD5E9A" w:rsidRPr="0003051F" w:rsidRDefault="00FD5E9A" w:rsidP="0003051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03051F">
        <w:rPr>
          <w:rFonts w:ascii="Book Antiqua" w:hAnsi="Book Antiqua"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558037D0" w14:textId="32EA074C" w:rsidR="001C601E" w:rsidRDefault="001C601E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409044D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8F70419" w14:textId="77777777" w:rsidR="0003051F" w:rsidRDefault="0003051F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9E9CC44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494E496C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5B638801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4656B0D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1C89FA7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58A1798C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45C0CC52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106B452D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7E498B96" w14:textId="77777777" w:rsidR="003E1128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8EEC199" w14:textId="77777777" w:rsidR="009065A2" w:rsidRDefault="009065A2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A85DA9A" w14:textId="77777777" w:rsidR="009065A2" w:rsidRDefault="009065A2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C2045D9" w14:textId="77777777" w:rsidR="009065A2" w:rsidRDefault="009065A2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D2471FE" w14:textId="77777777" w:rsidR="009065A2" w:rsidRDefault="009065A2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A360726" w14:textId="77777777" w:rsidR="009065A2" w:rsidRDefault="009065A2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667CFB31" w14:textId="77777777" w:rsidR="003E1128" w:rsidRPr="0003051F" w:rsidRDefault="003E1128" w:rsidP="0003051F">
      <w:pPr>
        <w:spacing w:before="120" w:after="0" w:line="276" w:lineRule="auto"/>
        <w:ind w:firstLine="284"/>
        <w:jc w:val="both"/>
        <w:rPr>
          <w:rFonts w:ascii="Book Antiqua" w:hAnsi="Book Antiqua" w:cs="Times New Roman"/>
        </w:rPr>
      </w:pPr>
    </w:p>
    <w:p w14:paraId="292B436B" w14:textId="12AEE928" w:rsidR="007D7A83" w:rsidRPr="0003051F" w:rsidRDefault="001C601E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 w:rsidRPr="0003051F">
        <w:rPr>
          <w:rFonts w:ascii="Book Antiqua" w:hAnsi="Book Antiqua" w:cs="Times New Roman"/>
          <w:b/>
        </w:rPr>
        <w:t xml:space="preserve">B. Osobitná časť </w:t>
      </w:r>
    </w:p>
    <w:p w14:paraId="529AC082" w14:textId="77777777" w:rsidR="007D7A83" w:rsidRPr="0003051F" w:rsidRDefault="007D7A83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3A086B7" w14:textId="1EADBA84" w:rsidR="007D7A83" w:rsidRDefault="003E1128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7D7A83" w:rsidRPr="0003051F">
        <w:rPr>
          <w:rFonts w:ascii="Book Antiqua" w:hAnsi="Book Antiqua" w:cs="Times New Roman"/>
          <w:b/>
        </w:rPr>
        <w:t>l. I</w:t>
      </w:r>
    </w:p>
    <w:p w14:paraId="6194933E" w14:textId="358AC115" w:rsidR="004555C4" w:rsidRDefault="004555C4" w:rsidP="004555C4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2A6E3C">
        <w:rPr>
          <w:rFonts w:ascii="Book Antiqua" w:hAnsi="Book Antiqua" w:cs="Times New Roman"/>
        </w:rPr>
        <w:t xml:space="preserve">Navrhuje sa, aby </w:t>
      </w:r>
      <w:r w:rsidR="005D663B" w:rsidRPr="002A6E3C">
        <w:rPr>
          <w:rFonts w:ascii="Book Antiqua" w:hAnsi="Book Antiqua" w:cs="Times New Roman"/>
        </w:rPr>
        <w:t xml:space="preserve">vedúci diplomatickej misie, </w:t>
      </w:r>
      <w:r w:rsidRPr="002A6E3C">
        <w:rPr>
          <w:rFonts w:ascii="Book Antiqua" w:hAnsi="Book Antiqua" w:cs="Times New Roman"/>
        </w:rPr>
        <w:t>vedúci stálej misie</w:t>
      </w:r>
      <w:r w:rsidR="005D663B" w:rsidRPr="002A6E3C">
        <w:rPr>
          <w:rFonts w:ascii="Book Antiqua" w:hAnsi="Book Antiqua" w:cs="Times New Roman"/>
        </w:rPr>
        <w:t xml:space="preserve"> alebo vedúci stáleho zastúpenia Slovenskej republiky</w:t>
      </w:r>
      <w:r w:rsidRPr="002A6E3C">
        <w:rPr>
          <w:rFonts w:ascii="Book Antiqua" w:hAnsi="Book Antiqua" w:cs="Times New Roman"/>
        </w:rPr>
        <w:t xml:space="preserve"> </w:t>
      </w:r>
      <w:r w:rsidR="005D663B" w:rsidRPr="005D663B">
        <w:rPr>
          <w:rFonts w:ascii="Book Antiqua" w:hAnsi="Book Antiqua" w:cs="Times New Roman"/>
        </w:rPr>
        <w:t>pred nástupom na výkon funkcie</w:t>
      </w:r>
      <w:r w:rsidRPr="002A6E3C">
        <w:rPr>
          <w:rFonts w:ascii="Book Antiqua" w:hAnsi="Book Antiqua" w:cs="Times New Roman"/>
        </w:rPr>
        <w:t xml:space="preserve"> </w:t>
      </w:r>
      <w:r w:rsidR="008E20EF" w:rsidRPr="004033B4">
        <w:rPr>
          <w:rFonts w:ascii="Book Antiqua" w:hAnsi="Book Antiqua" w:cs="Times New Roman"/>
        </w:rPr>
        <w:t>predkladali</w:t>
      </w:r>
      <w:r w:rsidR="008E20EF" w:rsidRPr="005D663B">
        <w:t xml:space="preserve"> </w:t>
      </w:r>
      <w:r w:rsidRPr="005D663B">
        <w:rPr>
          <w:rFonts w:ascii="Book Antiqua" w:hAnsi="Book Antiqua" w:cs="Times New Roman"/>
        </w:rPr>
        <w:t>návrh zamerania činnosti diplomatickej misie alebo stálej misie</w:t>
      </w:r>
      <w:r w:rsidRPr="002A6E3C">
        <w:rPr>
          <w:rFonts w:ascii="Book Antiqua" w:hAnsi="Book Antiqua" w:cs="Times New Roman"/>
        </w:rPr>
        <w:t xml:space="preserve"> </w:t>
      </w:r>
      <w:r w:rsidR="005D663B" w:rsidRPr="005D663B">
        <w:rPr>
          <w:rFonts w:ascii="Book Antiqua" w:hAnsi="Book Antiqua" w:cs="Times New Roman"/>
        </w:rPr>
        <w:t xml:space="preserve">príslušnému výboru Národnej rady Slovenskej republiky nielen na prerokovanie, ale </w:t>
      </w:r>
      <w:r w:rsidR="005D663B" w:rsidRPr="002A6E3C">
        <w:rPr>
          <w:rFonts w:ascii="Book Antiqua" w:hAnsi="Book Antiqua" w:cs="Times New Roman"/>
          <w:b/>
        </w:rPr>
        <w:t>na schválenie</w:t>
      </w:r>
      <w:r w:rsidR="005D663B" w:rsidRPr="008E20EF">
        <w:rPr>
          <w:rFonts w:ascii="Book Antiqua" w:hAnsi="Book Antiqua" w:cs="Times New Roman"/>
        </w:rPr>
        <w:t xml:space="preserve">. </w:t>
      </w:r>
    </w:p>
    <w:p w14:paraId="39DACBB4" w14:textId="77777777" w:rsidR="008E20EF" w:rsidRDefault="008E20EF" w:rsidP="008E20EF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 prípadoch, kedy </w:t>
      </w:r>
      <w:r w:rsidRPr="005D663B">
        <w:rPr>
          <w:rFonts w:ascii="Book Antiqua" w:hAnsi="Book Antiqua" w:cs="Times New Roman"/>
        </w:rPr>
        <w:t xml:space="preserve">príslušný výbor Národnej rady Slovenskej republiky </w:t>
      </w:r>
      <w:r w:rsidR="005D663B" w:rsidRPr="005D663B">
        <w:rPr>
          <w:rFonts w:ascii="Book Antiqua" w:hAnsi="Book Antiqua" w:cs="Times New Roman"/>
        </w:rPr>
        <w:t>návrh zamerania činnosti neschváli, vedúci diplomatickej misie, vedúci stálej misie alebo vedúci stáleho zastúpenia je povinný ho tomuto výboru v termíne ním určenom opätovne predložiť na schválenie.</w:t>
      </w:r>
    </w:p>
    <w:p w14:paraId="427683FE" w14:textId="6218DD4F" w:rsidR="00DC3887" w:rsidRDefault="00E46E1A" w:rsidP="00DC3887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E46E1A">
        <w:rPr>
          <w:rFonts w:ascii="Book Antiqua" w:hAnsi="Book Antiqua" w:cs="Times New Roman"/>
        </w:rPr>
        <w:t>Aktívna participácia predstaviteľov národných parlamentných zhromaždení</w:t>
      </w:r>
      <w:r w:rsidR="00DC3887">
        <w:rPr>
          <w:rFonts w:ascii="Book Antiqua" w:hAnsi="Book Antiqua" w:cs="Times New Roman"/>
        </w:rPr>
        <w:t xml:space="preserve"> </w:t>
      </w:r>
      <w:r w:rsidR="00D25029">
        <w:rPr>
          <w:rFonts w:ascii="Book Antiqua" w:hAnsi="Book Antiqua" w:cs="Times New Roman"/>
        </w:rPr>
        <w:t xml:space="preserve">                     </w:t>
      </w:r>
      <w:r w:rsidR="00DC3887">
        <w:rPr>
          <w:rFonts w:ascii="Book Antiqua" w:hAnsi="Book Antiqua" w:cs="Times New Roman"/>
        </w:rPr>
        <w:t>v zahraničnopolitickej oblasti je známa pod pojmom</w:t>
      </w:r>
      <w:r w:rsidR="0053711E">
        <w:rPr>
          <w:rFonts w:ascii="Book Antiqua" w:hAnsi="Book Antiqua" w:cs="Times New Roman"/>
        </w:rPr>
        <w:t xml:space="preserve"> tzv. parlamentná diplomacia</w:t>
      </w:r>
      <w:r w:rsidR="002A6E3C">
        <w:rPr>
          <w:rStyle w:val="Odkaznapoznmkupodiarou"/>
          <w:rFonts w:ascii="Book Antiqua" w:hAnsi="Book Antiqua" w:cs="Times New Roman"/>
        </w:rPr>
        <w:footnoteReference w:id="1"/>
      </w:r>
      <w:r w:rsidRPr="00E46E1A">
        <w:rPr>
          <w:rFonts w:ascii="Book Antiqua" w:hAnsi="Book Antiqua" w:cs="Times New Roman"/>
        </w:rPr>
        <w:t xml:space="preserve">. </w:t>
      </w:r>
    </w:p>
    <w:p w14:paraId="44DB21C0" w14:textId="549F89EE" w:rsidR="0053711E" w:rsidRDefault="0053711E" w:rsidP="00DC3887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53711E">
        <w:rPr>
          <w:rFonts w:ascii="Book Antiqua" w:hAnsi="Book Antiqua" w:cs="Times New Roman"/>
        </w:rPr>
        <w:t>Parlamentná diplomacia má svoje korene v istej podobe</w:t>
      </w:r>
      <w:r>
        <w:rPr>
          <w:rFonts w:ascii="Book Antiqua" w:hAnsi="Book Antiqua" w:cs="Times New Roman"/>
        </w:rPr>
        <w:t xml:space="preserve"> už v antickom Grécku</w:t>
      </w:r>
      <w:r w:rsidR="00D61469">
        <w:rPr>
          <w:rFonts w:ascii="Book Antiqua" w:hAnsi="Book Antiqua" w:cs="Times New Roman"/>
        </w:rPr>
        <w:t>, rímsky senát mal v starovekom Ríme silné postavenie vo vzťahu k veľvyslancom najmä počas obdobia republiky</w:t>
      </w:r>
      <w:r>
        <w:rPr>
          <w:rFonts w:ascii="Book Antiqua" w:hAnsi="Book Antiqua" w:cs="Times New Roman"/>
        </w:rPr>
        <w:t xml:space="preserve">. Avšak až </w:t>
      </w:r>
      <w:r w:rsidRPr="0053711E">
        <w:rPr>
          <w:rFonts w:ascii="Book Antiqua" w:hAnsi="Book Antiqua" w:cs="Times New Roman"/>
        </w:rPr>
        <w:t>v 20. storočí začala naberať na význame, keďže začalo dochádzať k presahovaniu hraníc medzi</w:t>
      </w:r>
      <w:r>
        <w:rPr>
          <w:rFonts w:ascii="Book Antiqua" w:hAnsi="Book Antiqua" w:cs="Times New Roman"/>
        </w:rPr>
        <w:t xml:space="preserve"> </w:t>
      </w:r>
      <w:r w:rsidRPr="0053711E">
        <w:rPr>
          <w:rFonts w:ascii="Book Antiqua" w:hAnsi="Book Antiqua" w:cs="Times New Roman"/>
        </w:rPr>
        <w:t>národnými a medzinárodnými záležitosťami. Demokratické štáty rozšírili pôsobnosť svojich parlamentov na svetové záležitosti z toho dôvodu, že sa oslabila bariéra medzi „domácou“ a „zahraničnou“ dimenziou. To sa stalo práve na základe väčšej demokratickosti politiky a</w:t>
      </w:r>
      <w:r>
        <w:rPr>
          <w:rFonts w:ascii="Book Antiqua" w:hAnsi="Book Antiqua" w:cs="Times New Roman"/>
        </w:rPr>
        <w:t> </w:t>
      </w:r>
      <w:r w:rsidRPr="0053711E">
        <w:rPr>
          <w:rFonts w:ascii="Book Antiqua" w:hAnsi="Book Antiqua" w:cs="Times New Roman"/>
        </w:rPr>
        <w:t>narastajúcej</w:t>
      </w:r>
      <w:r>
        <w:rPr>
          <w:rFonts w:ascii="Book Antiqua" w:hAnsi="Book Antiqua" w:cs="Times New Roman"/>
        </w:rPr>
        <w:t xml:space="preserve"> </w:t>
      </w:r>
      <w:r w:rsidRPr="0053711E">
        <w:rPr>
          <w:rFonts w:ascii="Book Antiqua" w:hAnsi="Book Antiqua" w:cs="Times New Roman"/>
        </w:rPr>
        <w:t>váhy vplyvu medzinárodných udalostí na vnútorné politické, ekonomické, ako aj bezpečnostné</w:t>
      </w:r>
      <w:r>
        <w:rPr>
          <w:rFonts w:ascii="Book Antiqua" w:hAnsi="Book Antiqua" w:cs="Times New Roman"/>
        </w:rPr>
        <w:t xml:space="preserve"> </w:t>
      </w:r>
      <w:r w:rsidRPr="0053711E">
        <w:rPr>
          <w:rFonts w:ascii="Book Antiqua" w:hAnsi="Book Antiqua" w:cs="Times New Roman"/>
        </w:rPr>
        <w:t>záležitosti. Rovnako aj preto, že z dôvodu globalizácie získali mnohé „domáce“ verejné politiky</w:t>
      </w:r>
      <w:r>
        <w:rPr>
          <w:rFonts w:ascii="Book Antiqua" w:hAnsi="Book Antiqua" w:cs="Times New Roman"/>
        </w:rPr>
        <w:t xml:space="preserve"> </w:t>
      </w:r>
      <w:r w:rsidRPr="0053711E">
        <w:rPr>
          <w:rFonts w:ascii="Book Antiqua" w:hAnsi="Book Antiqua" w:cs="Times New Roman"/>
        </w:rPr>
        <w:t>vonkajší rozmer, tak ako svetové záležitosti čoraz viac ovplyvňujú občanov priamejšie, či ide</w:t>
      </w:r>
      <w:r>
        <w:rPr>
          <w:rFonts w:ascii="Book Antiqua" w:hAnsi="Book Antiqua" w:cs="Times New Roman"/>
        </w:rPr>
        <w:t xml:space="preserve"> </w:t>
      </w:r>
      <w:r w:rsidRPr="0053711E">
        <w:rPr>
          <w:rFonts w:ascii="Book Antiqua" w:hAnsi="Book Antiqua" w:cs="Times New Roman"/>
        </w:rPr>
        <w:t>o terorizmus, pandémie, zmenu podnebia, medzinárodné financie</w:t>
      </w:r>
      <w:r>
        <w:rPr>
          <w:rFonts w:ascii="Book Antiqua" w:hAnsi="Book Antiqua" w:cs="Times New Roman"/>
        </w:rPr>
        <w:t xml:space="preserve"> alebo ekonomické záležitosti</w:t>
      </w:r>
      <w:r w:rsidR="00FF54C3">
        <w:rPr>
          <w:rStyle w:val="Odkaznapoznmkupodiarou"/>
          <w:rFonts w:ascii="Book Antiqua" w:hAnsi="Book Antiqua" w:cs="Times New Roman"/>
        </w:rPr>
        <w:footnoteReference w:id="2"/>
      </w:r>
      <w:r>
        <w:rPr>
          <w:rFonts w:ascii="Book Antiqua" w:hAnsi="Book Antiqua" w:cs="Times New Roman"/>
        </w:rPr>
        <w:t>.</w:t>
      </w:r>
    </w:p>
    <w:p w14:paraId="096CAAFE" w14:textId="50A32898" w:rsidR="00EF4C15" w:rsidRDefault="006511F3" w:rsidP="006511F3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V podmienkach Slovenskej republiky </w:t>
      </w:r>
      <w:r w:rsidR="00D25029">
        <w:rPr>
          <w:rFonts w:ascii="Book Antiqua" w:hAnsi="Book Antiqua" w:cs="Times New Roman"/>
        </w:rPr>
        <w:t>bolo možné</w:t>
      </w:r>
      <w:r>
        <w:rPr>
          <w:rFonts w:ascii="Book Antiqua" w:hAnsi="Book Antiqua" w:cs="Times New Roman"/>
        </w:rPr>
        <w:t xml:space="preserve"> významnú angažovanosť parlamentu do oblasti zahraničnej politiky pozorovať po rozdelení Českej a Slovenskej Federatívnej republiky. </w:t>
      </w:r>
      <w:r w:rsidR="007D5F9B" w:rsidRPr="007D5F9B">
        <w:rPr>
          <w:rFonts w:ascii="Book Antiqua" w:hAnsi="Book Antiqua" w:cs="Times New Roman"/>
        </w:rPr>
        <w:t xml:space="preserve">Vláda bola v tomto období pripravená koordinovať zahraničnú politiku krajiny s prezidentom a Národnou radou Slovenskej republiky, pretože </w:t>
      </w:r>
      <w:r w:rsidR="007D5F9B" w:rsidRPr="00D25029">
        <w:rPr>
          <w:rFonts w:ascii="Book Antiqua" w:hAnsi="Book Antiqua" w:cs="Times New Roman"/>
        </w:rPr>
        <w:t>„sa domnievala, že čím je štát menší, tým konzistentnejšia a previazanejšia musí byť jeho zahraničná politika, ak má byť úspešná“</w:t>
      </w:r>
      <w:r w:rsidR="00FF54C3">
        <w:rPr>
          <w:rStyle w:val="Odkaznapoznmkupodiarou"/>
          <w:rFonts w:ascii="Book Antiqua" w:hAnsi="Book Antiqua" w:cs="Times New Roman"/>
        </w:rPr>
        <w:footnoteReference w:id="3"/>
      </w:r>
      <w:r w:rsidR="00551D64">
        <w:rPr>
          <w:rFonts w:ascii="Book Antiqua" w:hAnsi="Book Antiqua" w:cs="Times New Roman"/>
        </w:rPr>
        <w:t>.</w:t>
      </w:r>
      <w:r w:rsidR="00551D64" w:rsidRPr="00551D64">
        <w:t xml:space="preserve"> </w:t>
      </w:r>
      <w:r w:rsidR="00551D64" w:rsidRPr="00551D64">
        <w:rPr>
          <w:rFonts w:ascii="Book Antiqua" w:hAnsi="Book Antiqua" w:cs="Times New Roman"/>
        </w:rPr>
        <w:t xml:space="preserve">Prvý rok samostatnosti </w:t>
      </w:r>
      <w:r w:rsidR="00551D64">
        <w:rPr>
          <w:rFonts w:ascii="Book Antiqua" w:hAnsi="Book Antiqua" w:cs="Times New Roman"/>
        </w:rPr>
        <w:t>Slovenskej republiky</w:t>
      </w:r>
      <w:r w:rsidR="00551D64" w:rsidRPr="00551D64">
        <w:rPr>
          <w:rFonts w:ascii="Book Antiqua" w:hAnsi="Book Antiqua" w:cs="Times New Roman"/>
        </w:rPr>
        <w:t xml:space="preserve"> bol veľmi dôležitý práve z hľadiska formujúcej sa zahraničnej</w:t>
      </w:r>
      <w:r w:rsidR="00551D64">
        <w:rPr>
          <w:rFonts w:ascii="Book Antiqua" w:hAnsi="Book Antiqua" w:cs="Times New Roman"/>
        </w:rPr>
        <w:t xml:space="preserve"> </w:t>
      </w:r>
      <w:r w:rsidR="00551D64" w:rsidRPr="00551D64">
        <w:rPr>
          <w:rFonts w:ascii="Book Antiqua" w:hAnsi="Book Antiqua" w:cs="Times New Roman"/>
        </w:rPr>
        <w:t>politiky krajiny. V Koncepcii zahraničnej politiky SR z januára 1993, ktorá bola prvým oficiálnym zahraničnopolitickým dokumentom SR upravujúcim orientáciu zahraničnej politiky SR,</w:t>
      </w:r>
      <w:r w:rsidR="00551D64">
        <w:rPr>
          <w:rFonts w:ascii="Book Antiqua" w:hAnsi="Book Antiqua" w:cs="Times New Roman"/>
        </w:rPr>
        <w:t xml:space="preserve"> </w:t>
      </w:r>
      <w:r w:rsidR="00551D64" w:rsidRPr="00551D64">
        <w:rPr>
          <w:rFonts w:ascii="Book Antiqua" w:hAnsi="Book Antiqua" w:cs="Times New Roman"/>
        </w:rPr>
        <w:t xml:space="preserve">sa konštatuje, že práve </w:t>
      </w:r>
      <w:r w:rsidR="00551D64" w:rsidRPr="00551D64">
        <w:rPr>
          <w:rFonts w:ascii="Book Antiqua" w:hAnsi="Book Antiqua" w:cs="Times New Roman"/>
        </w:rPr>
        <w:lastRenderedPageBreak/>
        <w:t>styky na úrovni parlamentov mohli byť nápomocné pri presadzovaní</w:t>
      </w:r>
      <w:r w:rsidR="00551D64">
        <w:rPr>
          <w:rFonts w:ascii="Book Antiqua" w:hAnsi="Book Antiqua" w:cs="Times New Roman"/>
        </w:rPr>
        <w:t xml:space="preserve"> </w:t>
      </w:r>
      <w:r w:rsidR="00551D64" w:rsidRPr="00551D64">
        <w:rPr>
          <w:rFonts w:ascii="Book Antiqua" w:hAnsi="Book Antiqua" w:cs="Times New Roman"/>
        </w:rPr>
        <w:t xml:space="preserve">zahraničnopolitických záujmov </w:t>
      </w:r>
      <w:r w:rsidR="00551D64">
        <w:rPr>
          <w:rFonts w:ascii="Book Antiqua" w:hAnsi="Book Antiqua" w:cs="Times New Roman"/>
        </w:rPr>
        <w:t>Slovenskej republiky</w:t>
      </w:r>
      <w:r w:rsidR="00551D64" w:rsidRPr="00551D64">
        <w:rPr>
          <w:rFonts w:ascii="Book Antiqua" w:hAnsi="Book Antiqua" w:cs="Times New Roman"/>
        </w:rPr>
        <w:t xml:space="preserve">. </w:t>
      </w:r>
    </w:p>
    <w:p w14:paraId="5C18F819" w14:textId="057A1F91" w:rsidR="00A7773D" w:rsidRDefault="00A7773D" w:rsidP="00A7773D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Cieľom navrhovanej úpravy je, v nadväznosti na vyššie uvedené, posilniť postavenie Národnej rady Slovenskej republiky v procese rozhodovania o činnosti diplomatického zastupiteľstva v zahraničí, a tým aj o vý</w:t>
      </w:r>
      <w:r w:rsidR="00FF54C3">
        <w:rPr>
          <w:rFonts w:ascii="Book Antiqua" w:hAnsi="Book Antiqua" w:cs="Times New Roman"/>
        </w:rPr>
        <w:t>voji zahraničnej politiky štátu, osobitne pokiaľ ide o ciele, ktoré by mala misia alebo zastúpenie pod vedením svojho vedúceho počas určitého obdobia dosiahnuť. Parlament nemá za cieľ zasahovať do personálneho výberu samotného vedúceho misie alebo zastúpenia, ale v rámci deľby moci by ako kontrolný orgán vo vzťahu k vláde a teda aj k ministrovi zahraničných vecí mal mať právomoc spoločne s ním určiť, aké výsledky by mali slovenská misia alebo zastúpenie v zahraničí dosiahnuť a následne ich aj vyhodnocovať pri predĺžení vyslania alebo ďalšom vyslaní vedúceho misie alebo zastúpenia.</w:t>
      </w:r>
    </w:p>
    <w:p w14:paraId="337DD791" w14:textId="7026601D" w:rsidR="002A672B" w:rsidRPr="002A672B" w:rsidRDefault="00A7773D" w:rsidP="009065A2">
      <w:pPr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Istú podobnosť možno pozorovať tiež v postavení Európskeho parlamentu vo vzťahu k spoločnej zahraničnej a bezpečnostnej politike</w:t>
      </w:r>
      <w:r w:rsidRPr="00A7773D">
        <w:rPr>
          <w:rFonts w:ascii="Book Antiqua" w:hAnsi="Book Antiqua" w:cs="Times New Roman"/>
        </w:rPr>
        <w:t xml:space="preserve"> (SZBP)</w:t>
      </w:r>
      <w:r>
        <w:rPr>
          <w:rFonts w:ascii="Book Antiqua" w:hAnsi="Book Antiqua" w:cs="Times New Roman"/>
        </w:rPr>
        <w:t xml:space="preserve">. </w:t>
      </w:r>
      <w:r w:rsidRPr="00A7773D">
        <w:rPr>
          <w:rFonts w:ascii="Book Antiqua" w:hAnsi="Book Antiqua" w:cs="Times New Roman"/>
        </w:rPr>
        <w:t xml:space="preserve">Napriek obmedzenej formálnej úlohe </w:t>
      </w:r>
      <w:r w:rsidR="00CF6C5C">
        <w:rPr>
          <w:rFonts w:ascii="Book Antiqua" w:hAnsi="Book Antiqua" w:cs="Times New Roman"/>
        </w:rPr>
        <w:t xml:space="preserve">Európskeho parlamentu </w:t>
      </w:r>
      <w:r w:rsidRPr="00A7773D">
        <w:rPr>
          <w:rFonts w:ascii="Book Antiqua" w:hAnsi="Book Antiqua" w:cs="Times New Roman"/>
        </w:rPr>
        <w:t>v procese rozh</w:t>
      </w:r>
      <w:r w:rsidR="00CF6C5C">
        <w:rPr>
          <w:rFonts w:ascii="Book Antiqua" w:hAnsi="Book Antiqua" w:cs="Times New Roman"/>
        </w:rPr>
        <w:t xml:space="preserve">odovania o zahraničnej politike, </w:t>
      </w:r>
      <w:r w:rsidR="00CF6C5C" w:rsidRPr="00CF6C5C">
        <w:rPr>
          <w:rFonts w:ascii="Book Antiqua" w:hAnsi="Book Antiqua" w:cs="Times New Roman"/>
        </w:rPr>
        <w:t>v</w:t>
      </w:r>
      <w:r w:rsidR="00CF6C5C" w:rsidRPr="001279BF">
        <w:rPr>
          <w:rFonts w:ascii="Book Antiqua" w:hAnsi="Book Antiqua" w:cs="Times New Roman"/>
        </w:rPr>
        <w:t> článku 36 Zmluvy o</w:t>
      </w:r>
      <w:r w:rsidR="00CF6C5C">
        <w:rPr>
          <w:rFonts w:ascii="Book Antiqua" w:hAnsi="Book Antiqua" w:cs="Times New Roman"/>
        </w:rPr>
        <w:t> </w:t>
      </w:r>
      <w:r w:rsidR="00CF6C5C" w:rsidRPr="001279BF">
        <w:rPr>
          <w:rFonts w:ascii="Book Antiqua" w:hAnsi="Book Antiqua" w:cs="Times New Roman"/>
        </w:rPr>
        <w:t>E</w:t>
      </w:r>
      <w:r w:rsidR="00CF6C5C">
        <w:rPr>
          <w:rFonts w:ascii="Book Antiqua" w:hAnsi="Book Antiqua" w:cs="Times New Roman"/>
        </w:rPr>
        <w:t>urópskej únii</w:t>
      </w:r>
      <w:r w:rsidR="00CF6C5C" w:rsidRPr="001279BF">
        <w:rPr>
          <w:rFonts w:ascii="Book Antiqua" w:hAnsi="Book Antiqua" w:cs="Times New Roman"/>
        </w:rPr>
        <w:t xml:space="preserve"> sa od </w:t>
      </w:r>
      <w:r w:rsidR="00CF6C5C" w:rsidRPr="00CF6C5C">
        <w:rPr>
          <w:rFonts w:ascii="Book Antiqua" w:hAnsi="Book Antiqua" w:cs="Times New Roman"/>
        </w:rPr>
        <w:t xml:space="preserve">vysokého predstaviteľa Únie pre zahraničné veci a bezpečnostnú politiku </w:t>
      </w:r>
      <w:r w:rsidR="00CF6C5C">
        <w:rPr>
          <w:rFonts w:ascii="Book Antiqua" w:hAnsi="Book Antiqua" w:cs="Times New Roman"/>
        </w:rPr>
        <w:t xml:space="preserve">vyžaduje, aby sa pravidelne radil s Európskym </w:t>
      </w:r>
      <w:r w:rsidR="00CF6C5C" w:rsidRPr="00CF6C5C">
        <w:rPr>
          <w:rFonts w:ascii="Book Antiqua" w:hAnsi="Book Antiqua" w:cs="Times New Roman"/>
        </w:rPr>
        <w:t>parlamentom o hlavných aspektoch a základných rozhodnutiach spoločnej zahraničnej a bezpečnostnej politiky a spoločnej bezpečnostnej a obranne</w:t>
      </w:r>
      <w:r w:rsidR="00CF6C5C">
        <w:rPr>
          <w:rFonts w:ascii="Book Antiqua" w:hAnsi="Book Antiqua" w:cs="Times New Roman"/>
        </w:rPr>
        <w:t>j politiky a informoval</w:t>
      </w:r>
      <w:r w:rsidR="00CF6C5C" w:rsidRPr="00CF6C5C">
        <w:rPr>
          <w:rFonts w:ascii="Book Antiqua" w:hAnsi="Book Antiqua" w:cs="Times New Roman"/>
        </w:rPr>
        <w:t xml:space="preserve"> ho o vývoji v</w:t>
      </w:r>
      <w:r w:rsidR="00CF6C5C">
        <w:rPr>
          <w:rFonts w:ascii="Book Antiqua" w:hAnsi="Book Antiqua" w:cs="Times New Roman"/>
        </w:rPr>
        <w:t> </w:t>
      </w:r>
      <w:r w:rsidR="00CF6C5C" w:rsidRPr="00CF6C5C">
        <w:rPr>
          <w:rFonts w:ascii="Book Antiqua" w:hAnsi="Book Antiqua" w:cs="Times New Roman"/>
        </w:rPr>
        <w:t>týchto</w:t>
      </w:r>
      <w:r w:rsidR="00CF6C5C">
        <w:rPr>
          <w:rFonts w:ascii="Book Antiqua" w:hAnsi="Book Antiqua" w:cs="Times New Roman"/>
        </w:rPr>
        <w:t xml:space="preserve"> </w:t>
      </w:r>
      <w:r w:rsidR="001279BF">
        <w:rPr>
          <w:rFonts w:ascii="Book Antiqua" w:hAnsi="Book Antiqua" w:cs="Times New Roman"/>
        </w:rPr>
        <w:t>politikách.</w:t>
      </w:r>
    </w:p>
    <w:p w14:paraId="7661804A" w14:textId="77777777" w:rsidR="002A672B" w:rsidRPr="003E1128" w:rsidRDefault="002A672B" w:rsidP="002A672B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0F6C2587" w14:textId="71A0AC11" w:rsidR="00C140C5" w:rsidRPr="0003051F" w:rsidRDefault="007D7EA9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  <w:b/>
        </w:rPr>
        <w:t>K Č</w:t>
      </w:r>
      <w:r w:rsidR="009065A2">
        <w:rPr>
          <w:rFonts w:ascii="Book Antiqua" w:hAnsi="Book Antiqua" w:cs="Times New Roman"/>
          <w:b/>
        </w:rPr>
        <w:t>l. II</w:t>
      </w:r>
    </w:p>
    <w:p w14:paraId="7DC00447" w14:textId="20FCA639" w:rsidR="00DA163A" w:rsidRPr="0003051F" w:rsidRDefault="00DA163A" w:rsidP="0003051F">
      <w:pPr>
        <w:spacing w:before="120" w:after="0" w:line="276" w:lineRule="auto"/>
        <w:jc w:val="both"/>
        <w:rPr>
          <w:rFonts w:ascii="Book Antiqua" w:hAnsi="Book Antiqua" w:cs="Times New Roman"/>
          <w:bCs/>
        </w:rPr>
      </w:pPr>
      <w:r w:rsidRPr="0003051F">
        <w:rPr>
          <w:rFonts w:ascii="Book Antiqua" w:hAnsi="Book Antiqua" w:cs="Times New Roman"/>
          <w:bCs/>
        </w:rPr>
        <w:t xml:space="preserve">      </w:t>
      </w:r>
      <w:r w:rsidR="00357A5C">
        <w:rPr>
          <w:rFonts w:ascii="Book Antiqua" w:hAnsi="Book Antiqua" w:cs="Times New Roman"/>
        </w:rPr>
        <w:t xml:space="preserve">Nadobudnutie účinnosti </w:t>
      </w:r>
      <w:r w:rsidR="00357A5C" w:rsidRPr="00B23CDA">
        <w:rPr>
          <w:rFonts w:ascii="Book Antiqua" w:hAnsi="Book Antiqua" w:cs="Times New Roman"/>
        </w:rPr>
        <w:t xml:space="preserve">zákona sa </w:t>
      </w:r>
      <w:r w:rsidR="00357A5C">
        <w:rPr>
          <w:rFonts w:ascii="Book Antiqua" w:hAnsi="Book Antiqua" w:cs="Times New Roman"/>
        </w:rPr>
        <w:t xml:space="preserve">stanovuje </w:t>
      </w:r>
      <w:r w:rsidR="00357A5C" w:rsidRPr="00B23CDA">
        <w:rPr>
          <w:rFonts w:ascii="Book Antiqua" w:hAnsi="Book Antiqua" w:cs="Times New Roman"/>
        </w:rPr>
        <w:t xml:space="preserve">vzhľadom na predpokladanú dĺžku legislatívneho procesu </w:t>
      </w:r>
      <w:r w:rsidR="00357A5C">
        <w:rPr>
          <w:rFonts w:ascii="Book Antiqua" w:hAnsi="Book Antiqua" w:cs="Times New Roman"/>
        </w:rPr>
        <w:t xml:space="preserve">a primeranú </w:t>
      </w:r>
      <w:proofErr w:type="spellStart"/>
      <w:r w:rsidR="00357A5C">
        <w:rPr>
          <w:rFonts w:ascii="Book Antiqua" w:hAnsi="Book Antiqua" w:cs="Times New Roman"/>
        </w:rPr>
        <w:t>legisvakanciu</w:t>
      </w:r>
      <w:proofErr w:type="spellEnd"/>
      <w:r w:rsidR="00357A5C">
        <w:rPr>
          <w:rFonts w:ascii="Book Antiqua" w:hAnsi="Book Antiqua" w:cs="Times New Roman"/>
        </w:rPr>
        <w:t xml:space="preserve"> </w:t>
      </w:r>
      <w:r w:rsidR="003E1128">
        <w:rPr>
          <w:rFonts w:ascii="Book Antiqua" w:hAnsi="Book Antiqua" w:cs="Times New Roman"/>
        </w:rPr>
        <w:t>od 1. júna</w:t>
      </w:r>
      <w:r w:rsidR="00357A5C" w:rsidRPr="00B23CDA">
        <w:rPr>
          <w:rFonts w:ascii="Book Antiqua" w:hAnsi="Book Antiqua" w:cs="Times New Roman"/>
        </w:rPr>
        <w:t xml:space="preserve"> 2023.</w:t>
      </w:r>
    </w:p>
    <w:p w14:paraId="5DC7AC71" w14:textId="502F6449" w:rsidR="00D5639C" w:rsidRPr="0003051F" w:rsidRDefault="00D5639C" w:rsidP="0003051F">
      <w:pPr>
        <w:spacing w:before="120" w:after="0" w:line="276" w:lineRule="auto"/>
        <w:jc w:val="both"/>
        <w:rPr>
          <w:rFonts w:ascii="Book Antiqua" w:hAnsi="Book Antiqua" w:cs="Times New Roman"/>
          <w:b/>
        </w:rPr>
      </w:pPr>
    </w:p>
    <w:p w14:paraId="403CF100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CF66A95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1463D150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461B537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4371DFF0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02A8D5AE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21A1F5F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5F324AF7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772D334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7B1D33D3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2A5A1FDD" w14:textId="77777777" w:rsidR="001279BF" w:rsidRDefault="001279BF" w:rsidP="0003051F">
      <w:pPr>
        <w:spacing w:before="120" w:after="0" w:line="276" w:lineRule="auto"/>
        <w:jc w:val="center"/>
        <w:rPr>
          <w:rFonts w:ascii="Book Antiqua" w:eastAsia="Times New Roman" w:hAnsi="Book Antiqua"/>
          <w:b/>
          <w:smallCaps/>
        </w:rPr>
      </w:pPr>
    </w:p>
    <w:p w14:paraId="4899009D" w14:textId="77777777" w:rsidR="001279BF" w:rsidRDefault="001279BF" w:rsidP="002A672B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95490B0" w14:textId="77777777" w:rsidR="00715834" w:rsidRDefault="00715834" w:rsidP="002A672B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593A49F" w14:textId="77777777" w:rsidR="00594B6E" w:rsidRPr="00B23CDA" w:rsidRDefault="00594B6E" w:rsidP="00594B6E">
      <w:pPr>
        <w:spacing w:before="120" w:line="276" w:lineRule="auto"/>
        <w:jc w:val="center"/>
        <w:rPr>
          <w:rFonts w:ascii="Book Antiqua" w:eastAsia="Times New Roman" w:hAnsi="Book Antiqua"/>
          <w:b/>
          <w:smallCaps/>
        </w:rPr>
      </w:pPr>
      <w:r w:rsidRPr="00B23CDA">
        <w:rPr>
          <w:rFonts w:ascii="Book Antiqua" w:eastAsia="Times New Roman" w:hAnsi="Book Antiqua"/>
          <w:b/>
          <w:smallCaps/>
        </w:rPr>
        <w:t>DOLOŽKA ZLUČITEĽNOSTI</w:t>
      </w:r>
    </w:p>
    <w:p w14:paraId="7C1F2FC4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b/>
          <w:color w:val="000000"/>
        </w:rPr>
        <w:t>návrhu zákona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 w:rsidRPr="00B23CDA">
        <w:rPr>
          <w:rFonts w:ascii="Book Antiqua" w:eastAsia="Times New Roman" w:hAnsi="Book Antiqua"/>
          <w:b/>
          <w:color w:val="000000"/>
        </w:rPr>
        <w:t>s právom Európskej únie</w:t>
      </w:r>
    </w:p>
    <w:p w14:paraId="53786165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  <w:r w:rsidRPr="00B23CDA">
        <w:rPr>
          <w:rFonts w:ascii="Book Antiqua" w:eastAsia="Times New Roman" w:hAnsi="Book Antiqua"/>
          <w:color w:val="000000"/>
        </w:rPr>
        <w:t> </w:t>
      </w:r>
    </w:p>
    <w:p w14:paraId="4C3D4ECF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/>
        </w:rPr>
      </w:pPr>
      <w:r w:rsidRPr="00B23CDA">
        <w:rPr>
          <w:rFonts w:ascii="Book Antiqua" w:eastAsia="Times New Roman" w:hAnsi="Book Antiqua"/>
          <w:b/>
          <w:color w:val="000000"/>
        </w:rPr>
        <w:t>1. Navrhovateľ zákona:</w:t>
      </w:r>
      <w:r w:rsidRPr="00B23CDA">
        <w:rPr>
          <w:rFonts w:ascii="Book Antiqua" w:eastAsia="Times New Roman" w:hAnsi="Book Antiqua"/>
          <w:color w:val="000000"/>
        </w:rPr>
        <w:t xml:space="preserve"> </w:t>
      </w:r>
      <w:r>
        <w:rPr>
          <w:rFonts w:ascii="Book Antiqua" w:eastAsia="Times New Roman" w:hAnsi="Book Antiqua"/>
          <w:color w:val="000000"/>
        </w:rPr>
        <w:t xml:space="preserve">skupina </w:t>
      </w:r>
      <w:r w:rsidRPr="00B23CDA">
        <w:rPr>
          <w:rFonts w:ascii="Book Antiqua" w:eastAsia="Times New Roman" w:hAnsi="Book Antiqua"/>
          <w:color w:val="000000"/>
        </w:rPr>
        <w:t>poslan</w:t>
      </w:r>
      <w:r>
        <w:rPr>
          <w:rFonts w:ascii="Book Antiqua" w:eastAsia="Times New Roman" w:hAnsi="Book Antiqua"/>
          <w:color w:val="000000"/>
        </w:rPr>
        <w:t>cov</w:t>
      </w:r>
      <w:r w:rsidRPr="00B23CDA">
        <w:rPr>
          <w:rFonts w:ascii="Book Antiqua" w:eastAsia="Times New Roman" w:hAnsi="Book Antiqua"/>
          <w:color w:val="000000"/>
        </w:rPr>
        <w:t xml:space="preserve"> Národnej rady Slovenskej republiky</w:t>
      </w:r>
    </w:p>
    <w:p w14:paraId="67054359" w14:textId="77777777" w:rsidR="00594B6E" w:rsidRPr="00B23CDA" w:rsidRDefault="00594B6E" w:rsidP="00594B6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</w:rPr>
      </w:pPr>
    </w:p>
    <w:p w14:paraId="4FF5999A" w14:textId="63424CF6" w:rsidR="00594B6E" w:rsidRDefault="00594B6E" w:rsidP="00594B6E">
      <w:pPr>
        <w:spacing w:before="120" w:line="276" w:lineRule="auto"/>
        <w:jc w:val="both"/>
        <w:rPr>
          <w:rFonts w:ascii="Book Antiqua" w:hAnsi="Book Antiqua" w:cs="Times New Roman"/>
        </w:rPr>
      </w:pPr>
      <w:r w:rsidRPr="00B23CDA">
        <w:rPr>
          <w:rFonts w:ascii="Book Antiqua" w:eastAsia="Times New Roman" w:hAnsi="Book Antiqua"/>
          <w:b/>
        </w:rPr>
        <w:t>2. Názov návrhu zákona:</w:t>
      </w:r>
      <w:r w:rsidRPr="00B23CDA">
        <w:rPr>
          <w:rFonts w:ascii="Book Antiqua" w:eastAsia="Times New Roman" w:hAnsi="Book Antiqua"/>
        </w:rPr>
        <w:t xml:space="preserve"> </w:t>
      </w:r>
      <w:r>
        <w:rPr>
          <w:rFonts w:ascii="Book Antiqua" w:hAnsi="Book Antiqua" w:cs="Times New Roman"/>
        </w:rPr>
        <w:t>n</w:t>
      </w:r>
      <w:r w:rsidRPr="0003051F">
        <w:rPr>
          <w:rFonts w:ascii="Book Antiqua" w:hAnsi="Book Antiqua" w:cs="Times New Roman"/>
        </w:rPr>
        <w:t xml:space="preserve">ávrh zákona, </w:t>
      </w:r>
      <w:r w:rsidRPr="001C46AA">
        <w:rPr>
          <w:rFonts w:ascii="Book Antiqua" w:eastAsia="Times New Roman" w:hAnsi="Book Antiqua" w:cs="Times New Roman"/>
          <w:bCs/>
          <w:color w:val="000000"/>
          <w:lang w:eastAsia="sk-SK"/>
        </w:rPr>
        <w:t>ktorým sa mení a dopĺňa zákon č. 151/2010 Z. z. o zahraničnej službe a o zmene a doplnení niektorých zákonov</w:t>
      </w:r>
      <w:r w:rsidR="009065A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v znení neskorších predpisov</w:t>
      </w:r>
    </w:p>
    <w:p w14:paraId="1C1294D8" w14:textId="77777777" w:rsidR="00594B6E" w:rsidRPr="00B23CDA" w:rsidRDefault="00594B6E" w:rsidP="00594B6E">
      <w:pPr>
        <w:spacing w:before="120" w:line="276" w:lineRule="auto"/>
        <w:jc w:val="both"/>
        <w:rPr>
          <w:rFonts w:ascii="Book Antiqua" w:eastAsia="Times New Roman" w:hAnsi="Book Antiqua"/>
          <w:b/>
        </w:rPr>
      </w:pPr>
    </w:p>
    <w:p w14:paraId="0FE4EB87" w14:textId="77777777" w:rsidR="00594B6E" w:rsidRPr="00B23CDA" w:rsidRDefault="00594B6E" w:rsidP="00594B6E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b/>
          <w:sz w:val="22"/>
          <w:szCs w:val="22"/>
        </w:rPr>
        <w:t xml:space="preserve">3. </w:t>
      </w:r>
      <w:r w:rsidRPr="00B23CDA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5C2C5157" w14:textId="77777777" w:rsidR="00594B6E" w:rsidRPr="00B23CDA" w:rsidRDefault="00594B6E" w:rsidP="00594B6E">
      <w:pPr>
        <w:pStyle w:val="Vchodzie"/>
        <w:numPr>
          <w:ilvl w:val="0"/>
          <w:numId w:val="2"/>
        </w:numPr>
        <w:autoSpaceDE/>
        <w:autoSpaceDN/>
        <w:adjustRightInd/>
        <w:spacing w:before="120" w:after="0"/>
        <w:ind w:left="720"/>
        <w:jc w:val="both"/>
        <w:rPr>
          <w:rFonts w:ascii="Book Antiqua" w:hAnsi="Book Antiqua"/>
        </w:rPr>
      </w:pPr>
      <w:r w:rsidRPr="00B23CDA">
        <w:rPr>
          <w:rFonts w:ascii="Book Antiqua" w:hAnsi="Book Antiqua"/>
        </w:rPr>
        <w:t>nie je upravený v primárnom práve Európskej únie,</w:t>
      </w:r>
    </w:p>
    <w:p w14:paraId="2B395265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511AB3B9" w14:textId="77777777" w:rsidR="00594B6E" w:rsidRPr="00B23CDA" w:rsidRDefault="00594B6E" w:rsidP="00594B6E">
      <w:pPr>
        <w:pStyle w:val="Normlnywebov"/>
        <w:numPr>
          <w:ilvl w:val="0"/>
          <w:numId w:val="2"/>
        </w:numPr>
        <w:spacing w:before="120" w:beforeAutospacing="0" w:after="0" w:afterAutospacing="0"/>
        <w:ind w:left="720"/>
        <w:jc w:val="both"/>
        <w:rPr>
          <w:rFonts w:ascii="Book Antiqua" w:hAnsi="Book Antiqua"/>
          <w:sz w:val="22"/>
          <w:szCs w:val="22"/>
        </w:rPr>
      </w:pPr>
      <w:r w:rsidRPr="00B23CDA">
        <w:rPr>
          <w:rFonts w:ascii="Book Antiqua" w:hAnsi="Book Antiqua"/>
          <w:sz w:val="22"/>
          <w:szCs w:val="22"/>
        </w:rPr>
        <w:t>nie</w:t>
      </w:r>
      <w:r w:rsidRPr="00B23CDA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086DA18B" w14:textId="77777777" w:rsidR="00594B6E" w:rsidRPr="00B23CDA" w:rsidRDefault="00594B6E" w:rsidP="00594B6E">
      <w:pPr>
        <w:pStyle w:val="Normlnywebov"/>
        <w:spacing w:before="120" w:beforeAutospacing="0" w:after="0" w:afterAutospacing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04045D36" w14:textId="70DB0319" w:rsidR="00C140C5" w:rsidRPr="0003051F" w:rsidRDefault="00594B6E" w:rsidP="00594B6E">
      <w:pPr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23CDA">
        <w:rPr>
          <w:rFonts w:ascii="Book Antiqua" w:hAnsi="Book Antiqua" w:cs="Book Antiqua"/>
        </w:rPr>
        <w:t>Vzhľadom na to, že predmet návrhu zákona nie je upravený v práve Európskej únie, je bezpredmetné vyjadrovať sa k bodom 4. a 5.</w:t>
      </w:r>
    </w:p>
    <w:p w14:paraId="65D75D86" w14:textId="3F846BB0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  <w:highlight w:val="yellow"/>
        </w:rPr>
      </w:pPr>
    </w:p>
    <w:p w14:paraId="122BC8D5" w14:textId="77777777" w:rsidR="001C601E" w:rsidRPr="0003051F" w:rsidRDefault="001C601E" w:rsidP="0003051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34C43D1D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769620A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0E31809" w14:textId="6EBA4371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ABA4A85" w14:textId="57C9D5EA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752046C0" w14:textId="77777777" w:rsidR="00DA163A" w:rsidRPr="0003051F" w:rsidRDefault="00DA163A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31DFB85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2046E686" w14:textId="77777777" w:rsidR="001C601E" w:rsidRPr="0003051F" w:rsidRDefault="001C601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D0CAA4" w14:textId="0C458779" w:rsidR="00C140C5" w:rsidRPr="0003051F" w:rsidRDefault="00C140C5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626AE886" w14:textId="77777777" w:rsidR="00047089" w:rsidRDefault="0004708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582C9187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0D7DD4E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451DD71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A9054D" w14:textId="77777777" w:rsidR="007D7EA9" w:rsidRDefault="007D7EA9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4361E49C" w14:textId="77777777" w:rsidR="00594B6E" w:rsidRPr="0003051F" w:rsidRDefault="00594B6E" w:rsidP="0003051F">
      <w:pPr>
        <w:spacing w:before="120" w:after="0" w:line="276" w:lineRule="auto"/>
        <w:rPr>
          <w:rFonts w:ascii="Book Antiqua" w:eastAsia="Times New Roman" w:hAnsi="Book Antiqua"/>
          <w:b/>
          <w:smallCaps/>
        </w:rPr>
      </w:pPr>
    </w:p>
    <w:p w14:paraId="3DBEEFB2" w14:textId="77777777" w:rsidR="001C601E" w:rsidRPr="0003051F" w:rsidRDefault="001C601E" w:rsidP="0003051F">
      <w:pPr>
        <w:spacing w:before="120" w:after="0" w:line="276" w:lineRule="auto"/>
        <w:jc w:val="center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  <w:smallCaps/>
        </w:rPr>
        <w:lastRenderedPageBreak/>
        <w:t>DOLOŽKA</w:t>
      </w:r>
    </w:p>
    <w:p w14:paraId="60FE59E0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vybraných vplyvov</w:t>
      </w:r>
    </w:p>
    <w:p w14:paraId="18CADAE4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393C219D" w14:textId="2527555D" w:rsidR="001C601E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lang w:eastAsia="sk-SK"/>
        </w:rPr>
      </w:pPr>
      <w:r w:rsidRPr="0003051F">
        <w:rPr>
          <w:rFonts w:ascii="Book Antiqua" w:eastAsia="Times New Roman" w:hAnsi="Book Antiqua"/>
          <w:b/>
        </w:rPr>
        <w:t xml:space="preserve">A.1. Názov materiálu: </w:t>
      </w:r>
      <w:r w:rsidR="00594B6E">
        <w:rPr>
          <w:rFonts w:ascii="Book Antiqua" w:hAnsi="Book Antiqua" w:cs="Times New Roman"/>
        </w:rPr>
        <w:t>n</w:t>
      </w:r>
      <w:r w:rsidR="00594B6E" w:rsidRPr="0003051F">
        <w:rPr>
          <w:rFonts w:ascii="Book Antiqua" w:hAnsi="Book Antiqua" w:cs="Times New Roman"/>
        </w:rPr>
        <w:t xml:space="preserve">ávrh zákona, </w:t>
      </w:r>
      <w:r w:rsidR="00594B6E" w:rsidRPr="001C46AA">
        <w:rPr>
          <w:rFonts w:ascii="Book Antiqua" w:eastAsia="Times New Roman" w:hAnsi="Book Antiqua" w:cs="Times New Roman"/>
          <w:bCs/>
          <w:color w:val="000000"/>
          <w:lang w:eastAsia="sk-SK"/>
        </w:rPr>
        <w:t>ktorým sa mení a dopĺňa zákon č. 151/2010 Z. z. o zahraničnej službe a o zmene a doplnení niektorých zákonov</w:t>
      </w:r>
      <w:r w:rsidR="009065A2">
        <w:rPr>
          <w:rFonts w:ascii="Book Antiqua" w:eastAsia="Times New Roman" w:hAnsi="Book Antiqua" w:cs="Times New Roman"/>
          <w:bCs/>
          <w:color w:val="000000"/>
          <w:lang w:eastAsia="sk-SK"/>
        </w:rPr>
        <w:t xml:space="preserve"> v znení neskorších predpisov</w:t>
      </w:r>
    </w:p>
    <w:p w14:paraId="71029A5D" w14:textId="77777777" w:rsidR="009065A2" w:rsidRPr="0003051F" w:rsidRDefault="009065A2" w:rsidP="0003051F">
      <w:pPr>
        <w:spacing w:before="120" w:after="0" w:line="276" w:lineRule="auto"/>
        <w:jc w:val="both"/>
        <w:rPr>
          <w:rFonts w:ascii="Book Antiqua" w:eastAsia="Times New Roman" w:hAnsi="Book Antiqua"/>
          <w:b/>
        </w:rPr>
      </w:pPr>
    </w:p>
    <w:p w14:paraId="52E25422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</w:rPr>
      </w:pPr>
      <w:r w:rsidRPr="0003051F">
        <w:rPr>
          <w:rFonts w:ascii="Book Antiqua" w:eastAsia="Times New Roman" w:hAnsi="Book Antiqua"/>
          <w:b/>
        </w:rPr>
        <w:t>Termín začatia a ukončenia PPK:</w:t>
      </w:r>
      <w:r w:rsidRPr="0003051F">
        <w:rPr>
          <w:rFonts w:ascii="Book Antiqua" w:eastAsia="Times New Roman" w:hAnsi="Book Antiqua"/>
        </w:rPr>
        <w:t xml:space="preserve"> </w:t>
      </w:r>
      <w:r w:rsidRPr="0003051F">
        <w:rPr>
          <w:rFonts w:ascii="Book Antiqua" w:eastAsia="Times New Roman" w:hAnsi="Book Antiqua"/>
          <w:i/>
        </w:rPr>
        <w:t>bezpredmetné</w:t>
      </w:r>
    </w:p>
    <w:p w14:paraId="4FC27CDC" w14:textId="77777777" w:rsidR="001C601E" w:rsidRPr="0003051F" w:rsidRDefault="001C601E" w:rsidP="0003051F">
      <w:pPr>
        <w:spacing w:before="120" w:after="0" w:line="276" w:lineRule="auto"/>
        <w:jc w:val="both"/>
        <w:rPr>
          <w:rFonts w:ascii="Book Antiqua" w:eastAsia="Times New Roman" w:hAnsi="Book Antiqua"/>
          <w:i/>
        </w:rPr>
      </w:pPr>
    </w:p>
    <w:p w14:paraId="733CDBF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1C601E" w:rsidRPr="0003051F" w14:paraId="3BD60D5F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CF56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bookmarkStart w:id="0" w:name="_Hlk115171905"/>
            <w:r w:rsidRPr="0003051F">
              <w:rPr>
                <w:rFonts w:ascii="Book Antiqua" w:eastAsia="Times New Roman" w:hAnsi="Book Antiqua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3AB4C1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035234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1977E5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 Negatívne </w:t>
            </w:r>
          </w:p>
        </w:tc>
      </w:tr>
      <w:tr w:rsidR="001C601E" w:rsidRPr="0003051F" w14:paraId="6CF0256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DCBB9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97272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C50476" w14:textId="1644A747" w:rsidR="001C601E" w:rsidRPr="0003051F" w:rsidRDefault="00594B6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491D28" w14:textId="62D2129A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49510807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3D8B2A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B4A467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B7E6454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ADBB23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187C7FC2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ADCDC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BC584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694A2B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3251E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2A4509E" w14:textId="77777777" w:rsidTr="00501920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3DE67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BFCE9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964F223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A9F18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56E0450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4B57F2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 xml:space="preserve">– sociálnu </w:t>
            </w:r>
            <w:proofErr w:type="spellStart"/>
            <w:r w:rsidRPr="0003051F">
              <w:rPr>
                <w:rFonts w:ascii="Book Antiqua" w:eastAsia="Times New Roman" w:hAnsi="Book Antiqua"/>
                <w:color w:val="000000"/>
              </w:rPr>
              <w:t>exklúziu</w:t>
            </w:r>
            <w:proofErr w:type="spellEnd"/>
            <w:r w:rsidRPr="0003051F">
              <w:rPr>
                <w:rFonts w:ascii="Book Antiqua" w:eastAsia="Times New Roman" w:hAnsi="Book Antiqua"/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1DD1A5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488DD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C7746B5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38590101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4C5DF82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1C6B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B59941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9334A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24984E3D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885EA0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FA3031C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BAFA9F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F2DA178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  <w:tr w:rsidR="001C601E" w:rsidRPr="0003051F" w14:paraId="7E6F9F73" w14:textId="77777777" w:rsidTr="0050192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1FE453E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B30F27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A59046A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  <w:r w:rsidRPr="0003051F">
              <w:rPr>
                <w:rFonts w:ascii="Book Antiqua" w:eastAsia="Times New Roman" w:hAnsi="Book Antiqua"/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0B3EA9" w14:textId="77777777" w:rsidR="001C601E" w:rsidRPr="0003051F" w:rsidRDefault="001C601E" w:rsidP="00030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center"/>
              <w:rPr>
                <w:rFonts w:ascii="Book Antiqua" w:eastAsia="Times New Roman" w:hAnsi="Book Antiqua"/>
                <w:color w:val="000000"/>
              </w:rPr>
            </w:pPr>
          </w:p>
        </w:tc>
      </w:tr>
    </w:tbl>
    <w:bookmarkEnd w:id="0"/>
    <w:p w14:paraId="76BA7498" w14:textId="77777777" w:rsidR="009065A2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r w:rsidRPr="0003051F">
        <w:rPr>
          <w:rFonts w:ascii="Book Antiqua" w:eastAsia="Times New Roman" w:hAnsi="Book Antiqua"/>
          <w:color w:val="000000"/>
        </w:rPr>
        <w:t> </w:t>
      </w:r>
    </w:p>
    <w:p w14:paraId="04CC10AD" w14:textId="6A17D624" w:rsidR="001C601E" w:rsidRPr="0071235A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color w:val="000000"/>
        </w:rPr>
      </w:pPr>
      <w:bookmarkStart w:id="1" w:name="_GoBack"/>
      <w:bookmarkEnd w:id="1"/>
      <w:r w:rsidRPr="0003051F">
        <w:rPr>
          <w:rFonts w:ascii="Book Antiqua" w:eastAsia="Times New Roman" w:hAnsi="Book Antiqua"/>
          <w:b/>
          <w:color w:val="000000"/>
        </w:rPr>
        <w:t>A.3. Poznámky</w:t>
      </w:r>
    </w:p>
    <w:p w14:paraId="23A87665" w14:textId="7C94E24C" w:rsidR="001C601E" w:rsidRDefault="007D7EA9" w:rsidP="00594B6E">
      <w:pPr>
        <w:spacing w:before="120" w:after="0" w:line="276" w:lineRule="auto"/>
        <w:jc w:val="both"/>
        <w:rPr>
          <w:rFonts w:ascii="Book Antiqua" w:hAnsi="Book Antiqua" w:cs="Times New Roman"/>
          <w:bCs/>
          <w:i/>
        </w:rPr>
      </w:pPr>
      <w:r w:rsidRPr="007D7EA9">
        <w:rPr>
          <w:rFonts w:ascii="Book Antiqua" w:hAnsi="Book Antiqua" w:cs="Times New Roman"/>
          <w:i/>
        </w:rPr>
        <w:t xml:space="preserve">Návrh zákona </w:t>
      </w:r>
      <w:r w:rsidR="00594B6E">
        <w:rPr>
          <w:rFonts w:ascii="Book Antiqua" w:hAnsi="Book Antiqua" w:cs="Times New Roman"/>
          <w:i/>
        </w:rPr>
        <w:t xml:space="preserve">nepredpokladá </w:t>
      </w:r>
      <w:r w:rsidRPr="007D7EA9">
        <w:rPr>
          <w:rFonts w:ascii="Book Antiqua" w:hAnsi="Book Antiqua" w:cs="Times New Roman"/>
          <w:i/>
        </w:rPr>
        <w:t>vplyv na rozpočet verejnej správy, nebude mať vplyv na podnikateľské prostredie, sociálne vplyvy, vplyvy na životné prostredie, ani vplyvy na informatizáciu spoločnosti.</w:t>
      </w:r>
    </w:p>
    <w:p w14:paraId="70DB6454" w14:textId="77777777" w:rsidR="001C71A0" w:rsidRPr="0003051F" w:rsidRDefault="001C71A0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hAnsi="Book Antiqua"/>
          <w:i/>
          <w:iCs/>
        </w:rPr>
      </w:pPr>
    </w:p>
    <w:p w14:paraId="10D2C75A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A.4. Alternatívne riešenia</w:t>
      </w:r>
    </w:p>
    <w:p w14:paraId="01368631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i/>
          <w:color w:val="000000"/>
        </w:rPr>
      </w:pPr>
      <w:r w:rsidRPr="0003051F">
        <w:rPr>
          <w:rFonts w:ascii="Book Antiqua" w:eastAsia="Times New Roman" w:hAnsi="Book Antiqua"/>
          <w:i/>
          <w:color w:val="000000"/>
        </w:rPr>
        <w:t>bezpredmetné</w:t>
      </w:r>
    </w:p>
    <w:p w14:paraId="23C6A5A6" w14:textId="77777777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</w:p>
    <w:p w14:paraId="16CD8C5A" w14:textId="72471E4C" w:rsidR="001C601E" w:rsidRPr="0003051F" w:rsidRDefault="001C601E" w:rsidP="0003051F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/>
          <w:color w:val="000000"/>
        </w:rPr>
      </w:pPr>
      <w:r w:rsidRPr="0003051F">
        <w:rPr>
          <w:rFonts w:ascii="Book Antiqua" w:eastAsia="Times New Roman" w:hAnsi="Book Antiqua"/>
          <w:b/>
          <w:color w:val="000000"/>
        </w:rPr>
        <w:t>A.5. Stanovisko gestorov</w:t>
      </w:r>
    </w:p>
    <w:p w14:paraId="58FAE40D" w14:textId="3EF9D077" w:rsidR="00383163" w:rsidRPr="001C71A0" w:rsidRDefault="00357A5C" w:rsidP="001C71A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Book Antiqua" w:eastAsia="Times New Roman" w:hAnsi="Book Antiqua"/>
          <w:bCs/>
          <w:color w:val="000000"/>
        </w:rPr>
      </w:pPr>
      <w:r w:rsidRPr="00476E46">
        <w:rPr>
          <w:rFonts w:ascii="Book Antiqua" w:hAnsi="Book Antiqua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sectPr w:rsidR="00383163" w:rsidRPr="001C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040DC" w14:textId="77777777" w:rsidR="00FA13ED" w:rsidRDefault="00FA13ED" w:rsidP="002A6E3C">
      <w:pPr>
        <w:spacing w:after="0" w:line="240" w:lineRule="auto"/>
      </w:pPr>
      <w:r>
        <w:separator/>
      </w:r>
    </w:p>
  </w:endnote>
  <w:endnote w:type="continuationSeparator" w:id="0">
    <w:p w14:paraId="3FCB6B69" w14:textId="77777777" w:rsidR="00FA13ED" w:rsidRDefault="00FA13ED" w:rsidP="002A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DBB43" w14:textId="77777777" w:rsidR="00FA13ED" w:rsidRDefault="00FA13ED" w:rsidP="002A6E3C">
      <w:pPr>
        <w:spacing w:after="0" w:line="240" w:lineRule="auto"/>
      </w:pPr>
      <w:r>
        <w:separator/>
      </w:r>
    </w:p>
  </w:footnote>
  <w:footnote w:type="continuationSeparator" w:id="0">
    <w:p w14:paraId="3ABE7731" w14:textId="77777777" w:rsidR="00FA13ED" w:rsidRDefault="00FA13ED" w:rsidP="002A6E3C">
      <w:pPr>
        <w:spacing w:after="0" w:line="240" w:lineRule="auto"/>
      </w:pPr>
      <w:r>
        <w:continuationSeparator/>
      </w:r>
    </w:p>
  </w:footnote>
  <w:footnote w:id="1">
    <w:p w14:paraId="6A476934" w14:textId="23DE117D" w:rsidR="002A6E3C" w:rsidRDefault="002A6E3C" w:rsidP="002A6E3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A6E3C">
        <w:rPr>
          <w:rFonts w:ascii="Book Antiqua" w:hAnsi="Book Antiqua"/>
          <w:sz w:val="18"/>
          <w:szCs w:val="18"/>
        </w:rPr>
        <w:t xml:space="preserve">Pozri napr. </w:t>
      </w:r>
      <w:r w:rsidRPr="002A6E3C">
        <w:rPr>
          <w:rFonts w:ascii="Book Antiqua" w:hAnsi="Book Antiqua" w:cs="Times New Roman"/>
          <w:i/>
          <w:sz w:val="18"/>
          <w:szCs w:val="18"/>
        </w:rPr>
        <w:t>PAJTINKA, Erik: Parlamentná diplomacia a jej význam v procese realizácie zahraničnej politiky. In: PETERKOVÁ, Jana (</w:t>
      </w:r>
      <w:proofErr w:type="spellStart"/>
      <w:r w:rsidRPr="002A6E3C">
        <w:rPr>
          <w:rFonts w:ascii="Book Antiqua" w:hAnsi="Book Antiqua" w:cs="Times New Roman"/>
          <w:i/>
          <w:sz w:val="18"/>
          <w:szCs w:val="18"/>
        </w:rPr>
        <w:t>ed</w:t>
      </w:r>
      <w:proofErr w:type="spellEnd"/>
      <w:r w:rsidRPr="002A6E3C">
        <w:rPr>
          <w:rFonts w:ascii="Book Antiqua" w:hAnsi="Book Antiqua" w:cs="Times New Roman"/>
          <w:i/>
          <w:sz w:val="18"/>
          <w:szCs w:val="18"/>
        </w:rPr>
        <w:t xml:space="preserve">.): Trendy a výzvy </w:t>
      </w:r>
      <w:proofErr w:type="spellStart"/>
      <w:r w:rsidRPr="002A6E3C">
        <w:rPr>
          <w:rFonts w:ascii="Book Antiqua" w:hAnsi="Book Antiqua" w:cs="Times New Roman"/>
          <w:i/>
          <w:sz w:val="18"/>
          <w:szCs w:val="18"/>
        </w:rPr>
        <w:t>současné</w:t>
      </w:r>
      <w:proofErr w:type="spellEnd"/>
      <w:r w:rsidRPr="002A6E3C">
        <w:rPr>
          <w:rFonts w:ascii="Book Antiqua" w:hAnsi="Book Antiqua" w:cs="Times New Roman"/>
          <w:i/>
          <w:sz w:val="18"/>
          <w:szCs w:val="18"/>
        </w:rPr>
        <w:t xml:space="preserve"> diplomacie. Česká a slovenská </w:t>
      </w:r>
      <w:proofErr w:type="spellStart"/>
      <w:r w:rsidRPr="002A6E3C">
        <w:rPr>
          <w:rFonts w:ascii="Book Antiqua" w:hAnsi="Book Antiqua" w:cs="Times New Roman"/>
          <w:i/>
          <w:sz w:val="18"/>
          <w:szCs w:val="18"/>
        </w:rPr>
        <w:t>perspektiva</w:t>
      </w:r>
      <w:proofErr w:type="spellEnd"/>
      <w:r w:rsidRPr="002A6E3C">
        <w:rPr>
          <w:rFonts w:ascii="Book Antiqua" w:hAnsi="Book Antiqua" w:cs="Times New Roman"/>
          <w:i/>
          <w:sz w:val="18"/>
          <w:szCs w:val="18"/>
        </w:rPr>
        <w:t>. Praha : TROAS, 2014, s. 108.</w:t>
      </w:r>
    </w:p>
  </w:footnote>
  <w:footnote w:id="2">
    <w:p w14:paraId="5249EB0C" w14:textId="1E5458EC" w:rsidR="00FF54C3" w:rsidRPr="00FF54C3" w:rsidRDefault="00FF54C3" w:rsidP="00FF54C3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FF54C3">
        <w:rPr>
          <w:rFonts w:ascii="Book Antiqua" w:hAnsi="Book Antiqua"/>
          <w:sz w:val="18"/>
          <w:szCs w:val="18"/>
        </w:rPr>
        <w:t xml:space="preserve">Pozri napr. </w:t>
      </w:r>
      <w:r w:rsidRPr="00FF54C3">
        <w:rPr>
          <w:rFonts w:ascii="Book Antiqua" w:hAnsi="Book Antiqua" w:cs="Times New Roman"/>
          <w:i/>
          <w:sz w:val="18"/>
          <w:szCs w:val="18"/>
        </w:rPr>
        <w:t xml:space="preserve">MALAMUD,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Andrés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– STAVRIDIS,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Stelios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: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Parliaments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and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Parliamentarians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as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International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Actors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>. In: REINALDA, Bob (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ed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.):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The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Ashgate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Research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Companion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to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Non-State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Actors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>, 2016, s. 102.</w:t>
      </w:r>
    </w:p>
  </w:footnote>
  <w:footnote w:id="3">
    <w:p w14:paraId="70D46B43" w14:textId="4F74AF37" w:rsidR="00FF54C3" w:rsidRPr="00FF54C3" w:rsidRDefault="00FF54C3" w:rsidP="00FF54C3">
      <w:pPr>
        <w:pStyle w:val="Textpoznmkypodiarou"/>
        <w:jc w:val="both"/>
        <w:rPr>
          <w:rFonts w:ascii="Book Antiqua" w:hAnsi="Book Antiqua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FF54C3">
        <w:rPr>
          <w:rFonts w:ascii="Book Antiqua" w:hAnsi="Book Antiqua"/>
          <w:sz w:val="18"/>
          <w:szCs w:val="18"/>
        </w:rPr>
        <w:t xml:space="preserve">Pozri napr. </w:t>
      </w:r>
      <w:r w:rsidRPr="00FF54C3">
        <w:rPr>
          <w:rFonts w:ascii="Book Antiqua" w:hAnsi="Book Antiqua" w:cs="Times New Roman"/>
          <w:i/>
          <w:sz w:val="18"/>
          <w:szCs w:val="18"/>
        </w:rPr>
        <w:t xml:space="preserve">MURAD,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Salim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: Zahraniční politika Slovenské republiky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jako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faktor </w:t>
      </w:r>
      <w:proofErr w:type="spellStart"/>
      <w:r w:rsidRPr="00FF54C3">
        <w:rPr>
          <w:rFonts w:ascii="Book Antiqua" w:hAnsi="Book Antiqua" w:cs="Times New Roman"/>
          <w:i/>
          <w:sz w:val="18"/>
          <w:szCs w:val="18"/>
        </w:rPr>
        <w:t>konsolidace</w:t>
      </w:r>
      <w:proofErr w:type="spellEnd"/>
      <w:r w:rsidRPr="00FF54C3">
        <w:rPr>
          <w:rFonts w:ascii="Book Antiqua" w:hAnsi="Book Antiqua" w:cs="Times New Roman"/>
          <w:i/>
          <w:sz w:val="18"/>
          <w:szCs w:val="18"/>
        </w:rPr>
        <w:t xml:space="preserve"> demokracie na Slovensku. Brno : L. Marek, 2006, s. 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984"/>
    <w:multiLevelType w:val="hybridMultilevel"/>
    <w:tmpl w:val="527273A8"/>
    <w:lvl w:ilvl="0" w:tplc="0ABAC55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53BFF"/>
    <w:multiLevelType w:val="multilevel"/>
    <w:tmpl w:val="3A24E4BA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A8E13DD"/>
    <w:multiLevelType w:val="hybridMultilevel"/>
    <w:tmpl w:val="ABBCBD9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8"/>
    <w:rsid w:val="000261F3"/>
    <w:rsid w:val="0003051F"/>
    <w:rsid w:val="00047089"/>
    <w:rsid w:val="00047B9C"/>
    <w:rsid w:val="00120DF0"/>
    <w:rsid w:val="00122228"/>
    <w:rsid w:val="001279BF"/>
    <w:rsid w:val="00131CB5"/>
    <w:rsid w:val="0015559A"/>
    <w:rsid w:val="0018030F"/>
    <w:rsid w:val="001C46AA"/>
    <w:rsid w:val="001C601E"/>
    <w:rsid w:val="001C71A0"/>
    <w:rsid w:val="0020506B"/>
    <w:rsid w:val="002A672B"/>
    <w:rsid w:val="002A6E3C"/>
    <w:rsid w:val="003411C0"/>
    <w:rsid w:val="00357A5C"/>
    <w:rsid w:val="00383163"/>
    <w:rsid w:val="00392C27"/>
    <w:rsid w:val="003E1128"/>
    <w:rsid w:val="004419D5"/>
    <w:rsid w:val="00444958"/>
    <w:rsid w:val="004555C4"/>
    <w:rsid w:val="004F0F6C"/>
    <w:rsid w:val="004F49D8"/>
    <w:rsid w:val="0051302F"/>
    <w:rsid w:val="0053711E"/>
    <w:rsid w:val="00551D64"/>
    <w:rsid w:val="00553A4D"/>
    <w:rsid w:val="005907E3"/>
    <w:rsid w:val="00594B6E"/>
    <w:rsid w:val="005B24E2"/>
    <w:rsid w:val="005B5473"/>
    <w:rsid w:val="005D663B"/>
    <w:rsid w:val="00643951"/>
    <w:rsid w:val="006511F3"/>
    <w:rsid w:val="00652F91"/>
    <w:rsid w:val="006B10A2"/>
    <w:rsid w:val="006F0375"/>
    <w:rsid w:val="0071235A"/>
    <w:rsid w:val="00715834"/>
    <w:rsid w:val="00715B61"/>
    <w:rsid w:val="007539DC"/>
    <w:rsid w:val="00777FB8"/>
    <w:rsid w:val="007D5F9B"/>
    <w:rsid w:val="007D7A83"/>
    <w:rsid w:val="007D7EA9"/>
    <w:rsid w:val="007E3849"/>
    <w:rsid w:val="007F5830"/>
    <w:rsid w:val="008841DE"/>
    <w:rsid w:val="008B19B2"/>
    <w:rsid w:val="008B5D2E"/>
    <w:rsid w:val="008E20EF"/>
    <w:rsid w:val="008F1550"/>
    <w:rsid w:val="009065A2"/>
    <w:rsid w:val="009609CE"/>
    <w:rsid w:val="00995B44"/>
    <w:rsid w:val="00A05FBE"/>
    <w:rsid w:val="00A761FE"/>
    <w:rsid w:val="00A7773D"/>
    <w:rsid w:val="00A97E0C"/>
    <w:rsid w:val="00AA405F"/>
    <w:rsid w:val="00AC545A"/>
    <w:rsid w:val="00B67040"/>
    <w:rsid w:val="00B84FFE"/>
    <w:rsid w:val="00B86665"/>
    <w:rsid w:val="00BE71DF"/>
    <w:rsid w:val="00C140C5"/>
    <w:rsid w:val="00C17A8B"/>
    <w:rsid w:val="00C66438"/>
    <w:rsid w:val="00C97421"/>
    <w:rsid w:val="00CE15F6"/>
    <w:rsid w:val="00CF6C5C"/>
    <w:rsid w:val="00D25029"/>
    <w:rsid w:val="00D5639C"/>
    <w:rsid w:val="00D61469"/>
    <w:rsid w:val="00D66DA3"/>
    <w:rsid w:val="00DA163A"/>
    <w:rsid w:val="00DB07B8"/>
    <w:rsid w:val="00DC3887"/>
    <w:rsid w:val="00E3623F"/>
    <w:rsid w:val="00E46E1A"/>
    <w:rsid w:val="00E87907"/>
    <w:rsid w:val="00EF4C15"/>
    <w:rsid w:val="00F31715"/>
    <w:rsid w:val="00F407E7"/>
    <w:rsid w:val="00F97A96"/>
    <w:rsid w:val="00FA13ED"/>
    <w:rsid w:val="00FD5E9A"/>
    <w:rsid w:val="00FF54C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B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777FB8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777FB8"/>
    <w:pPr>
      <w:spacing w:after="0" w:line="240" w:lineRule="auto"/>
      <w:jc w:val="both"/>
    </w:pPr>
    <w:rPr>
      <w:rFonts w:ascii="Times New Roman" w:eastAsiaTheme="minorEastAsia"/>
      <w:kern w:val="2"/>
      <w:sz w:val="24"/>
      <w:szCs w:val="24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777F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777FB8"/>
    <w:pPr>
      <w:ind w:left="720"/>
      <w:contextualSpacing/>
    </w:pPr>
  </w:style>
  <w:style w:type="table" w:styleId="Mriekatabuky">
    <w:name w:val="Table Grid"/>
    <w:basedOn w:val="Normlnatabuka"/>
    <w:uiPriority w:val="59"/>
    <w:rsid w:val="00FD5E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dzie">
    <w:name w:val="Vchodzie"/>
    <w:qFormat/>
    <w:rsid w:val="001C601E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kern w:val="0"/>
      <w:lang w:bidi="hi-IN"/>
      <w14:ligatures w14:val="none"/>
    </w:rPr>
  </w:style>
  <w:style w:type="character" w:customStyle="1" w:styleId="awspan">
    <w:name w:val="awspan"/>
    <w:basedOn w:val="Predvolenpsmoodseku"/>
    <w:qFormat/>
    <w:rsid w:val="001C601E"/>
  </w:style>
  <w:style w:type="paragraph" w:styleId="Normlnywebov">
    <w:name w:val="Normal (Web)"/>
    <w:basedOn w:val="Normlny"/>
    <w:qFormat/>
    <w:rsid w:val="001C601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7B9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55C4"/>
    <w:rPr>
      <w:rFonts w:ascii="Segoe UI" w:hAnsi="Segoe UI" w:cs="Segoe UI"/>
      <w:kern w:val="0"/>
      <w:sz w:val="18"/>
      <w:szCs w:val="18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6E3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6E3C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6E3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F5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5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54C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54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54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1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5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87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6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40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48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59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A1FC-1DB7-4B37-9AB0-0F574189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Kuchárova</dc:creator>
  <cp:lastModifiedBy>Milan</cp:lastModifiedBy>
  <cp:revision>8</cp:revision>
  <dcterms:created xsi:type="dcterms:W3CDTF">2023-02-22T23:39:00Z</dcterms:created>
  <dcterms:modified xsi:type="dcterms:W3CDTF">2023-04-10T19:30:00Z</dcterms:modified>
</cp:coreProperties>
</file>