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33B" w:rsidRPr="008B7143" w:rsidRDefault="00DB333B" w:rsidP="00E334EB">
      <w:pPr>
        <w:pStyle w:val="Normlnywebov"/>
        <w:spacing w:before="120" w:beforeAutospacing="0" w:after="0" w:afterAutospacing="0" w:line="276" w:lineRule="auto"/>
        <w:jc w:val="center"/>
        <w:rPr>
          <w:rFonts w:ascii="Book Antiqua" w:hAnsi="Book Antiqua"/>
          <w:sz w:val="22"/>
          <w:szCs w:val="22"/>
        </w:rPr>
      </w:pPr>
      <w:bookmarkStart w:id="0" w:name="_GoBack"/>
      <w:bookmarkEnd w:id="0"/>
      <w:r w:rsidRPr="008B7143">
        <w:rPr>
          <w:rFonts w:ascii="Book Antiqua" w:hAnsi="Book Antiqua"/>
          <w:b/>
          <w:bCs/>
          <w:caps/>
          <w:spacing w:val="30"/>
          <w:sz w:val="22"/>
          <w:szCs w:val="22"/>
        </w:rPr>
        <w:t>Dôvodová správa</w:t>
      </w:r>
    </w:p>
    <w:p w:rsidR="00DB333B" w:rsidRPr="008B7143" w:rsidRDefault="00DB333B" w:rsidP="00424EB8">
      <w:pPr>
        <w:pStyle w:val="Nadpis1"/>
        <w:spacing w:before="120" w:line="276" w:lineRule="auto"/>
        <w:jc w:val="left"/>
        <w:rPr>
          <w:rFonts w:ascii="Book Antiqua" w:hAnsi="Book Antiqua"/>
          <w:sz w:val="22"/>
          <w:szCs w:val="22"/>
        </w:rPr>
      </w:pPr>
      <w:r w:rsidRPr="008B7143">
        <w:rPr>
          <w:rFonts w:ascii="Book Antiqua" w:hAnsi="Book Antiqua"/>
          <w:sz w:val="22"/>
          <w:szCs w:val="22"/>
        </w:rPr>
        <w:t xml:space="preserve">A. Všeobecná </w:t>
      </w:r>
      <w:r w:rsidRPr="008B7143">
        <w:rPr>
          <w:rFonts w:ascii="Book Antiqua" w:hAnsi="Book Antiqua"/>
          <w:sz w:val="22"/>
          <w:szCs w:val="22"/>
          <w:lang w:eastAsia="x-none"/>
        </w:rPr>
        <w:t>časť</w:t>
      </w:r>
    </w:p>
    <w:p w:rsidR="00E334EB" w:rsidRDefault="00D30C76" w:rsidP="00DB65B8">
      <w:pPr>
        <w:pStyle w:val="Normlnywebov"/>
        <w:spacing w:before="120" w:beforeAutospacing="0" w:after="0" w:afterAutospacing="0" w:line="276" w:lineRule="auto"/>
        <w:ind w:firstLine="709"/>
        <w:jc w:val="both"/>
        <w:rPr>
          <w:rFonts w:ascii="Book Antiqua" w:hAnsi="Book Antiqua"/>
          <w:sz w:val="22"/>
          <w:szCs w:val="22"/>
        </w:rPr>
      </w:pPr>
      <w:r w:rsidRPr="008B7143">
        <w:rPr>
          <w:rFonts w:ascii="Book Antiqua" w:hAnsi="Book Antiqua"/>
          <w:sz w:val="22"/>
          <w:szCs w:val="22"/>
        </w:rPr>
        <w:t>Návrh</w:t>
      </w:r>
      <w:r w:rsidR="00426013" w:rsidRPr="008B7143">
        <w:rPr>
          <w:rFonts w:ascii="Book Antiqua" w:hAnsi="Book Antiqua"/>
          <w:sz w:val="22"/>
          <w:szCs w:val="22"/>
        </w:rPr>
        <w:t xml:space="preserve"> </w:t>
      </w:r>
      <w:r w:rsidR="00AF62B6" w:rsidRPr="008B7143">
        <w:rPr>
          <w:rFonts w:ascii="Book Antiqua" w:hAnsi="Book Antiqua"/>
          <w:sz w:val="22"/>
          <w:szCs w:val="22"/>
        </w:rPr>
        <w:t>zákona o zodpovednosti za škodu spôs</w:t>
      </w:r>
      <w:r w:rsidR="006105CA" w:rsidRPr="008B7143">
        <w:rPr>
          <w:rFonts w:ascii="Book Antiqua" w:hAnsi="Book Antiqua"/>
          <w:sz w:val="22"/>
          <w:szCs w:val="22"/>
        </w:rPr>
        <w:t>obenú štátu, uplatnení práva na </w:t>
      </w:r>
      <w:r w:rsidR="00AF62B6" w:rsidRPr="008B7143">
        <w:rPr>
          <w:rFonts w:ascii="Book Antiqua" w:hAnsi="Book Antiqua"/>
          <w:sz w:val="22"/>
          <w:szCs w:val="22"/>
        </w:rPr>
        <w:t>náhradu škody štátom a treťou osobou v mene š</w:t>
      </w:r>
      <w:r w:rsidR="006105CA" w:rsidRPr="008B7143">
        <w:rPr>
          <w:rFonts w:ascii="Book Antiqua" w:hAnsi="Book Antiqua"/>
          <w:sz w:val="22"/>
          <w:szCs w:val="22"/>
        </w:rPr>
        <w:t>tátu a o odmene tretej osobe za </w:t>
      </w:r>
      <w:r w:rsidR="00AF62B6" w:rsidRPr="008B7143">
        <w:rPr>
          <w:rFonts w:ascii="Book Antiqua" w:hAnsi="Book Antiqua"/>
          <w:sz w:val="22"/>
          <w:szCs w:val="22"/>
        </w:rPr>
        <w:t xml:space="preserve">uplatnenie tohto práva </w:t>
      </w:r>
      <w:r w:rsidR="009E4364" w:rsidRPr="008B7143">
        <w:rPr>
          <w:rFonts w:ascii="Book Antiqua" w:hAnsi="Book Antiqua"/>
          <w:sz w:val="22"/>
          <w:szCs w:val="22"/>
        </w:rPr>
        <w:t>(ďalej len „návrh zákona“)</w:t>
      </w:r>
      <w:r w:rsidR="00E334EB" w:rsidRPr="008B7143">
        <w:rPr>
          <w:rFonts w:ascii="Book Antiqua" w:hAnsi="Book Antiqua"/>
          <w:sz w:val="22"/>
          <w:szCs w:val="22"/>
        </w:rPr>
        <w:t xml:space="preserve"> predkladá skupina poslancov</w:t>
      </w:r>
      <w:r w:rsidR="008D52BD" w:rsidRPr="008B7143">
        <w:rPr>
          <w:rFonts w:ascii="Book Antiqua" w:hAnsi="Book Antiqua"/>
          <w:sz w:val="22"/>
          <w:szCs w:val="22"/>
        </w:rPr>
        <w:t xml:space="preserve"> Nár</w:t>
      </w:r>
      <w:r w:rsidR="00DB65B8">
        <w:rPr>
          <w:rFonts w:ascii="Book Antiqua" w:hAnsi="Book Antiqua"/>
          <w:sz w:val="22"/>
          <w:szCs w:val="22"/>
        </w:rPr>
        <w:t>odnej rady Slovenskej republiky</w:t>
      </w:r>
      <w:r w:rsidR="00F56C92" w:rsidRPr="008B7143">
        <w:rPr>
          <w:rFonts w:ascii="Book Antiqua" w:hAnsi="Book Antiqua"/>
          <w:sz w:val="22"/>
          <w:szCs w:val="22"/>
        </w:rPr>
        <w:t>.</w:t>
      </w:r>
    </w:p>
    <w:p w:rsidR="00DB65B8" w:rsidRPr="008B7143" w:rsidRDefault="00DB65B8" w:rsidP="00DB65B8">
      <w:pPr>
        <w:pStyle w:val="Normlnywebov"/>
        <w:spacing w:before="120" w:beforeAutospacing="0" w:after="0" w:afterAutospacing="0" w:line="276" w:lineRule="auto"/>
        <w:ind w:firstLine="709"/>
        <w:jc w:val="both"/>
        <w:rPr>
          <w:rFonts w:ascii="Book Antiqua" w:hAnsi="Book Antiqua"/>
          <w:sz w:val="22"/>
          <w:szCs w:val="22"/>
        </w:rPr>
      </w:pPr>
      <w:r w:rsidRPr="008B7143">
        <w:rPr>
          <w:rFonts w:ascii="Book Antiqua" w:hAnsi="Book Antiqua"/>
          <w:b/>
          <w:sz w:val="22"/>
          <w:szCs w:val="22"/>
        </w:rPr>
        <w:t xml:space="preserve">Cieľom návrhu zákona je implementovať základné princípy efektívneho amerického konceptu </w:t>
      </w:r>
      <w:r w:rsidRPr="008B7143">
        <w:rPr>
          <w:rFonts w:ascii="Book Antiqua" w:hAnsi="Book Antiqua"/>
          <w:b/>
          <w:i/>
          <w:sz w:val="22"/>
          <w:szCs w:val="22"/>
        </w:rPr>
        <w:t>qui tam</w:t>
      </w:r>
      <w:r w:rsidRPr="008B7143">
        <w:rPr>
          <w:rFonts w:ascii="Book Antiqua" w:hAnsi="Book Antiqua"/>
          <w:b/>
          <w:sz w:val="22"/>
          <w:szCs w:val="22"/>
        </w:rPr>
        <w:t xml:space="preserve"> do slovenského právneho systému v oblasti zodpovednosti za škodu spôsobenú štátu. Keďže slovenský právny systém patrí do inej právnej rodiny než americký právny systém, je potrebné americký model výrazne modifikovať a prispôsobiť ho slovenským podmienkam. Z tohto dôvodu je predkladaný komplexný nový návrh zákona, ktorý je „</w:t>
      </w:r>
      <w:r w:rsidRPr="008B7143">
        <w:rPr>
          <w:rFonts w:ascii="Book Antiqua" w:hAnsi="Book Antiqua"/>
          <w:b/>
          <w:i/>
          <w:sz w:val="22"/>
          <w:szCs w:val="22"/>
        </w:rPr>
        <w:t>šitý</w:t>
      </w:r>
      <w:r w:rsidRPr="008B7143">
        <w:rPr>
          <w:rFonts w:ascii="Book Antiqua" w:hAnsi="Book Antiqua"/>
          <w:b/>
          <w:sz w:val="22"/>
          <w:szCs w:val="22"/>
        </w:rPr>
        <w:t>“ na mieru Slovenskej republike.</w:t>
      </w:r>
      <w:r>
        <w:rPr>
          <w:rFonts w:ascii="Book Antiqua" w:hAnsi="Book Antiqua"/>
          <w:b/>
          <w:sz w:val="22"/>
          <w:szCs w:val="22"/>
        </w:rPr>
        <w:t xml:space="preserve"> Tento systém je navyše spojený aj s uplatnením hmotnej zodpovednosti voči verejným funkcionárom.</w:t>
      </w:r>
    </w:p>
    <w:p w:rsidR="00C64C8C" w:rsidRPr="008B7143" w:rsidRDefault="008B7143" w:rsidP="00DB65B8">
      <w:pPr>
        <w:pStyle w:val="Normlnywebov"/>
        <w:spacing w:before="120" w:beforeAutospacing="0" w:after="0" w:afterAutospacing="0" w:line="276" w:lineRule="auto"/>
        <w:ind w:firstLine="709"/>
        <w:jc w:val="both"/>
        <w:rPr>
          <w:rFonts w:ascii="Book Antiqua" w:hAnsi="Book Antiqua"/>
          <w:sz w:val="22"/>
          <w:szCs w:val="22"/>
        </w:rPr>
      </w:pPr>
      <w:r>
        <w:rPr>
          <w:rFonts w:ascii="Book Antiqua" w:hAnsi="Book Antiqua"/>
          <w:sz w:val="22"/>
          <w:szCs w:val="22"/>
        </w:rPr>
        <w:t>Základná idea návrhu vy</w:t>
      </w:r>
      <w:r w:rsidR="009F7095" w:rsidRPr="008B7143">
        <w:rPr>
          <w:rFonts w:ascii="Book Antiqua" w:hAnsi="Book Antiqua"/>
          <w:sz w:val="22"/>
          <w:szCs w:val="22"/>
        </w:rPr>
        <w:t>chádza z anglo-amerického konceptu žaloby „</w:t>
      </w:r>
      <w:r w:rsidR="009F7095" w:rsidRPr="008B7143">
        <w:rPr>
          <w:rFonts w:ascii="Book Antiqua" w:hAnsi="Book Antiqua"/>
          <w:i/>
          <w:sz w:val="22"/>
          <w:szCs w:val="22"/>
        </w:rPr>
        <w:t>qui tam</w:t>
      </w:r>
      <w:r w:rsidR="009F7095" w:rsidRPr="008B7143">
        <w:rPr>
          <w:rFonts w:ascii="Book Antiqua" w:hAnsi="Book Antiqua"/>
          <w:sz w:val="22"/>
          <w:szCs w:val="22"/>
        </w:rPr>
        <w:t>“ (taktiež znám</w:t>
      </w:r>
      <w:r w:rsidR="0056201F" w:rsidRPr="008B7143">
        <w:rPr>
          <w:rFonts w:ascii="Book Antiqua" w:hAnsi="Book Antiqua"/>
          <w:sz w:val="22"/>
          <w:szCs w:val="22"/>
        </w:rPr>
        <w:t>ej ako „</w:t>
      </w:r>
      <w:r w:rsidR="0056201F" w:rsidRPr="008B7143">
        <w:rPr>
          <w:rFonts w:ascii="Book Antiqua" w:hAnsi="Book Antiqua"/>
          <w:i/>
          <w:sz w:val="22"/>
          <w:szCs w:val="22"/>
        </w:rPr>
        <w:t>popular action</w:t>
      </w:r>
      <w:r w:rsidR="0056201F" w:rsidRPr="008B7143">
        <w:rPr>
          <w:rFonts w:ascii="Book Antiqua" w:hAnsi="Book Antiqua"/>
          <w:sz w:val="22"/>
          <w:szCs w:val="22"/>
        </w:rPr>
        <w:t>“ resp. „</w:t>
      </w:r>
      <w:r w:rsidR="0056201F" w:rsidRPr="008B7143">
        <w:rPr>
          <w:rFonts w:ascii="Book Antiqua" w:hAnsi="Book Antiqua"/>
          <w:i/>
          <w:sz w:val="22"/>
          <w:szCs w:val="22"/>
        </w:rPr>
        <w:t>a</w:t>
      </w:r>
      <w:r w:rsidR="009F7095" w:rsidRPr="008B7143">
        <w:rPr>
          <w:rFonts w:ascii="Book Antiqua" w:hAnsi="Book Antiqua"/>
          <w:i/>
          <w:sz w:val="22"/>
          <w:szCs w:val="22"/>
        </w:rPr>
        <w:t>ctio popul</w:t>
      </w:r>
      <w:r w:rsidR="0056201F" w:rsidRPr="008B7143">
        <w:rPr>
          <w:rFonts w:ascii="Book Antiqua" w:hAnsi="Book Antiqua"/>
          <w:i/>
          <w:sz w:val="22"/>
          <w:szCs w:val="22"/>
        </w:rPr>
        <w:t>aris</w:t>
      </w:r>
      <w:r w:rsidR="0056201F" w:rsidRPr="008B7143">
        <w:rPr>
          <w:rFonts w:ascii="Book Antiqua" w:hAnsi="Book Antiqua"/>
          <w:sz w:val="22"/>
          <w:szCs w:val="22"/>
        </w:rPr>
        <w:t>“), ktorej podstata tkvie v </w:t>
      </w:r>
      <w:r w:rsidR="009F7095" w:rsidRPr="008B7143">
        <w:rPr>
          <w:rFonts w:ascii="Book Antiqua" w:hAnsi="Book Antiqua"/>
          <w:sz w:val="22"/>
          <w:szCs w:val="22"/>
        </w:rPr>
        <w:t>možnosti súkromnej o</w:t>
      </w:r>
      <w:r w:rsidR="00FB2C11" w:rsidRPr="008B7143">
        <w:rPr>
          <w:rFonts w:ascii="Book Antiqua" w:hAnsi="Book Antiqua"/>
          <w:sz w:val="22"/>
          <w:szCs w:val="22"/>
        </w:rPr>
        <w:t xml:space="preserve">soby podať žalobu v mene štátu v situáciách, keď </w:t>
      </w:r>
      <w:r w:rsidR="00BB2F0B" w:rsidRPr="008B7143">
        <w:rPr>
          <w:rFonts w:ascii="Book Antiqua" w:hAnsi="Book Antiqua"/>
          <w:sz w:val="22"/>
          <w:szCs w:val="22"/>
        </w:rPr>
        <w:t>štátu zjavne vznikla škoda</w:t>
      </w:r>
      <w:r w:rsidR="00E5078E" w:rsidRPr="008B7143">
        <w:rPr>
          <w:rFonts w:ascii="Book Antiqua" w:hAnsi="Book Antiqua"/>
          <w:sz w:val="22"/>
          <w:szCs w:val="22"/>
        </w:rPr>
        <w:t>, avšak</w:t>
      </w:r>
      <w:r w:rsidR="00BB2F0B" w:rsidRPr="008B7143">
        <w:rPr>
          <w:rFonts w:ascii="Book Antiqua" w:hAnsi="Book Antiqua"/>
          <w:sz w:val="22"/>
          <w:szCs w:val="22"/>
        </w:rPr>
        <w:t xml:space="preserve"> </w:t>
      </w:r>
      <w:r w:rsidR="00E5078E" w:rsidRPr="008B7143">
        <w:rPr>
          <w:rFonts w:ascii="Book Antiqua" w:hAnsi="Book Antiqua"/>
          <w:sz w:val="22"/>
          <w:szCs w:val="22"/>
        </w:rPr>
        <w:t xml:space="preserve">táto skutočnosť </w:t>
      </w:r>
      <w:r w:rsidR="00BB2F0B" w:rsidRPr="008B7143">
        <w:rPr>
          <w:rFonts w:ascii="Book Antiqua" w:hAnsi="Book Antiqua"/>
          <w:sz w:val="22"/>
          <w:szCs w:val="22"/>
        </w:rPr>
        <w:t>nie je</w:t>
      </w:r>
      <w:r w:rsidR="00B42FEF" w:rsidRPr="008B7143">
        <w:rPr>
          <w:rFonts w:ascii="Book Antiqua" w:hAnsi="Book Antiqua"/>
          <w:sz w:val="22"/>
          <w:szCs w:val="22"/>
        </w:rPr>
        <w:t xml:space="preserve"> adekvátne prešetrená a </w:t>
      </w:r>
      <w:r w:rsidR="00E5078E" w:rsidRPr="008B7143">
        <w:rPr>
          <w:rFonts w:ascii="Book Antiqua" w:hAnsi="Book Antiqua"/>
          <w:sz w:val="22"/>
          <w:szCs w:val="22"/>
        </w:rPr>
        <w:t xml:space="preserve">z politického hľadiska </w:t>
      </w:r>
      <w:r w:rsidR="00710BE2" w:rsidRPr="008B7143">
        <w:rPr>
          <w:rFonts w:ascii="Book Antiqua" w:hAnsi="Book Antiqua"/>
          <w:sz w:val="22"/>
          <w:szCs w:val="22"/>
        </w:rPr>
        <w:t xml:space="preserve">je </w:t>
      </w:r>
      <w:r w:rsidR="00E5078E" w:rsidRPr="008B7143">
        <w:rPr>
          <w:rFonts w:ascii="Book Antiqua" w:hAnsi="Book Antiqua"/>
          <w:sz w:val="22"/>
          <w:szCs w:val="22"/>
        </w:rPr>
        <w:t>takpovediac „zametená pod koberec.“</w:t>
      </w:r>
      <w:r w:rsidR="001565CB" w:rsidRPr="008B7143">
        <w:rPr>
          <w:rFonts w:ascii="Book Antiqua" w:hAnsi="Book Antiqua"/>
          <w:sz w:val="22"/>
          <w:szCs w:val="22"/>
        </w:rPr>
        <w:t xml:space="preserve">  Túto koncepciu využíva najmä americký zákon False Claims Act</w:t>
      </w:r>
      <w:r w:rsidR="006105CA" w:rsidRPr="008B7143">
        <w:rPr>
          <w:rFonts w:ascii="Book Antiqua" w:hAnsi="Book Antiqua"/>
          <w:sz w:val="22"/>
          <w:szCs w:val="22"/>
        </w:rPr>
        <w:t>, ktorého aplikačná e</w:t>
      </w:r>
      <w:r w:rsidR="001565CB" w:rsidRPr="008B7143">
        <w:rPr>
          <w:rFonts w:ascii="Book Antiqua" w:hAnsi="Book Antiqua"/>
          <w:sz w:val="22"/>
          <w:szCs w:val="22"/>
        </w:rPr>
        <w:t>fektivita k</w:t>
      </w:r>
      <w:r w:rsidR="00CC735A" w:rsidRPr="008B7143">
        <w:rPr>
          <w:rFonts w:ascii="Book Antiqua" w:hAnsi="Book Antiqua"/>
          <w:sz w:val="22"/>
          <w:szCs w:val="22"/>
        </w:rPr>
        <w:t>ontinuálne narastá - v roku 2016</w:t>
      </w:r>
      <w:r w:rsidR="001565CB" w:rsidRPr="008B7143">
        <w:rPr>
          <w:rFonts w:ascii="Book Antiqua" w:hAnsi="Book Antiqua"/>
          <w:sz w:val="22"/>
          <w:szCs w:val="22"/>
        </w:rPr>
        <w:t xml:space="preserve"> </w:t>
      </w:r>
      <w:r w:rsidR="006105CA" w:rsidRPr="008B7143">
        <w:rPr>
          <w:rFonts w:ascii="Book Antiqua" w:hAnsi="Book Antiqua"/>
          <w:sz w:val="22"/>
          <w:szCs w:val="22"/>
        </w:rPr>
        <w:t xml:space="preserve">bolo v USA na základe tohto zákona </w:t>
      </w:r>
      <w:r w:rsidR="001565CB" w:rsidRPr="008B7143">
        <w:rPr>
          <w:rFonts w:ascii="Book Antiqua" w:hAnsi="Book Antiqua"/>
          <w:sz w:val="22"/>
          <w:szCs w:val="22"/>
        </w:rPr>
        <w:t xml:space="preserve">podaných </w:t>
      </w:r>
      <w:r w:rsidR="00CC735A" w:rsidRPr="008B7143">
        <w:rPr>
          <w:rFonts w:ascii="Book Antiqua" w:hAnsi="Book Antiqua"/>
          <w:sz w:val="22"/>
          <w:szCs w:val="22"/>
        </w:rPr>
        <w:t>viac ako 700</w:t>
      </w:r>
      <w:r w:rsidR="001565CB" w:rsidRPr="008B7143">
        <w:rPr>
          <w:rFonts w:ascii="Book Antiqua" w:hAnsi="Book Antiqua"/>
          <w:sz w:val="22"/>
          <w:szCs w:val="22"/>
        </w:rPr>
        <w:t xml:space="preserve"> žalôb a súhrnne bolo vysúdených až</w:t>
      </w:r>
      <w:r w:rsidR="00CC735A" w:rsidRPr="008B7143">
        <w:rPr>
          <w:rFonts w:ascii="Book Antiqua" w:hAnsi="Book Antiqua"/>
          <w:sz w:val="22"/>
          <w:szCs w:val="22"/>
        </w:rPr>
        <w:t xml:space="preserve"> 4,76</w:t>
      </w:r>
      <w:r w:rsidR="001565CB" w:rsidRPr="008B7143">
        <w:rPr>
          <w:rFonts w:ascii="Book Antiqua" w:hAnsi="Book Antiqua"/>
          <w:sz w:val="22"/>
          <w:szCs w:val="22"/>
        </w:rPr>
        <w:t xml:space="preserve"> miliardy dolárov.</w:t>
      </w:r>
      <w:r w:rsidR="00A62BD0" w:rsidRPr="008B7143">
        <w:rPr>
          <w:rFonts w:ascii="Book Antiqua" w:hAnsi="Book Antiqua"/>
          <w:sz w:val="22"/>
          <w:szCs w:val="22"/>
        </w:rPr>
        <w:t xml:space="preserve"> </w:t>
      </w:r>
    </w:p>
    <w:p w:rsidR="00E71757" w:rsidRDefault="00C52D0E" w:rsidP="00A62BD0">
      <w:pPr>
        <w:pStyle w:val="Normlnywebov"/>
        <w:spacing w:before="120" w:beforeAutospacing="0" w:after="0" w:afterAutospacing="0" w:line="276" w:lineRule="auto"/>
        <w:ind w:firstLine="708"/>
        <w:jc w:val="both"/>
        <w:rPr>
          <w:rFonts w:ascii="Book Antiqua" w:hAnsi="Book Antiqua"/>
          <w:sz w:val="22"/>
          <w:szCs w:val="22"/>
        </w:rPr>
      </w:pPr>
      <w:r w:rsidRPr="008B7143">
        <w:rPr>
          <w:rFonts w:ascii="Book Antiqua" w:hAnsi="Book Antiqua"/>
          <w:sz w:val="22"/>
          <w:szCs w:val="22"/>
        </w:rPr>
        <w:t xml:space="preserve">Predkladaný návrh zákona </w:t>
      </w:r>
      <w:r w:rsidR="00824CDE" w:rsidRPr="008B7143">
        <w:rPr>
          <w:rFonts w:ascii="Book Antiqua" w:hAnsi="Book Antiqua"/>
          <w:sz w:val="22"/>
          <w:szCs w:val="22"/>
        </w:rPr>
        <w:t xml:space="preserve">má </w:t>
      </w:r>
      <w:r w:rsidR="00F55EB1" w:rsidRPr="008B7143">
        <w:rPr>
          <w:rFonts w:ascii="Book Antiqua" w:hAnsi="Book Antiqua"/>
          <w:sz w:val="22"/>
          <w:szCs w:val="22"/>
        </w:rPr>
        <w:t xml:space="preserve">prevažne </w:t>
      </w:r>
      <w:r w:rsidRPr="008B7143">
        <w:rPr>
          <w:rFonts w:ascii="Book Antiqua" w:hAnsi="Book Antiqua"/>
          <w:sz w:val="22"/>
          <w:szCs w:val="22"/>
        </w:rPr>
        <w:t xml:space="preserve">pozitívny </w:t>
      </w:r>
      <w:r w:rsidR="00824CDE" w:rsidRPr="008B7143">
        <w:rPr>
          <w:rFonts w:ascii="Book Antiqua" w:hAnsi="Book Antiqua"/>
          <w:sz w:val="22"/>
          <w:szCs w:val="22"/>
        </w:rPr>
        <w:t xml:space="preserve">vplyv na rozpočet verejnej správy. Návrh zákona nemá vplyv na podnikateľskú </w:t>
      </w:r>
      <w:r w:rsidRPr="008B7143">
        <w:rPr>
          <w:rFonts w:ascii="Book Antiqua" w:hAnsi="Book Antiqua"/>
          <w:sz w:val="22"/>
          <w:szCs w:val="22"/>
        </w:rPr>
        <w:t xml:space="preserve">sféru, </w:t>
      </w:r>
      <w:r w:rsidR="00F55EB1" w:rsidRPr="008B7143">
        <w:rPr>
          <w:rFonts w:ascii="Book Antiqua" w:hAnsi="Book Antiqua"/>
          <w:sz w:val="22"/>
          <w:szCs w:val="22"/>
        </w:rPr>
        <w:t>sociálne</w:t>
      </w:r>
      <w:r w:rsidR="006105CA" w:rsidRPr="008B7143">
        <w:rPr>
          <w:rFonts w:ascii="Book Antiqua" w:hAnsi="Book Antiqua"/>
          <w:sz w:val="22"/>
          <w:szCs w:val="22"/>
        </w:rPr>
        <w:t xml:space="preserve"> vplyv</w:t>
      </w:r>
      <w:r w:rsidR="00F55EB1" w:rsidRPr="008B7143">
        <w:rPr>
          <w:rFonts w:ascii="Book Antiqua" w:hAnsi="Book Antiqua"/>
          <w:sz w:val="22"/>
          <w:szCs w:val="22"/>
        </w:rPr>
        <w:t>y</w:t>
      </w:r>
      <w:r w:rsidR="006105CA" w:rsidRPr="008B7143">
        <w:rPr>
          <w:rFonts w:ascii="Book Antiqua" w:hAnsi="Book Antiqua"/>
          <w:sz w:val="22"/>
          <w:szCs w:val="22"/>
        </w:rPr>
        <w:t xml:space="preserve">, vplyv </w:t>
      </w:r>
      <w:r w:rsidRPr="008B7143">
        <w:rPr>
          <w:rFonts w:ascii="Book Antiqua" w:hAnsi="Book Antiqua"/>
          <w:sz w:val="22"/>
          <w:szCs w:val="22"/>
        </w:rPr>
        <w:t>na životné pro</w:t>
      </w:r>
      <w:r w:rsidR="009473E1" w:rsidRPr="008B7143">
        <w:rPr>
          <w:rFonts w:ascii="Book Antiqua" w:hAnsi="Book Antiqua"/>
          <w:sz w:val="22"/>
          <w:szCs w:val="22"/>
        </w:rPr>
        <w:t>stredie</w:t>
      </w:r>
      <w:r w:rsidR="00061778" w:rsidRPr="008B7143">
        <w:rPr>
          <w:rFonts w:ascii="Book Antiqua" w:hAnsi="Book Antiqua"/>
          <w:sz w:val="22"/>
          <w:szCs w:val="22"/>
        </w:rPr>
        <w:t xml:space="preserve"> ani </w:t>
      </w:r>
      <w:r w:rsidRPr="008B7143">
        <w:rPr>
          <w:rFonts w:ascii="Book Antiqua" w:hAnsi="Book Antiqua"/>
          <w:sz w:val="22"/>
          <w:szCs w:val="22"/>
        </w:rPr>
        <w:t xml:space="preserve">na informatizáciu spoločnosti. </w:t>
      </w:r>
    </w:p>
    <w:p w:rsidR="009473E1" w:rsidRPr="008B7143" w:rsidRDefault="00824CDE" w:rsidP="00A62BD0">
      <w:pPr>
        <w:pStyle w:val="Normlnywebov"/>
        <w:spacing w:before="120" w:beforeAutospacing="0" w:after="0" w:afterAutospacing="0" w:line="276" w:lineRule="auto"/>
        <w:ind w:firstLine="708"/>
        <w:jc w:val="both"/>
        <w:rPr>
          <w:rFonts w:ascii="Book Antiqua" w:hAnsi="Book Antiqua"/>
          <w:b/>
          <w:sz w:val="22"/>
          <w:szCs w:val="22"/>
        </w:rPr>
      </w:pPr>
      <w:r w:rsidRPr="008B7143">
        <w:rPr>
          <w:rFonts w:ascii="Book Antiqua" w:hAnsi="Book Antiqua"/>
          <w:sz w:val="22"/>
          <w:szCs w:val="22"/>
        </w:rPr>
        <w:t>Návrh zákona je v súlade s Ústavou Slovenskej</w:t>
      </w:r>
      <w:r w:rsidR="00026966" w:rsidRPr="008B7143">
        <w:rPr>
          <w:rFonts w:ascii="Book Antiqua" w:hAnsi="Book Antiqua"/>
          <w:sz w:val="22"/>
          <w:szCs w:val="22"/>
        </w:rPr>
        <w:t xml:space="preserve"> republiky, ústavnými zákonmi a </w:t>
      </w:r>
      <w:r w:rsidRPr="008B7143">
        <w:rPr>
          <w:rFonts w:ascii="Book Antiqua" w:hAnsi="Book Antiqua"/>
          <w:sz w:val="22"/>
          <w:szCs w:val="22"/>
        </w:rPr>
        <w:t>ostatnými všeobecne záväznými právnymi predpismi Slovenskej republiky, medzinárodnými zmluvami a inými medzinárodnými dokumentmi, ktorými je Slovenská republika viazaná, ako aj s právom Európskej únie.</w:t>
      </w:r>
    </w:p>
    <w:p w:rsidR="00426013" w:rsidRPr="00DB65B8" w:rsidRDefault="00395B4F" w:rsidP="00E334EB">
      <w:pPr>
        <w:pStyle w:val="Normlnywebov"/>
        <w:spacing w:before="120" w:beforeAutospacing="0" w:after="0" w:afterAutospacing="0" w:line="276" w:lineRule="auto"/>
        <w:jc w:val="both"/>
        <w:rPr>
          <w:rFonts w:ascii="Book Antiqua" w:hAnsi="Book Antiqua"/>
          <w:b/>
          <w:bCs/>
          <w:sz w:val="22"/>
          <w:szCs w:val="22"/>
        </w:rPr>
      </w:pPr>
      <w:r w:rsidRPr="008B7143">
        <w:rPr>
          <w:rFonts w:ascii="Book Antiqua" w:hAnsi="Book Antiqua"/>
          <w:b/>
          <w:bCs/>
          <w:sz w:val="22"/>
          <w:szCs w:val="22"/>
        </w:rPr>
        <w:br w:type="page"/>
      </w:r>
      <w:r w:rsidR="00DB333B" w:rsidRPr="008B7143">
        <w:rPr>
          <w:rFonts w:ascii="Book Antiqua" w:hAnsi="Book Antiqua"/>
          <w:b/>
          <w:bCs/>
          <w:sz w:val="22"/>
          <w:szCs w:val="22"/>
        </w:rPr>
        <w:lastRenderedPageBreak/>
        <w:t>B. Osobitná časť</w:t>
      </w:r>
    </w:p>
    <w:p w:rsidR="00426013" w:rsidRPr="008B7143" w:rsidRDefault="00426013" w:rsidP="00DB65B8">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V prvej časti návrhu zákona štandardne nazvanej </w:t>
      </w:r>
      <w:r w:rsidRPr="008B7143">
        <w:rPr>
          <w:rFonts w:ascii="Book Antiqua" w:hAnsi="Book Antiqua"/>
          <w:b/>
          <w:bCs/>
          <w:sz w:val="22"/>
          <w:szCs w:val="22"/>
        </w:rPr>
        <w:t>základné ustanovenia</w:t>
      </w:r>
      <w:r w:rsidR="00680D3A" w:rsidRPr="008B7143">
        <w:rPr>
          <w:rFonts w:ascii="Book Antiqua" w:hAnsi="Book Antiqua"/>
          <w:bCs/>
          <w:sz w:val="22"/>
          <w:szCs w:val="22"/>
        </w:rPr>
        <w:t xml:space="preserve"> sa </w:t>
      </w:r>
      <w:r w:rsidRPr="008B7143">
        <w:rPr>
          <w:rFonts w:ascii="Book Antiqua" w:hAnsi="Book Antiqua"/>
          <w:bCs/>
          <w:sz w:val="22"/>
          <w:szCs w:val="22"/>
        </w:rPr>
        <w:t>nachádzajú dva paragrafy, ktoré vymedzujú predmet zákonnej úpravy (§</w:t>
      </w:r>
      <w:r w:rsidR="00E334EB" w:rsidRPr="008B7143">
        <w:rPr>
          <w:rFonts w:ascii="Book Antiqua" w:hAnsi="Book Antiqua"/>
          <w:bCs/>
          <w:sz w:val="22"/>
          <w:szCs w:val="22"/>
        </w:rPr>
        <w:t xml:space="preserve"> </w:t>
      </w:r>
      <w:r w:rsidRPr="008B7143">
        <w:rPr>
          <w:rFonts w:ascii="Book Antiqua" w:hAnsi="Book Antiqua"/>
          <w:bCs/>
          <w:sz w:val="22"/>
          <w:szCs w:val="22"/>
        </w:rPr>
        <w:t>1) a definujú základné pojmy špecifické pre nový právny predpis</w:t>
      </w:r>
      <w:r w:rsidR="009473E1" w:rsidRPr="008B7143">
        <w:rPr>
          <w:rFonts w:ascii="Book Antiqua" w:hAnsi="Book Antiqua"/>
          <w:bCs/>
          <w:sz w:val="22"/>
          <w:szCs w:val="22"/>
        </w:rPr>
        <w:t xml:space="preserve"> (§</w:t>
      </w:r>
      <w:r w:rsidR="00E334EB" w:rsidRPr="008B7143">
        <w:rPr>
          <w:rFonts w:ascii="Book Antiqua" w:hAnsi="Book Antiqua"/>
          <w:bCs/>
          <w:sz w:val="22"/>
          <w:szCs w:val="22"/>
        </w:rPr>
        <w:t xml:space="preserve"> </w:t>
      </w:r>
      <w:r w:rsidR="009473E1" w:rsidRPr="008B7143">
        <w:rPr>
          <w:rFonts w:ascii="Book Antiqua" w:hAnsi="Book Antiqua"/>
          <w:bCs/>
          <w:sz w:val="22"/>
          <w:szCs w:val="22"/>
        </w:rPr>
        <w:t>2)</w:t>
      </w:r>
      <w:r w:rsidRPr="008B7143">
        <w:rPr>
          <w:rFonts w:ascii="Book Antiqua" w:hAnsi="Book Antiqua"/>
          <w:bCs/>
          <w:sz w:val="22"/>
          <w:szCs w:val="22"/>
        </w:rPr>
        <w:t>.</w:t>
      </w:r>
      <w:r w:rsidR="00504BC8" w:rsidRPr="008B7143">
        <w:rPr>
          <w:rFonts w:ascii="Book Antiqua" w:hAnsi="Book Antiqua"/>
          <w:bCs/>
          <w:sz w:val="22"/>
          <w:szCs w:val="22"/>
        </w:rPr>
        <w:t xml:space="preserve"> </w:t>
      </w:r>
    </w:p>
    <w:p w:rsidR="00426013" w:rsidRPr="008B7143" w:rsidRDefault="00504BC8" w:rsidP="00E334EB">
      <w:pPr>
        <w:pStyle w:val="Normlnywebov"/>
        <w:spacing w:before="120" w:beforeAutospacing="0" w:after="0" w:afterAutospacing="0" w:line="276" w:lineRule="auto"/>
        <w:ind w:firstLine="708"/>
        <w:jc w:val="both"/>
        <w:rPr>
          <w:rFonts w:ascii="Book Antiqua" w:hAnsi="Book Antiqua"/>
          <w:bCs/>
          <w:sz w:val="22"/>
          <w:szCs w:val="22"/>
        </w:rPr>
      </w:pPr>
      <w:r w:rsidRPr="003159B0">
        <w:rPr>
          <w:rFonts w:ascii="Book Antiqua" w:hAnsi="Book Antiqua"/>
          <w:bCs/>
          <w:sz w:val="22"/>
          <w:szCs w:val="22"/>
        </w:rPr>
        <w:t xml:space="preserve">Prvým vymedzeným pojmom je </w:t>
      </w:r>
      <w:r w:rsidRPr="003159B0">
        <w:rPr>
          <w:rFonts w:ascii="Book Antiqua" w:hAnsi="Book Antiqua"/>
          <w:b/>
          <w:bCs/>
          <w:sz w:val="22"/>
          <w:szCs w:val="22"/>
        </w:rPr>
        <w:t>škoda spôsobená</w:t>
      </w:r>
      <w:r w:rsidR="00426013" w:rsidRPr="003159B0">
        <w:rPr>
          <w:rFonts w:ascii="Book Antiqua" w:hAnsi="Book Antiqua"/>
          <w:b/>
          <w:bCs/>
          <w:sz w:val="22"/>
          <w:szCs w:val="22"/>
        </w:rPr>
        <w:t xml:space="preserve"> štátu</w:t>
      </w:r>
      <w:r w:rsidRPr="003159B0">
        <w:rPr>
          <w:rFonts w:ascii="Book Antiqua" w:hAnsi="Book Antiqua"/>
          <w:bCs/>
          <w:sz w:val="22"/>
          <w:szCs w:val="22"/>
        </w:rPr>
        <w:t xml:space="preserve">, ktorá je v zmysle návrhu zákona </w:t>
      </w:r>
      <w:r w:rsidR="003F29CB" w:rsidRPr="003159B0">
        <w:rPr>
          <w:rFonts w:ascii="Book Antiqua" w:hAnsi="Book Antiqua"/>
          <w:bCs/>
          <w:sz w:val="22"/>
          <w:szCs w:val="22"/>
        </w:rPr>
        <w:t xml:space="preserve">primárne </w:t>
      </w:r>
      <w:r w:rsidR="006105CA" w:rsidRPr="003159B0">
        <w:rPr>
          <w:rFonts w:ascii="Book Antiqua" w:hAnsi="Book Antiqua"/>
          <w:bCs/>
          <w:sz w:val="22"/>
          <w:szCs w:val="22"/>
        </w:rPr>
        <w:t>takou</w:t>
      </w:r>
      <w:r w:rsidRPr="003159B0">
        <w:rPr>
          <w:rFonts w:ascii="Book Antiqua" w:hAnsi="Book Antiqua"/>
          <w:bCs/>
          <w:sz w:val="22"/>
          <w:szCs w:val="22"/>
        </w:rPr>
        <w:t xml:space="preserve"> </w:t>
      </w:r>
      <w:r w:rsidR="006105CA" w:rsidRPr="003159B0">
        <w:rPr>
          <w:rFonts w:ascii="Book Antiqua" w:hAnsi="Book Antiqua"/>
          <w:bCs/>
          <w:sz w:val="22"/>
          <w:szCs w:val="22"/>
        </w:rPr>
        <w:t>škodou</w:t>
      </w:r>
      <w:r w:rsidR="00426013" w:rsidRPr="003159B0">
        <w:rPr>
          <w:rFonts w:ascii="Book Antiqua" w:hAnsi="Book Antiqua"/>
          <w:bCs/>
          <w:sz w:val="22"/>
          <w:szCs w:val="22"/>
        </w:rPr>
        <w:t>, ktorá vznikla štátu alebo územnej samospráve pri nakla</w:t>
      </w:r>
      <w:r w:rsidRPr="003159B0">
        <w:rPr>
          <w:rFonts w:ascii="Book Antiqua" w:hAnsi="Book Antiqua"/>
          <w:bCs/>
          <w:sz w:val="22"/>
          <w:szCs w:val="22"/>
        </w:rPr>
        <w:t>daní s verejnými prostriedkami</w:t>
      </w:r>
      <w:r w:rsidR="003F29CB" w:rsidRPr="003159B0">
        <w:rPr>
          <w:rFonts w:ascii="Book Antiqua" w:hAnsi="Book Antiqua"/>
          <w:bCs/>
          <w:sz w:val="22"/>
          <w:szCs w:val="22"/>
        </w:rPr>
        <w:t>. Taktiež ňou môže byť škoda, ktorá vznikla v súvislosti s</w:t>
      </w:r>
      <w:r w:rsidR="0024548A" w:rsidRPr="003159B0">
        <w:rPr>
          <w:rFonts w:ascii="Book Antiqua" w:hAnsi="Book Antiqua"/>
          <w:bCs/>
          <w:sz w:val="22"/>
          <w:szCs w:val="22"/>
        </w:rPr>
        <w:t xml:space="preserve"> </w:t>
      </w:r>
      <w:r w:rsidR="00426013" w:rsidRPr="003159B0">
        <w:rPr>
          <w:rFonts w:ascii="Book Antiqua" w:hAnsi="Book Antiqua"/>
          <w:bCs/>
          <w:sz w:val="22"/>
          <w:szCs w:val="22"/>
        </w:rPr>
        <w:t>majetkom štátu alebo územnej samosprávy podľa osobitného p</w:t>
      </w:r>
      <w:r w:rsidRPr="003159B0">
        <w:rPr>
          <w:rFonts w:ascii="Book Antiqua" w:hAnsi="Book Antiqua"/>
          <w:bCs/>
          <w:sz w:val="22"/>
          <w:szCs w:val="22"/>
        </w:rPr>
        <w:t>redpisu alebo na jeho základe</w:t>
      </w:r>
      <w:r w:rsidR="003F29CB" w:rsidRPr="003159B0">
        <w:rPr>
          <w:rFonts w:ascii="Book Antiqua" w:hAnsi="Book Antiqua"/>
          <w:bCs/>
          <w:sz w:val="22"/>
          <w:szCs w:val="22"/>
        </w:rPr>
        <w:t xml:space="preserve">, pričom takýmto zákonom je napríklad zákon č. </w:t>
      </w:r>
      <w:r w:rsidR="00395B4F" w:rsidRPr="003159B0">
        <w:rPr>
          <w:rFonts w:ascii="Book Antiqua" w:hAnsi="Book Antiqua"/>
          <w:bCs/>
          <w:sz w:val="22"/>
          <w:szCs w:val="22"/>
        </w:rPr>
        <w:t>343/2015</w:t>
      </w:r>
      <w:r w:rsidR="003F29CB" w:rsidRPr="003159B0">
        <w:rPr>
          <w:rFonts w:ascii="Book Antiqua" w:hAnsi="Book Antiqua"/>
          <w:bCs/>
          <w:sz w:val="22"/>
          <w:szCs w:val="22"/>
        </w:rPr>
        <w:t xml:space="preserve"> Z. z. o verejnom obstarávaní a o zmene a doplnení niektorých zákonov v znení neskorších predpisov alebo zákon č. </w:t>
      </w:r>
      <w:r w:rsidR="00395B4F" w:rsidRPr="003159B0">
        <w:rPr>
          <w:rFonts w:ascii="Book Antiqua" w:hAnsi="Book Antiqua"/>
          <w:bCs/>
          <w:sz w:val="22"/>
          <w:szCs w:val="22"/>
        </w:rPr>
        <w:t>55/2017</w:t>
      </w:r>
      <w:r w:rsidR="003F29CB" w:rsidRPr="003159B0">
        <w:rPr>
          <w:rFonts w:ascii="Book Antiqua" w:hAnsi="Book Antiqua"/>
          <w:bCs/>
          <w:sz w:val="22"/>
          <w:szCs w:val="22"/>
        </w:rPr>
        <w:t xml:space="preserve"> Z. z. o štátnej službe a o zmene a doplnení niektorých zákonov v znení neskorších predpisov.</w:t>
      </w:r>
    </w:p>
    <w:p w:rsidR="008D0798" w:rsidRPr="008B7143" w:rsidRDefault="003F29CB"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Druhý definovaný pojem – </w:t>
      </w:r>
      <w:r w:rsidRPr="008B7143">
        <w:rPr>
          <w:rFonts w:ascii="Book Antiqua" w:hAnsi="Book Antiqua"/>
          <w:b/>
          <w:bCs/>
          <w:sz w:val="22"/>
          <w:szCs w:val="22"/>
        </w:rPr>
        <w:t xml:space="preserve">verejný </w:t>
      </w:r>
      <w:r w:rsidR="00426013" w:rsidRPr="008B7143">
        <w:rPr>
          <w:rFonts w:ascii="Book Antiqua" w:hAnsi="Book Antiqua"/>
          <w:b/>
          <w:bCs/>
          <w:sz w:val="22"/>
          <w:szCs w:val="22"/>
        </w:rPr>
        <w:t>činiteľ</w:t>
      </w:r>
      <w:r w:rsidRPr="008B7143">
        <w:rPr>
          <w:rFonts w:ascii="Book Antiqua" w:hAnsi="Book Antiqua"/>
          <w:b/>
          <w:bCs/>
          <w:sz w:val="22"/>
          <w:szCs w:val="22"/>
        </w:rPr>
        <w:t xml:space="preserve"> </w:t>
      </w:r>
      <w:r w:rsidR="00646D34" w:rsidRPr="008B7143">
        <w:rPr>
          <w:rFonts w:ascii="Book Antiqua" w:hAnsi="Book Antiqua"/>
          <w:b/>
          <w:bCs/>
          <w:sz w:val="22"/>
          <w:szCs w:val="22"/>
        </w:rPr>
        <w:t xml:space="preserve">- </w:t>
      </w:r>
      <w:r w:rsidR="006105CA" w:rsidRPr="008B7143">
        <w:rPr>
          <w:rFonts w:ascii="Book Antiqua" w:hAnsi="Book Antiqua"/>
          <w:bCs/>
          <w:sz w:val="22"/>
          <w:szCs w:val="22"/>
        </w:rPr>
        <w:t>je vymedzení</w:t>
      </w:r>
      <w:r w:rsidR="00646D34" w:rsidRPr="008B7143">
        <w:rPr>
          <w:rFonts w:ascii="Book Antiqua" w:hAnsi="Book Antiqua"/>
          <w:bCs/>
          <w:sz w:val="22"/>
          <w:szCs w:val="22"/>
        </w:rPr>
        <w:t>m pasívne legitimovaného subjektu a v zmysle</w:t>
      </w:r>
      <w:r w:rsidRPr="008B7143">
        <w:rPr>
          <w:rFonts w:ascii="Book Antiqua" w:hAnsi="Book Antiqua"/>
          <w:bCs/>
          <w:sz w:val="22"/>
          <w:szCs w:val="22"/>
        </w:rPr>
        <w:t xml:space="preserve"> návrhu zákona </w:t>
      </w:r>
      <w:r w:rsidR="00646D34" w:rsidRPr="008B7143">
        <w:rPr>
          <w:rFonts w:ascii="Book Antiqua" w:hAnsi="Book Antiqua"/>
          <w:bCs/>
          <w:sz w:val="22"/>
          <w:szCs w:val="22"/>
        </w:rPr>
        <w:t xml:space="preserve">je ním </w:t>
      </w:r>
      <w:r w:rsidR="001C4D24" w:rsidRPr="008B7143">
        <w:rPr>
          <w:rFonts w:ascii="Book Antiqua" w:hAnsi="Book Antiqua"/>
          <w:bCs/>
          <w:sz w:val="22"/>
          <w:szCs w:val="22"/>
        </w:rPr>
        <w:t>taká</w:t>
      </w:r>
      <w:r w:rsidR="00426013" w:rsidRPr="008B7143">
        <w:rPr>
          <w:rFonts w:ascii="Book Antiqua" w:hAnsi="Book Antiqua"/>
          <w:bCs/>
          <w:sz w:val="22"/>
          <w:szCs w:val="22"/>
        </w:rPr>
        <w:t xml:space="preserve"> fyzická osob</w:t>
      </w:r>
      <w:r w:rsidR="00646D34" w:rsidRPr="008B7143">
        <w:rPr>
          <w:rFonts w:ascii="Book Antiqua" w:hAnsi="Book Antiqua"/>
          <w:bCs/>
          <w:sz w:val="22"/>
          <w:szCs w:val="22"/>
        </w:rPr>
        <w:t>a, ktorá je oprávnená konať v </w:t>
      </w:r>
      <w:r w:rsidR="00426013" w:rsidRPr="008B7143">
        <w:rPr>
          <w:rFonts w:ascii="Book Antiqua" w:hAnsi="Book Antiqua"/>
          <w:bCs/>
          <w:sz w:val="22"/>
          <w:szCs w:val="22"/>
        </w:rPr>
        <w:t>mene orgánu verejnej moci a</w:t>
      </w:r>
      <w:r w:rsidR="001C4D24" w:rsidRPr="008B7143">
        <w:rPr>
          <w:rFonts w:ascii="Book Antiqua" w:hAnsi="Book Antiqua"/>
          <w:bCs/>
          <w:sz w:val="22"/>
          <w:szCs w:val="22"/>
        </w:rPr>
        <w:t xml:space="preserve"> taktiež </w:t>
      </w:r>
      <w:r w:rsidR="00426013" w:rsidRPr="008B7143">
        <w:rPr>
          <w:rFonts w:ascii="Book Antiqua" w:hAnsi="Book Antiqua"/>
          <w:bCs/>
          <w:sz w:val="22"/>
          <w:szCs w:val="22"/>
        </w:rPr>
        <w:t>fyzická osoba,</w:t>
      </w:r>
      <w:r w:rsidR="001C4D24" w:rsidRPr="008B7143">
        <w:rPr>
          <w:rFonts w:ascii="Book Antiqua" w:hAnsi="Book Antiqua"/>
          <w:bCs/>
          <w:sz w:val="22"/>
          <w:szCs w:val="22"/>
        </w:rPr>
        <w:t xml:space="preserve"> ktorá je orgánom verejnej moci. Kľúčovým pojmov tejto definície je slovné spojenie „</w:t>
      </w:r>
      <w:r w:rsidR="001C4D24" w:rsidRPr="008B7143">
        <w:rPr>
          <w:rFonts w:ascii="Book Antiqua" w:hAnsi="Book Antiqua"/>
          <w:b/>
          <w:bCs/>
          <w:i/>
          <w:sz w:val="22"/>
          <w:szCs w:val="22"/>
        </w:rPr>
        <w:t>orgán verejnej moci,“</w:t>
      </w:r>
      <w:r w:rsidR="001C4D24" w:rsidRPr="008B7143">
        <w:rPr>
          <w:rFonts w:ascii="Book Antiqua" w:hAnsi="Book Antiqua"/>
          <w:bCs/>
          <w:sz w:val="22"/>
          <w:szCs w:val="22"/>
        </w:rPr>
        <w:t xml:space="preserve"> ktoré je </w:t>
      </w:r>
      <w:r w:rsidR="006105CA" w:rsidRPr="008B7143">
        <w:rPr>
          <w:rFonts w:ascii="Book Antiqua" w:hAnsi="Book Antiqua"/>
          <w:bCs/>
          <w:sz w:val="22"/>
          <w:szCs w:val="22"/>
        </w:rPr>
        <w:t xml:space="preserve">v </w:t>
      </w:r>
      <w:r w:rsidR="001C4D24" w:rsidRPr="008B7143">
        <w:rPr>
          <w:rFonts w:ascii="Book Antiqua" w:hAnsi="Book Antiqua"/>
          <w:bCs/>
          <w:sz w:val="22"/>
          <w:szCs w:val="22"/>
        </w:rPr>
        <w:t>právnej teórii pomerne frekventovaným výrazom</w:t>
      </w:r>
      <w:r w:rsidR="00BB5A22" w:rsidRPr="008B7143">
        <w:rPr>
          <w:rFonts w:ascii="Book Antiqua" w:hAnsi="Book Antiqua"/>
          <w:bCs/>
          <w:sz w:val="22"/>
          <w:szCs w:val="22"/>
        </w:rPr>
        <w:t xml:space="preserve">, pričom jeho základný rozsah vymedzil už </w:t>
      </w:r>
      <w:r w:rsidR="001C4D24" w:rsidRPr="008B7143">
        <w:rPr>
          <w:rFonts w:ascii="Book Antiqua" w:hAnsi="Book Antiqua"/>
          <w:bCs/>
          <w:sz w:val="22"/>
          <w:szCs w:val="22"/>
        </w:rPr>
        <w:t xml:space="preserve"> </w:t>
      </w:r>
      <w:r w:rsidR="00BB5A22" w:rsidRPr="008B7143">
        <w:rPr>
          <w:rFonts w:ascii="Book Antiqua" w:hAnsi="Book Antiqua"/>
          <w:bCs/>
          <w:sz w:val="22"/>
          <w:szCs w:val="22"/>
        </w:rPr>
        <w:t>Ústavný súd ČSFR:</w:t>
      </w:r>
      <w:r w:rsidR="00BB5A22" w:rsidRPr="008B7143">
        <w:rPr>
          <w:rFonts w:ascii="Book Antiqua" w:hAnsi="Book Antiqua"/>
          <w:b/>
          <w:bCs/>
          <w:sz w:val="22"/>
          <w:szCs w:val="22"/>
        </w:rPr>
        <w:t xml:space="preserve"> </w:t>
      </w:r>
      <w:r w:rsidR="00BB5A22" w:rsidRPr="008B7143">
        <w:rPr>
          <w:rFonts w:ascii="Book Antiqua" w:hAnsi="Book Antiqua"/>
          <w:bCs/>
          <w:sz w:val="22"/>
          <w:szCs w:val="22"/>
        </w:rPr>
        <w:t>„</w:t>
      </w:r>
      <w:r w:rsidR="008D0798" w:rsidRPr="008B7143">
        <w:rPr>
          <w:rFonts w:ascii="Book Antiqua" w:hAnsi="Book Antiqua"/>
          <w:bCs/>
          <w:i/>
          <w:sz w:val="22"/>
          <w:szCs w:val="22"/>
        </w:rPr>
        <w:t>Verejnou mocou je taká moc, ktorá auto</w:t>
      </w:r>
      <w:r w:rsidR="003159B0">
        <w:rPr>
          <w:rFonts w:ascii="Book Antiqua" w:hAnsi="Book Antiqua"/>
          <w:bCs/>
          <w:i/>
          <w:sz w:val="22"/>
          <w:szCs w:val="22"/>
        </w:rPr>
        <w:t xml:space="preserve">ritatívne rozhoduje o právach a </w:t>
      </w:r>
      <w:r w:rsidR="008D0798" w:rsidRPr="008B7143">
        <w:rPr>
          <w:rFonts w:ascii="Book Antiqua" w:hAnsi="Book Antiqua"/>
          <w:bCs/>
          <w:i/>
          <w:sz w:val="22"/>
          <w:szCs w:val="22"/>
        </w:rPr>
        <w:t xml:space="preserve">povinnostiach subjektov, či už priamo, alebo sprostredkovane. Subjekt, o  ktorého právach alebo povinnostiach rozhoduje orgán verejnej moci, nie je v  rovnoprávnom postavení s týmto </w:t>
      </w:r>
      <w:r w:rsidR="002158F9" w:rsidRPr="008B7143">
        <w:rPr>
          <w:rFonts w:ascii="Book Antiqua" w:hAnsi="Book Antiqua"/>
          <w:bCs/>
          <w:i/>
          <w:sz w:val="22"/>
          <w:szCs w:val="22"/>
        </w:rPr>
        <w:t>orgánom a </w:t>
      </w:r>
      <w:r w:rsidR="008D0798" w:rsidRPr="008B7143">
        <w:rPr>
          <w:rFonts w:ascii="Book Antiqua" w:hAnsi="Book Antiqua"/>
          <w:bCs/>
          <w:i/>
          <w:sz w:val="22"/>
          <w:szCs w:val="22"/>
        </w:rPr>
        <w:t>obsah rozhodnutia tohto orgánu nezávisí od vôle subjektu.</w:t>
      </w:r>
      <w:r w:rsidR="00BB5A22" w:rsidRPr="008B7143">
        <w:rPr>
          <w:rFonts w:ascii="Book Antiqua" w:hAnsi="Book Antiqua"/>
          <w:bCs/>
          <w:i/>
          <w:sz w:val="22"/>
          <w:szCs w:val="22"/>
        </w:rPr>
        <w:t>“</w:t>
      </w:r>
      <w:r w:rsidR="008D0798" w:rsidRPr="008B7143">
        <w:rPr>
          <w:rFonts w:ascii="Book Antiqua" w:hAnsi="Book Antiqua"/>
          <w:bCs/>
          <w:i/>
          <w:sz w:val="22"/>
          <w:szCs w:val="22"/>
        </w:rPr>
        <w:t xml:space="preserve"> </w:t>
      </w:r>
      <w:r w:rsidR="008D0798" w:rsidRPr="008B7143">
        <w:rPr>
          <w:rFonts w:ascii="Book Antiqua" w:hAnsi="Book Antiqua"/>
          <w:bCs/>
          <w:sz w:val="22"/>
          <w:szCs w:val="22"/>
        </w:rPr>
        <w:t>(sp. zn. I. ÚS 191/92)</w:t>
      </w:r>
      <w:r w:rsidR="00E334EB" w:rsidRPr="008B7143">
        <w:rPr>
          <w:rFonts w:ascii="Book Antiqua" w:hAnsi="Book Antiqua"/>
          <w:bCs/>
          <w:sz w:val="22"/>
          <w:szCs w:val="22"/>
        </w:rPr>
        <w:t>.</w:t>
      </w:r>
      <w:r w:rsidR="00F37BA3" w:rsidRPr="008B7143">
        <w:rPr>
          <w:rFonts w:ascii="Book Antiqua" w:hAnsi="Book Antiqua"/>
          <w:bCs/>
          <w:sz w:val="22"/>
          <w:szCs w:val="22"/>
        </w:rPr>
        <w:t xml:space="preserve"> Pojem „verejný činiteľ“ sa zároveň uprednostnil pred pojmom „verejný funkcionár“ v zmysle ústavného zákona č. 357/2004 Z. z. o ochrane verejného záujmu pri výkone funkcií verejných funkcionárov v znení neskorších predpisov, keďže má širší rozsah.</w:t>
      </w:r>
    </w:p>
    <w:p w:rsidR="00504BC8" w:rsidRPr="008B7143" w:rsidRDefault="00504BC8" w:rsidP="00E334EB">
      <w:pPr>
        <w:pStyle w:val="Normlnywebov"/>
        <w:spacing w:before="120" w:beforeAutospacing="0" w:after="0" w:afterAutospacing="0" w:line="276" w:lineRule="auto"/>
        <w:ind w:firstLine="708"/>
        <w:jc w:val="both"/>
        <w:rPr>
          <w:rFonts w:ascii="Book Antiqua" w:hAnsi="Book Antiqua"/>
          <w:b/>
          <w:bCs/>
          <w:sz w:val="22"/>
          <w:szCs w:val="22"/>
        </w:rPr>
      </w:pPr>
      <w:r w:rsidRPr="008B7143">
        <w:rPr>
          <w:rFonts w:ascii="Book Antiqua" w:hAnsi="Book Antiqua"/>
          <w:bCs/>
          <w:sz w:val="22"/>
          <w:szCs w:val="22"/>
        </w:rPr>
        <w:t xml:space="preserve">Konkrétna legálna definícia pojmu </w:t>
      </w:r>
      <w:r w:rsidR="003159B0">
        <w:rPr>
          <w:rFonts w:ascii="Book Antiqua" w:hAnsi="Book Antiqua"/>
          <w:bCs/>
          <w:sz w:val="22"/>
          <w:szCs w:val="22"/>
        </w:rPr>
        <w:t>„</w:t>
      </w:r>
      <w:r w:rsidRPr="003159B0">
        <w:rPr>
          <w:rFonts w:ascii="Book Antiqua" w:hAnsi="Book Antiqua"/>
          <w:bCs/>
          <w:i/>
          <w:sz w:val="22"/>
          <w:szCs w:val="22"/>
        </w:rPr>
        <w:t>orgán verejnej moci</w:t>
      </w:r>
      <w:r w:rsidR="003159B0">
        <w:rPr>
          <w:rFonts w:ascii="Book Antiqua" w:hAnsi="Book Antiqua"/>
          <w:bCs/>
          <w:sz w:val="22"/>
          <w:szCs w:val="22"/>
        </w:rPr>
        <w:t>“</w:t>
      </w:r>
      <w:r w:rsidRPr="008B7143">
        <w:rPr>
          <w:rFonts w:ascii="Book Antiqua" w:hAnsi="Book Antiqua"/>
          <w:bCs/>
          <w:sz w:val="22"/>
          <w:szCs w:val="22"/>
        </w:rPr>
        <w:t xml:space="preserve">  sa nachádza v § 2 písm. b) zákona č. 514/2003 Z. z. o zodpovednosti za škodu spôsobenú pri výkone verejnej moci a o zmene niektorých zákonov</w:t>
      </w:r>
      <w:r w:rsidR="004B5174" w:rsidRPr="008B7143">
        <w:rPr>
          <w:rFonts w:ascii="Book Antiqua" w:hAnsi="Book Antiqua"/>
          <w:bCs/>
          <w:sz w:val="22"/>
          <w:szCs w:val="22"/>
        </w:rPr>
        <w:t xml:space="preserve"> (ďalej len „zákon č. 514/2003 Z. z.“)</w:t>
      </w:r>
      <w:r w:rsidRPr="008B7143">
        <w:rPr>
          <w:rFonts w:ascii="Book Antiqua" w:hAnsi="Book Antiqua"/>
          <w:bCs/>
          <w:sz w:val="22"/>
          <w:szCs w:val="22"/>
        </w:rPr>
        <w:t xml:space="preserve">, v zmysle ktorej je možné za orgán verejnej moci považovať </w:t>
      </w:r>
      <w:r w:rsidRPr="008B7143">
        <w:rPr>
          <w:rFonts w:ascii="Book Antiqua" w:hAnsi="Book Antiqua"/>
          <w:b/>
          <w:bCs/>
          <w:sz w:val="22"/>
          <w:szCs w:val="22"/>
        </w:rPr>
        <w:t xml:space="preserve">štátny orgán, orgán územnej samosprávy, verejnoprávnu inštitúciu, orgán záujmovej samosprávy, fyzická osoba </w:t>
      </w:r>
      <w:r w:rsidRPr="008B7143">
        <w:rPr>
          <w:rFonts w:ascii="Book Antiqua" w:hAnsi="Book Antiqua"/>
          <w:bCs/>
          <w:sz w:val="22"/>
          <w:szCs w:val="22"/>
        </w:rPr>
        <w:t>alebo</w:t>
      </w:r>
      <w:r w:rsidRPr="008B7143">
        <w:rPr>
          <w:rFonts w:ascii="Book Antiqua" w:hAnsi="Book Antiqua"/>
          <w:b/>
          <w:bCs/>
          <w:sz w:val="22"/>
          <w:szCs w:val="22"/>
        </w:rPr>
        <w:t xml:space="preserve"> právnická osoba, ktorým zákon zveril výkon verejnej moci</w:t>
      </w:r>
      <w:r w:rsidRPr="008B7143">
        <w:rPr>
          <w:rFonts w:ascii="Book Antiqua" w:hAnsi="Book Antiqua"/>
          <w:bCs/>
          <w:sz w:val="22"/>
          <w:szCs w:val="22"/>
        </w:rPr>
        <w:t>.</w:t>
      </w:r>
    </w:p>
    <w:p w:rsidR="00426013" w:rsidRPr="008B7143" w:rsidRDefault="002158F9"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Aktívne legitimovaný subjekt </w:t>
      </w:r>
      <w:r w:rsidR="004F6B99" w:rsidRPr="008B7143">
        <w:rPr>
          <w:rFonts w:ascii="Book Antiqua" w:hAnsi="Book Antiqua"/>
          <w:bCs/>
          <w:sz w:val="22"/>
          <w:szCs w:val="22"/>
        </w:rPr>
        <w:t xml:space="preserve">pre konanie podľa tohto návrhu zákona je označený ako </w:t>
      </w:r>
      <w:r w:rsidR="004F6B99" w:rsidRPr="008B7143">
        <w:rPr>
          <w:rFonts w:ascii="Book Antiqua" w:hAnsi="Book Antiqua"/>
          <w:b/>
          <w:bCs/>
          <w:sz w:val="22"/>
          <w:szCs w:val="22"/>
        </w:rPr>
        <w:t>tretia osoba</w:t>
      </w:r>
      <w:r w:rsidR="004F6B99" w:rsidRPr="008B7143">
        <w:rPr>
          <w:rFonts w:ascii="Book Antiqua" w:hAnsi="Book Antiqua"/>
          <w:bCs/>
          <w:sz w:val="22"/>
          <w:szCs w:val="22"/>
        </w:rPr>
        <w:t xml:space="preserve">, pričom je ním každá </w:t>
      </w:r>
      <w:r w:rsidR="00426013" w:rsidRPr="008B7143">
        <w:rPr>
          <w:rFonts w:ascii="Book Antiqua" w:hAnsi="Book Antiqua"/>
          <w:bCs/>
          <w:sz w:val="22"/>
          <w:szCs w:val="22"/>
        </w:rPr>
        <w:t>fyzická osoba alebo právnická osoba, ktorá má spôsobilosť mať práva</w:t>
      </w:r>
      <w:r w:rsidR="004F6B99" w:rsidRPr="008B7143">
        <w:rPr>
          <w:rFonts w:ascii="Book Antiqua" w:hAnsi="Book Antiqua"/>
          <w:bCs/>
          <w:sz w:val="22"/>
          <w:szCs w:val="22"/>
        </w:rPr>
        <w:t xml:space="preserve"> a povinnosti. Inak povedené – je ním každá osoba s procesnou subjektivitou.</w:t>
      </w:r>
    </w:p>
    <w:p w:rsidR="004F6B99" w:rsidRPr="008B7143" w:rsidRDefault="00DB65B8" w:rsidP="00DB65B8">
      <w:pPr>
        <w:pStyle w:val="Normlnywebov"/>
        <w:spacing w:before="120" w:beforeAutospacing="0" w:after="0" w:afterAutospacing="0" w:line="276" w:lineRule="auto"/>
        <w:ind w:firstLine="708"/>
        <w:jc w:val="both"/>
        <w:rPr>
          <w:rFonts w:ascii="Book Antiqua" w:hAnsi="Book Antiqua"/>
          <w:bCs/>
          <w:sz w:val="22"/>
          <w:szCs w:val="22"/>
        </w:rPr>
      </w:pPr>
      <w:r>
        <w:rPr>
          <w:rFonts w:ascii="Book Antiqua" w:hAnsi="Book Antiqua"/>
          <w:bCs/>
          <w:sz w:val="22"/>
          <w:szCs w:val="22"/>
        </w:rPr>
        <w:t>Ďalším</w:t>
      </w:r>
      <w:r w:rsidR="004F6B99" w:rsidRPr="008B7143">
        <w:rPr>
          <w:rFonts w:ascii="Book Antiqua" w:hAnsi="Book Antiqua"/>
          <w:bCs/>
          <w:sz w:val="22"/>
          <w:szCs w:val="22"/>
        </w:rPr>
        <w:t xml:space="preserve"> definovaným pojmom v návrhu zákona </w:t>
      </w:r>
      <w:r w:rsidR="00CF2B4F" w:rsidRPr="008B7143">
        <w:rPr>
          <w:rFonts w:ascii="Book Antiqua" w:hAnsi="Book Antiqua"/>
          <w:bCs/>
          <w:sz w:val="22"/>
          <w:szCs w:val="22"/>
        </w:rPr>
        <w:t xml:space="preserve">je </w:t>
      </w:r>
      <w:r w:rsidR="004F6B99" w:rsidRPr="008B7143">
        <w:rPr>
          <w:rFonts w:ascii="Book Antiqua" w:hAnsi="Book Antiqua"/>
          <w:b/>
          <w:bCs/>
          <w:sz w:val="22"/>
          <w:szCs w:val="22"/>
        </w:rPr>
        <w:t>orgán konajúci</w:t>
      </w:r>
      <w:r w:rsidR="00426013" w:rsidRPr="008B7143">
        <w:rPr>
          <w:rFonts w:ascii="Book Antiqua" w:hAnsi="Book Antiqua"/>
          <w:b/>
          <w:bCs/>
          <w:sz w:val="22"/>
          <w:szCs w:val="22"/>
        </w:rPr>
        <w:t xml:space="preserve"> v mene štátu</w:t>
      </w:r>
      <w:r w:rsidR="004F6B99" w:rsidRPr="008B7143">
        <w:rPr>
          <w:rFonts w:ascii="Book Antiqua" w:hAnsi="Book Antiqua"/>
          <w:bCs/>
          <w:sz w:val="22"/>
          <w:szCs w:val="22"/>
        </w:rPr>
        <w:t xml:space="preserve">  - v zmysle návrhu zákona je takýmto orgánom</w:t>
      </w:r>
      <w:r w:rsidR="00426013" w:rsidRPr="008B7143">
        <w:rPr>
          <w:rFonts w:ascii="Book Antiqua" w:hAnsi="Book Antiqua"/>
          <w:bCs/>
          <w:sz w:val="22"/>
          <w:szCs w:val="22"/>
        </w:rPr>
        <w:t xml:space="preserve"> Generálna p</w:t>
      </w:r>
      <w:r w:rsidR="008669A3" w:rsidRPr="008B7143">
        <w:rPr>
          <w:rFonts w:ascii="Book Antiqua" w:hAnsi="Book Antiqua"/>
          <w:bCs/>
          <w:sz w:val="22"/>
          <w:szCs w:val="22"/>
        </w:rPr>
        <w:t>rokuratúra Slovenskej republiky (ďalej len „generálna prokuratúra“).</w:t>
      </w:r>
      <w:r>
        <w:rPr>
          <w:rFonts w:ascii="Book Antiqua" w:hAnsi="Book Antiqua"/>
          <w:bCs/>
          <w:sz w:val="22"/>
          <w:szCs w:val="22"/>
        </w:rPr>
        <w:t xml:space="preserve"> Novinkou je definícia pojmu hrubá nedbanlivosť.</w:t>
      </w:r>
    </w:p>
    <w:p w:rsidR="004F6B99" w:rsidRPr="008B7143" w:rsidRDefault="004B5174" w:rsidP="00E334EB">
      <w:pPr>
        <w:pStyle w:val="Normlnywebov"/>
        <w:spacing w:before="120" w:beforeAutospacing="0" w:after="0" w:afterAutospacing="0" w:line="276" w:lineRule="auto"/>
        <w:ind w:firstLine="708"/>
        <w:jc w:val="both"/>
        <w:rPr>
          <w:rFonts w:ascii="Book Antiqua" w:hAnsi="Book Antiqua"/>
          <w:b/>
          <w:bCs/>
          <w:sz w:val="22"/>
          <w:szCs w:val="22"/>
        </w:rPr>
      </w:pPr>
      <w:r w:rsidRPr="008B7143">
        <w:rPr>
          <w:rFonts w:ascii="Book Antiqua" w:hAnsi="Book Antiqua"/>
          <w:bCs/>
          <w:sz w:val="22"/>
          <w:szCs w:val="22"/>
        </w:rPr>
        <w:t>D</w:t>
      </w:r>
      <w:r w:rsidR="004F6B99" w:rsidRPr="008B7143">
        <w:rPr>
          <w:rFonts w:ascii="Book Antiqua" w:hAnsi="Book Antiqua"/>
          <w:bCs/>
          <w:sz w:val="22"/>
          <w:szCs w:val="22"/>
        </w:rPr>
        <w:t>ruh</w:t>
      </w:r>
      <w:r w:rsidRPr="008B7143">
        <w:rPr>
          <w:rFonts w:ascii="Book Antiqua" w:hAnsi="Book Antiqua"/>
          <w:bCs/>
          <w:sz w:val="22"/>
          <w:szCs w:val="22"/>
        </w:rPr>
        <w:t>á časť</w:t>
      </w:r>
      <w:r w:rsidR="004F6B99" w:rsidRPr="008B7143">
        <w:rPr>
          <w:rFonts w:ascii="Book Antiqua" w:hAnsi="Book Antiqua"/>
          <w:bCs/>
          <w:sz w:val="22"/>
          <w:szCs w:val="22"/>
        </w:rPr>
        <w:t xml:space="preserve"> návrhu zákona</w:t>
      </w:r>
      <w:r w:rsidRPr="008B7143">
        <w:rPr>
          <w:rFonts w:ascii="Book Antiqua" w:hAnsi="Book Antiqua"/>
          <w:bCs/>
          <w:sz w:val="22"/>
          <w:szCs w:val="22"/>
        </w:rPr>
        <w:t>,</w:t>
      </w:r>
      <w:r w:rsidR="004F6B99" w:rsidRPr="008B7143">
        <w:rPr>
          <w:rFonts w:ascii="Book Antiqua" w:hAnsi="Book Antiqua"/>
          <w:bCs/>
          <w:sz w:val="22"/>
          <w:szCs w:val="22"/>
        </w:rPr>
        <w:t xml:space="preserve"> </w:t>
      </w:r>
      <w:r w:rsidRPr="008B7143">
        <w:rPr>
          <w:rFonts w:ascii="Book Antiqua" w:hAnsi="Book Antiqua"/>
          <w:bCs/>
          <w:sz w:val="22"/>
          <w:szCs w:val="22"/>
        </w:rPr>
        <w:t>nazvaná</w:t>
      </w:r>
      <w:r w:rsidR="004F6B99" w:rsidRPr="008B7143">
        <w:rPr>
          <w:rFonts w:ascii="Book Antiqua" w:hAnsi="Book Antiqua"/>
          <w:bCs/>
          <w:sz w:val="22"/>
          <w:szCs w:val="22"/>
        </w:rPr>
        <w:t xml:space="preserve"> </w:t>
      </w:r>
      <w:r w:rsidR="004F6B99" w:rsidRPr="008B7143">
        <w:rPr>
          <w:rFonts w:ascii="Book Antiqua" w:hAnsi="Book Antiqua"/>
          <w:b/>
          <w:bCs/>
          <w:sz w:val="22"/>
          <w:szCs w:val="22"/>
        </w:rPr>
        <w:t>zodpovednosť za škodu spôsobenú štátu</w:t>
      </w:r>
      <w:r w:rsidRPr="008B7143">
        <w:rPr>
          <w:rFonts w:ascii="Book Antiqua" w:hAnsi="Book Antiqua"/>
          <w:bCs/>
          <w:sz w:val="22"/>
          <w:szCs w:val="22"/>
        </w:rPr>
        <w:t xml:space="preserve">, sa skladá z jedného paragrafu, ktorý vymedzuje </w:t>
      </w:r>
      <w:r w:rsidRPr="008B7143">
        <w:rPr>
          <w:rFonts w:ascii="Book Antiqua" w:hAnsi="Book Antiqua"/>
          <w:b/>
          <w:bCs/>
          <w:sz w:val="22"/>
          <w:szCs w:val="22"/>
        </w:rPr>
        <w:t>rozsah takejto zodpovednosti.</w:t>
      </w:r>
    </w:p>
    <w:p w:rsidR="00877E09" w:rsidRPr="008B7143" w:rsidRDefault="004B5174"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Zodpovednosť za škodu spôsobenú štátu je typovo novým druhom zodpovednosti, ktorý v súčasnosti v slovenskom právnom systéme absentuje, a to aj napriek tomu, že v minulosti už existovali snahy o začlenenie tohto druhu zodpovednostného vzťahu priamo do zákona č. 514/2003 Z. z. (</w:t>
      </w:r>
      <w:r w:rsidR="008674FB" w:rsidRPr="008674FB">
        <w:rPr>
          <w:rFonts w:ascii="Book Antiqua" w:hAnsi="Book Antiqua"/>
          <w:bCs/>
          <w:sz w:val="22"/>
          <w:szCs w:val="22"/>
        </w:rPr>
        <w:t xml:space="preserve">napr. </w:t>
      </w:r>
      <w:r w:rsidRPr="008674FB">
        <w:rPr>
          <w:rFonts w:ascii="Book Antiqua" w:hAnsi="Book Antiqua"/>
          <w:bCs/>
          <w:sz w:val="22"/>
          <w:szCs w:val="22"/>
        </w:rPr>
        <w:t>pos</w:t>
      </w:r>
      <w:r w:rsidR="00395B4F" w:rsidRPr="008674FB">
        <w:rPr>
          <w:rFonts w:ascii="Book Antiqua" w:hAnsi="Book Antiqua"/>
          <w:bCs/>
          <w:sz w:val="22"/>
          <w:szCs w:val="22"/>
        </w:rPr>
        <w:t>lanecký návrh zákona z roku 201</w:t>
      </w:r>
      <w:r w:rsidR="007B369C">
        <w:rPr>
          <w:rFonts w:ascii="Book Antiqua" w:hAnsi="Book Antiqua"/>
          <w:bCs/>
          <w:sz w:val="22"/>
          <w:szCs w:val="22"/>
        </w:rPr>
        <w:t>9</w:t>
      </w:r>
      <w:r w:rsidRPr="008674FB">
        <w:rPr>
          <w:rFonts w:ascii="Book Antiqua" w:hAnsi="Book Antiqua"/>
          <w:bCs/>
          <w:sz w:val="22"/>
          <w:szCs w:val="22"/>
        </w:rPr>
        <w:t>, Č</w:t>
      </w:r>
      <w:r w:rsidR="00395B4F" w:rsidRPr="008674FB">
        <w:rPr>
          <w:rFonts w:ascii="Book Antiqua" w:hAnsi="Book Antiqua"/>
          <w:bCs/>
          <w:sz w:val="22"/>
          <w:szCs w:val="22"/>
        </w:rPr>
        <w:t xml:space="preserve">PT </w:t>
      </w:r>
      <w:r w:rsidR="007B369C">
        <w:rPr>
          <w:rFonts w:ascii="Book Antiqua" w:hAnsi="Book Antiqua"/>
          <w:bCs/>
          <w:sz w:val="22"/>
          <w:szCs w:val="22"/>
        </w:rPr>
        <w:t>1405</w:t>
      </w:r>
      <w:r w:rsidRPr="008B7143">
        <w:rPr>
          <w:rFonts w:ascii="Book Antiqua" w:hAnsi="Book Antiqua"/>
          <w:bCs/>
          <w:sz w:val="22"/>
          <w:szCs w:val="22"/>
        </w:rPr>
        <w:t>).</w:t>
      </w:r>
      <w:r w:rsidR="001167A5" w:rsidRPr="008B7143">
        <w:rPr>
          <w:rFonts w:ascii="Book Antiqua" w:hAnsi="Book Antiqua"/>
          <w:bCs/>
          <w:sz w:val="22"/>
          <w:szCs w:val="22"/>
        </w:rPr>
        <w:t xml:space="preserve"> </w:t>
      </w:r>
      <w:r w:rsidR="001167A5" w:rsidRPr="008B7143">
        <w:rPr>
          <w:rFonts w:ascii="Book Antiqua" w:hAnsi="Book Antiqua"/>
          <w:bCs/>
          <w:sz w:val="22"/>
          <w:szCs w:val="22"/>
        </w:rPr>
        <w:lastRenderedPageBreak/>
        <w:t>Vzhľadom na osobitný proces uplatňovania nového zodpovednostného právneho vzťahu sa rozhodli navrhovatelia vytvoriť samostatný zákonný rámec a nevydali sa cestou novelizácie existujúcich zákonov.</w:t>
      </w:r>
    </w:p>
    <w:p w:rsidR="00877E09" w:rsidRPr="008B7143" w:rsidRDefault="00877E09"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Mechanizmus vzniku zodpovednosti je založený na elementárnom štandarde spočívajúcom v povinnosti verejných činiteľov postupovať pri nakladaní s verejnými prostriedkami s </w:t>
      </w:r>
      <w:r w:rsidRPr="008B7143">
        <w:rPr>
          <w:rFonts w:ascii="Book Antiqua" w:hAnsi="Book Antiqua"/>
          <w:b/>
          <w:bCs/>
          <w:sz w:val="22"/>
          <w:szCs w:val="22"/>
        </w:rPr>
        <w:t xml:space="preserve">odbornou starostlivosťou, hospodárne, efektívne </w:t>
      </w:r>
      <w:r w:rsidRPr="008B7143">
        <w:rPr>
          <w:rFonts w:ascii="Book Antiqua" w:hAnsi="Book Antiqua"/>
          <w:bCs/>
          <w:sz w:val="22"/>
          <w:szCs w:val="22"/>
        </w:rPr>
        <w:t>a</w:t>
      </w:r>
      <w:r w:rsidRPr="008B7143">
        <w:rPr>
          <w:rFonts w:ascii="Book Antiqua" w:hAnsi="Book Antiqua"/>
          <w:b/>
          <w:bCs/>
          <w:sz w:val="22"/>
          <w:szCs w:val="22"/>
        </w:rPr>
        <w:t xml:space="preserve"> v súlade s účelom ich použitia</w:t>
      </w:r>
      <w:r w:rsidRPr="008B7143">
        <w:rPr>
          <w:rFonts w:ascii="Book Antiqua" w:hAnsi="Book Antiqua"/>
          <w:bCs/>
          <w:sz w:val="22"/>
          <w:szCs w:val="22"/>
        </w:rPr>
        <w:t xml:space="preserve">.  </w:t>
      </w:r>
    </w:p>
    <w:p w:rsidR="00877E09" w:rsidRPr="008B7143" w:rsidRDefault="00877E09"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Porušenie tejto povinnosti je konštitutívnym momentom vzniku zodpovednostného vzťahu medzi verejným činiteľom a štátom samotným, pričom zodpovednosť je koncipovaná na princípe subjektívnej zodpovednosti v právnom režime </w:t>
      </w:r>
      <w:r w:rsidRPr="008B7143">
        <w:rPr>
          <w:rFonts w:ascii="Book Antiqua" w:hAnsi="Book Antiqua"/>
          <w:b/>
          <w:bCs/>
          <w:sz w:val="22"/>
          <w:szCs w:val="22"/>
        </w:rPr>
        <w:t>zavinenia</w:t>
      </w:r>
      <w:r w:rsidRPr="008B7143">
        <w:rPr>
          <w:rFonts w:ascii="Book Antiqua" w:hAnsi="Book Antiqua"/>
          <w:bCs/>
          <w:sz w:val="22"/>
          <w:szCs w:val="22"/>
        </w:rPr>
        <w:t xml:space="preserve"> na úrovni </w:t>
      </w:r>
      <w:r w:rsidRPr="008B7143">
        <w:rPr>
          <w:rFonts w:ascii="Book Antiqua" w:hAnsi="Book Antiqua"/>
          <w:b/>
          <w:bCs/>
          <w:sz w:val="22"/>
          <w:szCs w:val="22"/>
        </w:rPr>
        <w:t>vedomej nedbanlivosti</w:t>
      </w:r>
      <w:r w:rsidRPr="008B7143">
        <w:rPr>
          <w:rFonts w:ascii="Book Antiqua" w:hAnsi="Book Antiqua"/>
          <w:bCs/>
          <w:sz w:val="22"/>
          <w:szCs w:val="22"/>
        </w:rPr>
        <w:t xml:space="preserve">. V zmysle zaužívanej </w:t>
      </w:r>
      <w:r w:rsidR="00CF2B4F" w:rsidRPr="008B7143">
        <w:rPr>
          <w:rFonts w:ascii="Book Antiqua" w:hAnsi="Book Antiqua"/>
          <w:bCs/>
          <w:sz w:val="22"/>
          <w:szCs w:val="22"/>
        </w:rPr>
        <w:t xml:space="preserve">aplikačnej praxe, takto </w:t>
      </w:r>
      <w:r w:rsidRPr="008B7143">
        <w:rPr>
          <w:rFonts w:ascii="Book Antiqua" w:hAnsi="Book Antiqua"/>
          <w:bCs/>
          <w:sz w:val="22"/>
          <w:szCs w:val="22"/>
        </w:rPr>
        <w:t xml:space="preserve">stanovená hranica zodpovednosti znamená, že verejný činiteľ je zodpovedný za vzniknutú škodu nielen v situáciách, keď vedel, že svojim konaním mohol spôsobiť škodu, no spoliehal sa na to, že ju nespôsobí, ale aj v prípadoch úmyselného zavinenia škody. </w:t>
      </w:r>
    </w:p>
    <w:p w:rsidR="00877E09" w:rsidRPr="008B7143" w:rsidRDefault="00877E09"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Významným prvkom občianskoprávneho inštitútu zodpovednosti za škodu je aj stanovenie zákonnej možnosti vyvinenia (</w:t>
      </w:r>
      <w:r w:rsidRPr="008B7143">
        <w:rPr>
          <w:rFonts w:ascii="Book Antiqua" w:hAnsi="Book Antiqua"/>
          <w:b/>
          <w:bCs/>
          <w:sz w:val="22"/>
          <w:szCs w:val="22"/>
        </w:rPr>
        <w:t>exkulpácie</w:t>
      </w:r>
      <w:r w:rsidRPr="008B7143">
        <w:rPr>
          <w:rFonts w:ascii="Book Antiqua" w:hAnsi="Book Antiqua"/>
          <w:bCs/>
          <w:sz w:val="22"/>
          <w:szCs w:val="22"/>
        </w:rPr>
        <w:t>), ktorá je v tomto prípade podmienená preukázaním toho, že verejný činiteľ nemohol objektívne konať iným s</w:t>
      </w:r>
      <w:r w:rsidR="002F3602" w:rsidRPr="008B7143">
        <w:rPr>
          <w:rFonts w:ascii="Book Antiqua" w:hAnsi="Book Antiqua"/>
          <w:bCs/>
          <w:sz w:val="22"/>
          <w:szCs w:val="22"/>
        </w:rPr>
        <w:t>pôsobom (napr. z dôvodu konania</w:t>
      </w:r>
      <w:r w:rsidRPr="008B7143">
        <w:rPr>
          <w:rFonts w:ascii="Book Antiqua" w:hAnsi="Book Antiqua"/>
          <w:bCs/>
          <w:sz w:val="22"/>
          <w:szCs w:val="22"/>
        </w:rPr>
        <w:t xml:space="preserve"> v dôsledku realizácie povinnosti, ktorá vyplývala zo všeobecného právneho predpisu).</w:t>
      </w:r>
    </w:p>
    <w:p w:rsidR="00877E09" w:rsidRPr="008B7143" w:rsidRDefault="00877E09"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 Návrh zákona taktiež </w:t>
      </w:r>
      <w:r w:rsidR="007A7E8F" w:rsidRPr="008B7143">
        <w:rPr>
          <w:rFonts w:ascii="Book Antiqua" w:hAnsi="Book Antiqua"/>
          <w:bCs/>
          <w:sz w:val="22"/>
          <w:szCs w:val="22"/>
        </w:rPr>
        <w:t>zohľadňuje situácie</w:t>
      </w:r>
      <w:r w:rsidRPr="008B7143">
        <w:rPr>
          <w:rFonts w:ascii="Book Antiqua" w:hAnsi="Book Antiqua"/>
          <w:bCs/>
          <w:sz w:val="22"/>
          <w:szCs w:val="22"/>
        </w:rPr>
        <w:t xml:space="preserve">, ak škoda vznikne spoločným konaním viacerých </w:t>
      </w:r>
      <w:r w:rsidR="007A7E8F" w:rsidRPr="008B7143">
        <w:rPr>
          <w:rFonts w:ascii="Book Antiqua" w:hAnsi="Book Antiqua"/>
          <w:bCs/>
          <w:sz w:val="22"/>
          <w:szCs w:val="22"/>
        </w:rPr>
        <w:t>verejných činiteľov. V takýchto prípadoch</w:t>
      </w:r>
      <w:r w:rsidRPr="008B7143">
        <w:rPr>
          <w:rFonts w:ascii="Book Antiqua" w:hAnsi="Book Antiqua"/>
          <w:bCs/>
          <w:sz w:val="22"/>
          <w:szCs w:val="22"/>
        </w:rPr>
        <w:t xml:space="preserve"> zavádza dva potenciálne</w:t>
      </w:r>
      <w:r w:rsidR="007A7E8F" w:rsidRPr="008B7143">
        <w:rPr>
          <w:rFonts w:ascii="Book Antiqua" w:hAnsi="Book Antiqua"/>
          <w:bCs/>
          <w:sz w:val="22"/>
          <w:szCs w:val="22"/>
        </w:rPr>
        <w:t xml:space="preserve"> aplikovateľné</w:t>
      </w:r>
      <w:r w:rsidRPr="008B7143">
        <w:rPr>
          <w:rFonts w:ascii="Book Antiqua" w:hAnsi="Book Antiqua"/>
          <w:bCs/>
          <w:sz w:val="22"/>
          <w:szCs w:val="22"/>
        </w:rPr>
        <w:t xml:space="preserve"> </w:t>
      </w:r>
      <w:r w:rsidR="007A7E8F" w:rsidRPr="008B7143">
        <w:rPr>
          <w:rFonts w:ascii="Book Antiqua" w:hAnsi="Book Antiqua"/>
          <w:bCs/>
          <w:sz w:val="22"/>
          <w:szCs w:val="22"/>
        </w:rPr>
        <w:t>režimy</w:t>
      </w:r>
      <w:r w:rsidRPr="008B7143">
        <w:rPr>
          <w:rFonts w:ascii="Book Antiqua" w:hAnsi="Book Antiqua"/>
          <w:bCs/>
          <w:sz w:val="22"/>
          <w:szCs w:val="22"/>
        </w:rPr>
        <w:t>. Jedným je pravidlo „</w:t>
      </w:r>
      <w:r w:rsidRPr="008B7143">
        <w:rPr>
          <w:rFonts w:ascii="Book Antiqua" w:hAnsi="Book Antiqua"/>
          <w:bCs/>
          <w:i/>
          <w:sz w:val="22"/>
          <w:szCs w:val="22"/>
        </w:rPr>
        <w:t>nevyhnutnosti právneho úkonu,“</w:t>
      </w:r>
      <w:r w:rsidRPr="008B7143">
        <w:rPr>
          <w:rFonts w:ascii="Book Antiqua" w:hAnsi="Book Antiqua"/>
          <w:bCs/>
          <w:sz w:val="22"/>
          <w:szCs w:val="22"/>
        </w:rPr>
        <w:t xml:space="preserve"> ktoré zavádza individuálnu zodpovednosť tej osoby, ktorá vykonala právny úkon nevyhnutný pre platnosť konania, ktoré spôsobilo škodu. Druhým je aplikácia zásad</w:t>
      </w:r>
      <w:r w:rsidR="007A7E8F" w:rsidRPr="008B7143">
        <w:rPr>
          <w:rFonts w:ascii="Book Antiqua" w:hAnsi="Book Antiqua"/>
          <w:bCs/>
          <w:sz w:val="22"/>
          <w:szCs w:val="22"/>
        </w:rPr>
        <w:t>y</w:t>
      </w:r>
      <w:r w:rsidRPr="008B7143">
        <w:rPr>
          <w:rFonts w:ascii="Book Antiqua" w:hAnsi="Book Antiqua"/>
          <w:bCs/>
          <w:sz w:val="22"/>
          <w:szCs w:val="22"/>
        </w:rPr>
        <w:t xml:space="preserve"> solidárnej zodpovednosti (zodpovednosť</w:t>
      </w:r>
      <w:r w:rsidR="007A7E8F" w:rsidRPr="008B7143">
        <w:rPr>
          <w:rFonts w:ascii="Book Antiqua" w:hAnsi="Book Antiqua"/>
          <w:bCs/>
          <w:sz w:val="22"/>
          <w:szCs w:val="22"/>
        </w:rPr>
        <w:t xml:space="preserve"> </w:t>
      </w:r>
      <w:r w:rsidRPr="008B7143">
        <w:rPr>
          <w:rFonts w:ascii="Book Antiqua" w:hAnsi="Book Antiqua"/>
          <w:bCs/>
          <w:sz w:val="22"/>
          <w:szCs w:val="22"/>
        </w:rPr>
        <w:t xml:space="preserve"> spoločne a nerozdielne) v taxatívne stanovených prípadoch. </w:t>
      </w:r>
    </w:p>
    <w:p w:rsidR="009B6B87" w:rsidRPr="008B7143" w:rsidRDefault="007A7E8F"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Ako už bolo uved</w:t>
      </w:r>
      <w:r w:rsidR="00CF2B4F" w:rsidRPr="008B7143">
        <w:rPr>
          <w:rFonts w:ascii="Book Antiqua" w:hAnsi="Book Antiqua"/>
          <w:bCs/>
          <w:sz w:val="22"/>
          <w:szCs w:val="22"/>
        </w:rPr>
        <w:t>ené, vymedzenie základného rámca</w:t>
      </w:r>
      <w:r w:rsidRPr="008B7143">
        <w:rPr>
          <w:rFonts w:ascii="Book Antiqua" w:hAnsi="Book Antiqua"/>
          <w:bCs/>
          <w:sz w:val="22"/>
          <w:szCs w:val="22"/>
        </w:rPr>
        <w:t xml:space="preserve"> právnej zodpovednosti verejných činite</w:t>
      </w:r>
      <w:r w:rsidR="00BD6BEE" w:rsidRPr="008B7143">
        <w:rPr>
          <w:rFonts w:ascii="Book Antiqua" w:hAnsi="Book Antiqua"/>
          <w:bCs/>
          <w:sz w:val="22"/>
          <w:szCs w:val="22"/>
        </w:rPr>
        <w:t>ľov za škodu spôsobenú štátu nie je žiadne nóvum, a to nielen vo vzťahu k pokusom o jej zaveden</w:t>
      </w:r>
      <w:r w:rsidR="00F37BA3" w:rsidRPr="008B7143">
        <w:rPr>
          <w:rFonts w:ascii="Book Antiqua" w:hAnsi="Book Antiqua"/>
          <w:bCs/>
          <w:sz w:val="22"/>
          <w:szCs w:val="22"/>
        </w:rPr>
        <w:t>ie na pôde slovenského parlamentu</w:t>
      </w:r>
      <w:r w:rsidR="00CF2B4F" w:rsidRPr="008B7143">
        <w:rPr>
          <w:rFonts w:ascii="Book Antiqua" w:hAnsi="Book Antiqua"/>
          <w:bCs/>
          <w:sz w:val="22"/>
          <w:szCs w:val="22"/>
        </w:rPr>
        <w:t>, ale aj vzhľadom na </w:t>
      </w:r>
      <w:r w:rsidR="00BD6BEE" w:rsidRPr="008B7143">
        <w:rPr>
          <w:rFonts w:ascii="Book Antiqua" w:hAnsi="Book Antiqua"/>
          <w:bCs/>
          <w:sz w:val="22"/>
          <w:szCs w:val="22"/>
        </w:rPr>
        <w:t xml:space="preserve">reálnu existenciu takejto úpravy v zahraničí.  </w:t>
      </w:r>
    </w:p>
    <w:p w:rsidR="00F37BA3" w:rsidRPr="008B7143" w:rsidRDefault="00BD6BEE"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V Rakúsku vyplýva takýto typ zodpovednosti priamo zo Spolkovej ústavy</w:t>
      </w:r>
      <w:r w:rsidRPr="008B7143">
        <w:rPr>
          <w:rFonts w:ascii="Book Antiqua" w:hAnsi="Book Antiqua"/>
          <w:sz w:val="22"/>
          <w:szCs w:val="22"/>
        </w:rPr>
        <w:t xml:space="preserve"> (</w:t>
      </w:r>
      <w:r w:rsidRPr="008B7143">
        <w:rPr>
          <w:rFonts w:ascii="Book Antiqua" w:hAnsi="Book Antiqua"/>
          <w:bCs/>
          <w:sz w:val="22"/>
          <w:szCs w:val="22"/>
        </w:rPr>
        <w:t>Bundes-Verfassungsgesetz, ďalej len „B-VG“) : „</w:t>
      </w:r>
      <w:r w:rsidRPr="008B7143">
        <w:rPr>
          <w:rFonts w:ascii="Book Antiqua" w:hAnsi="Book Antiqua"/>
          <w:bCs/>
          <w:i/>
          <w:sz w:val="22"/>
          <w:szCs w:val="22"/>
        </w:rPr>
        <w:t>V zmysle čl. 23 ods. 3 B-VG zodpovedajú osoby konajúce ako orgány štátu za škodu, ktorú štátu pri výkone zákonov protiprávnym konaním bezprostredne spôsobia. Podobne, ako je zodpovednosť voči súkromným osobám v zmysle čl. 23 ods. 1 B-VG detailnejšie upravená samostatným zákonom (AHG), je aj zodpovednosť orgá</w:t>
      </w:r>
      <w:r w:rsidR="009B6B87" w:rsidRPr="008B7143">
        <w:rPr>
          <w:rFonts w:ascii="Book Antiqua" w:hAnsi="Book Antiqua"/>
          <w:bCs/>
          <w:i/>
          <w:sz w:val="22"/>
          <w:szCs w:val="22"/>
        </w:rPr>
        <w:t>nov voči štátu v </w:t>
      </w:r>
      <w:r w:rsidRPr="008B7143">
        <w:rPr>
          <w:rFonts w:ascii="Book Antiqua" w:hAnsi="Book Antiqua"/>
          <w:bCs/>
          <w:i/>
          <w:sz w:val="22"/>
          <w:szCs w:val="22"/>
        </w:rPr>
        <w:t>nadväznosti na ústavnú úpravu podrobnejšie regulovaná zákonom o</w:t>
      </w:r>
      <w:r w:rsidR="00B734FE" w:rsidRPr="008B7143">
        <w:rPr>
          <w:rFonts w:ascii="Book Antiqua" w:hAnsi="Book Antiqua"/>
          <w:bCs/>
          <w:i/>
          <w:sz w:val="22"/>
          <w:szCs w:val="22"/>
        </w:rPr>
        <w:t xml:space="preserve"> zodpovednosti orgánov za </w:t>
      </w:r>
      <w:r w:rsidR="009B6B87" w:rsidRPr="008B7143">
        <w:rPr>
          <w:rFonts w:ascii="Book Antiqua" w:hAnsi="Book Antiqua"/>
          <w:bCs/>
          <w:i/>
          <w:sz w:val="22"/>
          <w:szCs w:val="22"/>
        </w:rPr>
        <w:t xml:space="preserve">škodu </w:t>
      </w:r>
      <w:r w:rsidRPr="008B7143">
        <w:rPr>
          <w:rFonts w:ascii="Book Antiqua" w:hAnsi="Book Antiqua"/>
          <w:bCs/>
          <w:i/>
          <w:sz w:val="22"/>
          <w:szCs w:val="22"/>
        </w:rPr>
        <w:t>(Organhaftpflichtgesetz</w:t>
      </w:r>
      <w:r w:rsidRPr="008B7143">
        <w:rPr>
          <w:rFonts w:ascii="Book Antiqua" w:hAnsi="Book Antiqua"/>
          <w:bCs/>
          <w:sz w:val="22"/>
          <w:szCs w:val="22"/>
        </w:rPr>
        <w:t xml:space="preserve">).“ </w:t>
      </w:r>
    </w:p>
    <w:p w:rsidR="00BD6BEE" w:rsidRPr="008B7143" w:rsidRDefault="009B6B87"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V uvedenom zákone je rozsah predmetnej zodpovednosti vymedzený obdobne, ako v predkladanom návrhu zákona: „</w:t>
      </w:r>
      <w:r w:rsidRPr="008B7143">
        <w:rPr>
          <w:rFonts w:ascii="Book Antiqua" w:hAnsi="Book Antiqua"/>
          <w:bCs/>
          <w:i/>
          <w:sz w:val="22"/>
          <w:szCs w:val="22"/>
        </w:rPr>
        <w:t xml:space="preserve">v zmysle rakúskeho zákona zodpovedajú osoby, ktoré konajú ako orgány spolkovej republiky, spolkových krajín, obcí a vymedzených iných verejnoprávnych korporácií, za majetkovú škodu, ktorú danému nositeľovi práva bezprostredne spôsobili pri výkone zákonov svojim protiprávnym a zavineným konaním. </w:t>
      </w:r>
      <w:r w:rsidR="00B734FE" w:rsidRPr="008B7143">
        <w:rPr>
          <w:rFonts w:ascii="Book Antiqua" w:hAnsi="Book Antiqua"/>
          <w:bCs/>
          <w:i/>
          <w:sz w:val="22"/>
          <w:szCs w:val="22"/>
        </w:rPr>
        <w:t>Ide o </w:t>
      </w:r>
      <w:r w:rsidRPr="008B7143">
        <w:rPr>
          <w:rFonts w:ascii="Book Antiqua" w:hAnsi="Book Antiqua"/>
          <w:bCs/>
          <w:i/>
          <w:sz w:val="22"/>
          <w:szCs w:val="22"/>
        </w:rPr>
        <w:t>subjektívnu zodpovednosť, nevyžaduje sa však úmyselné zavinenie.</w:t>
      </w:r>
      <w:r w:rsidRPr="008B7143">
        <w:rPr>
          <w:rFonts w:ascii="Book Antiqua" w:hAnsi="Book Antiqua"/>
          <w:bCs/>
          <w:sz w:val="22"/>
          <w:szCs w:val="22"/>
        </w:rPr>
        <w:t>“</w:t>
      </w:r>
      <w:r w:rsidR="00391A7C" w:rsidRPr="008B7143">
        <w:rPr>
          <w:rFonts w:ascii="Book Antiqua" w:hAnsi="Book Antiqua"/>
          <w:bCs/>
          <w:i/>
          <w:sz w:val="22"/>
          <w:szCs w:val="22"/>
        </w:rPr>
        <w:t xml:space="preserve"> </w:t>
      </w:r>
      <w:r w:rsidR="00BD6BEE" w:rsidRPr="008B7143">
        <w:rPr>
          <w:rFonts w:ascii="Book Antiqua" w:hAnsi="Book Antiqua"/>
          <w:bCs/>
          <w:sz w:val="22"/>
          <w:szCs w:val="22"/>
        </w:rPr>
        <w:t>[</w:t>
      </w:r>
      <w:r w:rsidRPr="008B7143">
        <w:rPr>
          <w:rFonts w:ascii="Book Antiqua" w:hAnsi="Book Antiqua"/>
          <w:bCs/>
          <w:sz w:val="22"/>
          <w:szCs w:val="22"/>
        </w:rPr>
        <w:t xml:space="preserve">v oboch prípadoch citované podľa </w:t>
      </w:r>
      <w:r w:rsidR="00BD6BEE" w:rsidRPr="008B7143">
        <w:rPr>
          <w:rFonts w:ascii="Book Antiqua" w:hAnsi="Book Antiqua"/>
          <w:bCs/>
          <w:sz w:val="22"/>
          <w:szCs w:val="22"/>
        </w:rPr>
        <w:t>Čaputová,</w:t>
      </w:r>
      <w:r w:rsidR="00C92063" w:rsidRPr="008B7143">
        <w:rPr>
          <w:rFonts w:ascii="Book Antiqua" w:hAnsi="Book Antiqua"/>
          <w:bCs/>
          <w:sz w:val="22"/>
          <w:szCs w:val="22"/>
        </w:rPr>
        <w:t xml:space="preserve"> </w:t>
      </w:r>
      <w:r w:rsidR="00BD6BEE" w:rsidRPr="008B7143">
        <w:rPr>
          <w:rFonts w:ascii="Book Antiqua" w:hAnsi="Book Antiqua"/>
          <w:bCs/>
          <w:sz w:val="22"/>
          <w:szCs w:val="22"/>
        </w:rPr>
        <w:t xml:space="preserve">Z., Gyarfáš, J. (VIA IURIS): </w:t>
      </w:r>
      <w:r w:rsidR="00BD6BEE" w:rsidRPr="008B7143">
        <w:rPr>
          <w:rFonts w:ascii="Book Antiqua" w:hAnsi="Book Antiqua"/>
          <w:bCs/>
          <w:i/>
          <w:sz w:val="22"/>
          <w:szCs w:val="22"/>
        </w:rPr>
        <w:lastRenderedPageBreak/>
        <w:t>Zodpovednosť verejných činiteľov. Právna úprava a aplikačná prax disciplinárnej a trestnej zodpovednosti a zodpovednosti za škodu</w:t>
      </w:r>
      <w:r w:rsidR="00BD6BEE" w:rsidRPr="008B7143">
        <w:rPr>
          <w:rFonts w:ascii="Book Antiqua" w:hAnsi="Book Antiqua"/>
          <w:bCs/>
          <w:sz w:val="22"/>
          <w:szCs w:val="22"/>
        </w:rPr>
        <w:t>. 2011.]</w:t>
      </w:r>
    </w:p>
    <w:p w:rsidR="00C14E40" w:rsidRPr="008B7143" w:rsidRDefault="00C14E40"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Zakotvením</w:t>
      </w:r>
      <w:r w:rsidR="009B6B87" w:rsidRPr="008B7143">
        <w:rPr>
          <w:rFonts w:ascii="Book Antiqua" w:hAnsi="Book Antiqua"/>
          <w:bCs/>
          <w:sz w:val="22"/>
          <w:szCs w:val="22"/>
        </w:rPr>
        <w:t xml:space="preserve"> zodpovednosti za škodu spôsobenú štátu sa</w:t>
      </w:r>
      <w:r w:rsidR="00CF2B4F" w:rsidRPr="008B7143">
        <w:rPr>
          <w:rFonts w:ascii="Book Antiqua" w:hAnsi="Book Antiqua"/>
          <w:bCs/>
          <w:sz w:val="22"/>
          <w:szCs w:val="22"/>
        </w:rPr>
        <w:t xml:space="preserve"> Slovenská republika kvalitou nielen priblíži k</w:t>
      </w:r>
      <w:r w:rsidR="009B6B87" w:rsidRPr="008B7143">
        <w:rPr>
          <w:rFonts w:ascii="Book Antiqua" w:hAnsi="Book Antiqua"/>
          <w:bCs/>
          <w:sz w:val="22"/>
          <w:szCs w:val="22"/>
        </w:rPr>
        <w:t xml:space="preserve"> </w:t>
      </w:r>
      <w:r w:rsidR="00CF2B4F" w:rsidRPr="008B7143">
        <w:rPr>
          <w:rFonts w:ascii="Book Antiqua" w:hAnsi="Book Antiqua"/>
          <w:bCs/>
          <w:sz w:val="22"/>
          <w:szCs w:val="22"/>
        </w:rPr>
        <w:t>predmetnej legislatíve rakúskeho</w:t>
      </w:r>
      <w:r w:rsidR="009B6B87" w:rsidRPr="008B7143">
        <w:rPr>
          <w:rFonts w:ascii="Book Antiqua" w:hAnsi="Book Antiqua"/>
          <w:bCs/>
          <w:sz w:val="22"/>
          <w:szCs w:val="22"/>
        </w:rPr>
        <w:t xml:space="preserve"> modelu, </w:t>
      </w:r>
      <w:r w:rsidR="00CF2B4F" w:rsidRPr="008B7143">
        <w:rPr>
          <w:rFonts w:ascii="Book Antiqua" w:hAnsi="Book Antiqua"/>
          <w:bCs/>
          <w:sz w:val="22"/>
          <w:szCs w:val="22"/>
        </w:rPr>
        <w:t>ale</w:t>
      </w:r>
      <w:r w:rsidR="009B6B87" w:rsidRPr="008B7143">
        <w:rPr>
          <w:rFonts w:ascii="Book Antiqua" w:hAnsi="Book Antiqua"/>
          <w:bCs/>
          <w:sz w:val="22"/>
          <w:szCs w:val="22"/>
        </w:rPr>
        <w:t xml:space="preserve"> predkladaný návrh zákona</w:t>
      </w:r>
      <w:r w:rsidR="00CF2B4F" w:rsidRPr="008B7143">
        <w:rPr>
          <w:rFonts w:ascii="Book Antiqua" w:hAnsi="Book Antiqua"/>
          <w:bCs/>
          <w:sz w:val="22"/>
          <w:szCs w:val="22"/>
        </w:rPr>
        <w:t xml:space="preserve"> dokonca prekročí</w:t>
      </w:r>
      <w:r w:rsidR="009B6B87" w:rsidRPr="008B7143">
        <w:rPr>
          <w:rFonts w:ascii="Book Antiqua" w:hAnsi="Book Antiqua"/>
          <w:bCs/>
          <w:sz w:val="22"/>
          <w:szCs w:val="22"/>
        </w:rPr>
        <w:t xml:space="preserve"> uvedený zahraničný vzor, keďže právny r</w:t>
      </w:r>
      <w:r w:rsidRPr="008B7143">
        <w:rPr>
          <w:rFonts w:ascii="Book Antiqua" w:hAnsi="Book Antiqua"/>
          <w:bCs/>
          <w:sz w:val="22"/>
          <w:szCs w:val="22"/>
        </w:rPr>
        <w:t>ámec zodpovednosti predstavuje len základný nevyhnutný pilier pre ďalšie ustanovenia tohto návrhu zákona.</w:t>
      </w:r>
    </w:p>
    <w:p w:rsidR="00426013" w:rsidRPr="008B7143" w:rsidRDefault="00C14E40" w:rsidP="00DB65B8">
      <w:pPr>
        <w:pStyle w:val="Normlnywebov"/>
        <w:spacing w:before="120" w:beforeAutospacing="0" w:after="0" w:afterAutospacing="0" w:line="276" w:lineRule="auto"/>
        <w:ind w:firstLine="708"/>
        <w:jc w:val="both"/>
        <w:rPr>
          <w:rFonts w:ascii="Book Antiqua" w:hAnsi="Book Antiqua"/>
          <w:b/>
          <w:bCs/>
          <w:sz w:val="22"/>
          <w:szCs w:val="22"/>
        </w:rPr>
      </w:pPr>
      <w:r w:rsidRPr="008B7143">
        <w:rPr>
          <w:rFonts w:ascii="Book Antiqua" w:hAnsi="Book Antiqua"/>
          <w:b/>
          <w:bCs/>
          <w:sz w:val="22"/>
          <w:szCs w:val="22"/>
        </w:rPr>
        <w:t xml:space="preserve">Podstatným a kľúčovým prínosom návrhu zákona sa tak nestáva vymedzenie novej zodpovednosti za škodu, ale </w:t>
      </w:r>
      <w:r w:rsidR="00D8161C" w:rsidRPr="008B7143">
        <w:rPr>
          <w:rFonts w:ascii="Book Antiqua" w:hAnsi="Book Antiqua"/>
          <w:b/>
          <w:bCs/>
          <w:sz w:val="22"/>
          <w:szCs w:val="22"/>
        </w:rPr>
        <w:t xml:space="preserve">vytvorenie dvojstupňového režimu </w:t>
      </w:r>
      <w:r w:rsidR="00CF2B4F" w:rsidRPr="008B7143">
        <w:rPr>
          <w:rFonts w:ascii="Book Antiqua" w:hAnsi="Book Antiqua"/>
          <w:b/>
          <w:bCs/>
          <w:sz w:val="22"/>
          <w:szCs w:val="22"/>
        </w:rPr>
        <w:t xml:space="preserve">uplatňovania </w:t>
      </w:r>
      <w:r w:rsidR="00D8161C" w:rsidRPr="008B7143">
        <w:rPr>
          <w:rFonts w:ascii="Book Antiqua" w:hAnsi="Book Antiqua"/>
          <w:b/>
          <w:bCs/>
          <w:sz w:val="22"/>
          <w:szCs w:val="22"/>
        </w:rPr>
        <w:t xml:space="preserve">tejto zodpovednosti. </w:t>
      </w:r>
    </w:p>
    <w:p w:rsidR="00C14E40" w:rsidRPr="008B7143" w:rsidRDefault="00C14E40"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Tretia časť návrhu zákona, nazvaná </w:t>
      </w:r>
      <w:r w:rsidRPr="008B7143">
        <w:rPr>
          <w:rFonts w:ascii="Book Antiqua" w:hAnsi="Book Antiqua"/>
          <w:b/>
          <w:bCs/>
          <w:sz w:val="22"/>
          <w:szCs w:val="22"/>
        </w:rPr>
        <w:t>uplatnenie nároku na náhradu škody</w:t>
      </w:r>
      <w:r w:rsidRPr="008B7143">
        <w:rPr>
          <w:rFonts w:ascii="Book Antiqua" w:hAnsi="Book Antiqua"/>
          <w:bCs/>
          <w:sz w:val="22"/>
          <w:szCs w:val="22"/>
        </w:rPr>
        <w:t>, sa skladá z dvoch paragrafov. Tieto dva paragrafy upravujú spomenuté dva odlišné, no zároveň komplementárne režimy uplatňovania nároku na náhradu škody. V §</w:t>
      </w:r>
      <w:r w:rsidR="00391A7C" w:rsidRPr="008B7143">
        <w:rPr>
          <w:rFonts w:ascii="Book Antiqua" w:hAnsi="Book Antiqua"/>
          <w:bCs/>
          <w:sz w:val="22"/>
          <w:szCs w:val="22"/>
        </w:rPr>
        <w:t xml:space="preserve"> 4 je podrobnejšie</w:t>
      </w:r>
      <w:r w:rsidRPr="008B7143">
        <w:rPr>
          <w:rFonts w:ascii="Book Antiqua" w:hAnsi="Book Antiqua"/>
          <w:bCs/>
          <w:sz w:val="22"/>
          <w:szCs w:val="22"/>
        </w:rPr>
        <w:t xml:space="preserve"> vymedzený procesný postup </w:t>
      </w:r>
      <w:r w:rsidRPr="008B7143">
        <w:rPr>
          <w:rFonts w:ascii="Book Antiqua" w:hAnsi="Book Antiqua"/>
          <w:b/>
          <w:bCs/>
          <w:sz w:val="22"/>
          <w:szCs w:val="22"/>
        </w:rPr>
        <w:t>uplatnenia nároku na náhradu škody štátom.</w:t>
      </w:r>
    </w:p>
    <w:p w:rsidR="001847BD" w:rsidRPr="008B7143" w:rsidRDefault="00D8161C"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Režim upravený v týchto ustanoveniach zákona je </w:t>
      </w:r>
      <w:r w:rsidRPr="008B7143">
        <w:rPr>
          <w:rFonts w:ascii="Book Antiqua" w:hAnsi="Book Antiqua"/>
          <w:b/>
          <w:bCs/>
          <w:sz w:val="22"/>
          <w:szCs w:val="22"/>
        </w:rPr>
        <w:t>primárnym režimom</w:t>
      </w:r>
      <w:r w:rsidRPr="008B7143">
        <w:rPr>
          <w:rFonts w:ascii="Book Antiqua" w:hAnsi="Book Antiqua"/>
          <w:bCs/>
          <w:sz w:val="22"/>
          <w:szCs w:val="22"/>
        </w:rPr>
        <w:t xml:space="preserve"> uplatňovania nároku na náhradu škody, ktorá bola spôsobená štátu. </w:t>
      </w:r>
    </w:p>
    <w:p w:rsidR="001847BD" w:rsidRPr="008B7143" w:rsidRDefault="001847BD"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V tomto procese koná vo veci uplatnenia nároku na náhradu škody generálny prokurátor, pričom nevyhnutným titulom na uplatnenie nároku je právoplatné rozhodnutie iného príslušného orgánu </w:t>
      </w:r>
      <w:r w:rsidR="00CF2B4F" w:rsidRPr="008B7143">
        <w:rPr>
          <w:rFonts w:ascii="Book Antiqua" w:hAnsi="Book Antiqua"/>
          <w:bCs/>
          <w:sz w:val="22"/>
          <w:szCs w:val="22"/>
        </w:rPr>
        <w:t xml:space="preserve">o porušení povinnosti verejného činiteľa </w:t>
      </w:r>
      <w:r w:rsidRPr="008B7143">
        <w:rPr>
          <w:rFonts w:ascii="Book Antiqua" w:hAnsi="Book Antiqua"/>
          <w:bCs/>
          <w:sz w:val="22"/>
          <w:szCs w:val="22"/>
        </w:rPr>
        <w:t>(</w:t>
      </w:r>
      <w:r w:rsidRPr="008B7143">
        <w:rPr>
          <w:rFonts w:ascii="Book Antiqua" w:hAnsi="Book Antiqua"/>
          <w:bCs/>
          <w:i/>
          <w:sz w:val="22"/>
          <w:szCs w:val="22"/>
        </w:rPr>
        <w:t>napríklad súdu</w:t>
      </w:r>
      <w:r w:rsidR="00B734FE" w:rsidRPr="008B7143">
        <w:rPr>
          <w:rFonts w:ascii="Book Antiqua" w:hAnsi="Book Antiqua"/>
          <w:bCs/>
          <w:i/>
          <w:sz w:val="22"/>
          <w:szCs w:val="22"/>
        </w:rPr>
        <w:t xml:space="preserve"> alebo orgánu </w:t>
      </w:r>
      <w:r w:rsidR="00CF2B4F" w:rsidRPr="008B7143">
        <w:rPr>
          <w:rFonts w:ascii="Book Antiqua" w:hAnsi="Book Antiqua"/>
          <w:bCs/>
          <w:i/>
          <w:sz w:val="22"/>
          <w:szCs w:val="22"/>
        </w:rPr>
        <w:t>vykonávajúceho</w:t>
      </w:r>
      <w:r w:rsidR="00B734FE" w:rsidRPr="008B7143">
        <w:rPr>
          <w:rFonts w:ascii="Book Antiqua" w:hAnsi="Book Antiqua"/>
          <w:bCs/>
          <w:i/>
          <w:sz w:val="22"/>
          <w:szCs w:val="22"/>
        </w:rPr>
        <w:t xml:space="preserve"> kontrolu</w:t>
      </w:r>
      <w:r w:rsidRPr="008B7143">
        <w:rPr>
          <w:rFonts w:ascii="Book Antiqua" w:hAnsi="Book Antiqua"/>
          <w:bCs/>
          <w:sz w:val="22"/>
          <w:szCs w:val="22"/>
        </w:rPr>
        <w:t>). Generálny prokurátor koná v tejto veci ex offo a v mene štátu. Informácie o vzniku škody môže prokurátor získať aj od Najvyššieho kontrolného úradu Slovenskej republiky, resp. Úradu pre verejné obstarávanie, keďže oba orgány majú zákonnú povinnosť informovať prokuratúru o vydaní svojho rozhodnutia, v kto</w:t>
      </w:r>
      <w:r w:rsidR="00CF2B4F" w:rsidRPr="008B7143">
        <w:rPr>
          <w:rFonts w:ascii="Book Antiqua" w:hAnsi="Book Antiqua"/>
          <w:bCs/>
          <w:sz w:val="22"/>
          <w:szCs w:val="22"/>
        </w:rPr>
        <w:t>rom túto skutočnosť konštatujú.</w:t>
      </w:r>
    </w:p>
    <w:p w:rsidR="00D8161C" w:rsidRPr="008B7143" w:rsidRDefault="00D8161C"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Osobitne dôležitým </w:t>
      </w:r>
      <w:r w:rsidR="001847BD" w:rsidRPr="008B7143">
        <w:rPr>
          <w:rFonts w:ascii="Book Antiqua" w:hAnsi="Book Antiqua"/>
          <w:bCs/>
          <w:sz w:val="22"/>
          <w:szCs w:val="22"/>
        </w:rPr>
        <w:t>ustanovením tejto časti návrhu zákona je</w:t>
      </w:r>
      <w:r w:rsidRPr="008B7143">
        <w:rPr>
          <w:rFonts w:ascii="Book Antiqua" w:hAnsi="Book Antiqua"/>
          <w:bCs/>
          <w:sz w:val="22"/>
          <w:szCs w:val="22"/>
        </w:rPr>
        <w:t xml:space="preserve"> odsek 4, v ktorom je konštatované, že </w:t>
      </w:r>
      <w:r w:rsidRPr="008B7143">
        <w:rPr>
          <w:rFonts w:ascii="Book Antiqua" w:hAnsi="Book Antiqua"/>
          <w:b/>
          <w:bCs/>
          <w:sz w:val="22"/>
          <w:szCs w:val="22"/>
        </w:rPr>
        <w:t xml:space="preserve">právo na náhradu škody spôsobenej štátu má štát. </w:t>
      </w:r>
      <w:r w:rsidRPr="008B7143">
        <w:rPr>
          <w:rFonts w:ascii="Book Antiqua" w:hAnsi="Book Antiqua"/>
          <w:bCs/>
          <w:sz w:val="22"/>
          <w:szCs w:val="22"/>
        </w:rPr>
        <w:t xml:space="preserve">Platnosť tohto ustanovenia je nutné vnímať aj v kontexte </w:t>
      </w:r>
      <w:r w:rsidR="001847BD" w:rsidRPr="008B7143">
        <w:rPr>
          <w:rFonts w:ascii="Book Antiqua" w:hAnsi="Book Antiqua"/>
          <w:bCs/>
          <w:sz w:val="22"/>
          <w:szCs w:val="22"/>
        </w:rPr>
        <w:t>návrhu zákona ako celku – štát je jediným subjektom, ktorý má právo na náhradu škody, a to aj v tom prípade, keď ju vymáha tretia osoba.</w:t>
      </w:r>
    </w:p>
    <w:p w:rsidR="003F29CB" w:rsidRPr="008B7143" w:rsidRDefault="001847BD"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Návrh zákona v neposlednom rade zavádza osobitnú desaťročnú objektívnu premlčaciu lehotu na uplatnenie práva na náhradu škody</w:t>
      </w:r>
      <w:r w:rsidR="00B734FE" w:rsidRPr="008B7143">
        <w:rPr>
          <w:rFonts w:ascii="Book Antiqua" w:hAnsi="Book Antiqua"/>
          <w:bCs/>
          <w:sz w:val="22"/>
          <w:szCs w:val="22"/>
        </w:rPr>
        <w:t>, ktorá začína plynúť od dá</w:t>
      </w:r>
      <w:r w:rsidR="003F29CB" w:rsidRPr="008B7143">
        <w:rPr>
          <w:rFonts w:ascii="Book Antiqua" w:hAnsi="Book Antiqua"/>
          <w:bCs/>
          <w:sz w:val="22"/>
          <w:szCs w:val="22"/>
        </w:rPr>
        <w:t>tumu, kedy k</w:t>
      </w:r>
      <w:r w:rsidR="00B734FE" w:rsidRPr="008B7143">
        <w:rPr>
          <w:rFonts w:ascii="Book Antiqua" w:hAnsi="Book Antiqua"/>
          <w:bCs/>
          <w:sz w:val="22"/>
          <w:szCs w:val="22"/>
        </w:rPr>
        <w:t> predmetnej udalosti doš</w:t>
      </w:r>
      <w:r w:rsidR="003F29CB" w:rsidRPr="008B7143">
        <w:rPr>
          <w:rFonts w:ascii="Book Antiqua" w:hAnsi="Book Antiqua"/>
          <w:bCs/>
          <w:sz w:val="22"/>
          <w:szCs w:val="22"/>
        </w:rPr>
        <w:t>lo.</w:t>
      </w:r>
    </w:p>
    <w:p w:rsidR="008D0798" w:rsidRPr="008B7143" w:rsidRDefault="00354CE4" w:rsidP="00DB65B8">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Okrem tohto procesu, v ktorom je výhradne zainteresovaný štát samotný, chrániaci verejné prostriedky, existuje </w:t>
      </w:r>
      <w:r w:rsidRPr="008B7143">
        <w:rPr>
          <w:rFonts w:ascii="Book Antiqua" w:hAnsi="Book Antiqua"/>
          <w:b/>
          <w:bCs/>
          <w:sz w:val="22"/>
          <w:szCs w:val="22"/>
        </w:rPr>
        <w:t xml:space="preserve">aj druhý režim, v ktorom je výrazne </w:t>
      </w:r>
      <w:r w:rsidR="00391A7C" w:rsidRPr="008B7143">
        <w:rPr>
          <w:rFonts w:ascii="Book Antiqua" w:hAnsi="Book Antiqua"/>
          <w:b/>
          <w:bCs/>
          <w:sz w:val="22"/>
          <w:szCs w:val="22"/>
        </w:rPr>
        <w:t>zastúpený práve</w:t>
      </w:r>
      <w:r w:rsidRPr="008B7143">
        <w:rPr>
          <w:rFonts w:ascii="Book Antiqua" w:hAnsi="Book Antiqua"/>
          <w:b/>
          <w:bCs/>
          <w:sz w:val="22"/>
          <w:szCs w:val="22"/>
        </w:rPr>
        <w:t xml:space="preserve"> občiansky prvok.</w:t>
      </w:r>
      <w:r w:rsidRPr="008B7143">
        <w:rPr>
          <w:rFonts w:ascii="Book Antiqua" w:hAnsi="Book Antiqua"/>
          <w:bCs/>
          <w:sz w:val="22"/>
          <w:szCs w:val="22"/>
        </w:rPr>
        <w:t xml:space="preserve"> Tento režim je predmetom ďalších ustanovení </w:t>
      </w:r>
      <w:r w:rsidR="00391A7C" w:rsidRPr="008B7143">
        <w:rPr>
          <w:rFonts w:ascii="Book Antiqua" w:hAnsi="Book Antiqua"/>
          <w:bCs/>
          <w:sz w:val="22"/>
          <w:szCs w:val="22"/>
        </w:rPr>
        <w:t xml:space="preserve">návrhu </w:t>
      </w:r>
      <w:r w:rsidRPr="008B7143">
        <w:rPr>
          <w:rFonts w:ascii="Book Antiqua" w:hAnsi="Book Antiqua"/>
          <w:bCs/>
          <w:sz w:val="22"/>
          <w:szCs w:val="22"/>
        </w:rPr>
        <w:t xml:space="preserve">zákona.  </w:t>
      </w:r>
    </w:p>
    <w:p w:rsidR="00354CE4" w:rsidRPr="008B7143" w:rsidRDefault="00354CE4"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Druhý paragraf tretej časti návrhu zákona obsahuje proces </w:t>
      </w:r>
      <w:r w:rsidRPr="008B7143">
        <w:rPr>
          <w:rFonts w:ascii="Book Antiqua" w:hAnsi="Book Antiqua"/>
          <w:b/>
          <w:bCs/>
          <w:sz w:val="22"/>
          <w:szCs w:val="22"/>
        </w:rPr>
        <w:t>uplatnenia</w:t>
      </w:r>
      <w:r w:rsidR="00AF62B6" w:rsidRPr="008B7143">
        <w:rPr>
          <w:rFonts w:ascii="Book Antiqua" w:hAnsi="Book Antiqua"/>
          <w:b/>
          <w:bCs/>
          <w:sz w:val="22"/>
          <w:szCs w:val="22"/>
        </w:rPr>
        <w:t xml:space="preserve"> práva na </w:t>
      </w:r>
      <w:r w:rsidRPr="008B7143">
        <w:rPr>
          <w:rFonts w:ascii="Book Antiqua" w:hAnsi="Book Antiqua"/>
          <w:b/>
          <w:bCs/>
          <w:sz w:val="22"/>
          <w:szCs w:val="22"/>
        </w:rPr>
        <w:t xml:space="preserve">náhradu škody treťou osobou v mene štátu </w:t>
      </w:r>
      <w:r w:rsidRPr="008B7143">
        <w:rPr>
          <w:rFonts w:ascii="Book Antiqua" w:hAnsi="Book Antiqua"/>
          <w:bCs/>
          <w:sz w:val="22"/>
          <w:szCs w:val="22"/>
        </w:rPr>
        <w:t>a predstavuje jeden z nosných a zároveň najviac</w:t>
      </w:r>
      <w:r w:rsidR="00391A7C" w:rsidRPr="008B7143">
        <w:rPr>
          <w:rFonts w:ascii="Book Antiqua" w:hAnsi="Book Antiqua"/>
          <w:bCs/>
          <w:sz w:val="22"/>
          <w:szCs w:val="22"/>
        </w:rPr>
        <w:t xml:space="preserve"> inovatívnych pilierov</w:t>
      </w:r>
      <w:r w:rsidRPr="008B7143">
        <w:rPr>
          <w:rFonts w:ascii="Book Antiqua" w:hAnsi="Book Antiqua"/>
          <w:bCs/>
          <w:sz w:val="22"/>
          <w:szCs w:val="22"/>
        </w:rPr>
        <w:t xml:space="preserve"> návrhu zákona.</w:t>
      </w:r>
    </w:p>
    <w:p w:rsidR="00630BFE" w:rsidRPr="008B7143" w:rsidRDefault="00D72DDE"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Zákon </w:t>
      </w:r>
      <w:r w:rsidR="00630BFE" w:rsidRPr="008B7143">
        <w:rPr>
          <w:rFonts w:ascii="Book Antiqua" w:hAnsi="Book Antiqua"/>
          <w:bCs/>
          <w:sz w:val="22"/>
          <w:szCs w:val="22"/>
        </w:rPr>
        <w:t xml:space="preserve">práve </w:t>
      </w:r>
      <w:r w:rsidRPr="008B7143">
        <w:rPr>
          <w:rFonts w:ascii="Book Antiqua" w:hAnsi="Book Antiqua"/>
          <w:bCs/>
          <w:sz w:val="22"/>
          <w:szCs w:val="22"/>
        </w:rPr>
        <w:t>v tejto časti</w:t>
      </w:r>
      <w:r w:rsidR="00630BFE" w:rsidRPr="008B7143">
        <w:rPr>
          <w:rFonts w:ascii="Book Antiqua" w:hAnsi="Book Antiqua"/>
          <w:bCs/>
          <w:sz w:val="22"/>
          <w:szCs w:val="22"/>
        </w:rPr>
        <w:t xml:space="preserve"> plnohodnotne</w:t>
      </w:r>
      <w:r w:rsidRPr="008B7143">
        <w:rPr>
          <w:rFonts w:ascii="Book Antiqua" w:hAnsi="Book Antiqua"/>
          <w:bCs/>
          <w:sz w:val="22"/>
          <w:szCs w:val="22"/>
        </w:rPr>
        <w:t xml:space="preserve"> využíva myšlienku </w:t>
      </w:r>
      <w:r w:rsidR="00630BFE" w:rsidRPr="008B7143">
        <w:rPr>
          <w:rFonts w:ascii="Book Antiqua" w:hAnsi="Book Antiqua"/>
          <w:bCs/>
          <w:sz w:val="22"/>
          <w:szCs w:val="22"/>
        </w:rPr>
        <w:t xml:space="preserve">americkej </w:t>
      </w:r>
      <w:r w:rsidRPr="008B7143">
        <w:rPr>
          <w:rFonts w:ascii="Book Antiqua" w:hAnsi="Book Antiqua"/>
          <w:bCs/>
          <w:sz w:val="22"/>
          <w:szCs w:val="22"/>
        </w:rPr>
        <w:t>žaloby „</w:t>
      </w:r>
      <w:r w:rsidRPr="008674FB">
        <w:rPr>
          <w:rFonts w:ascii="Book Antiqua" w:hAnsi="Book Antiqua"/>
          <w:bCs/>
          <w:i/>
          <w:sz w:val="22"/>
          <w:szCs w:val="22"/>
        </w:rPr>
        <w:t>qui tam</w:t>
      </w:r>
      <w:r w:rsidRPr="008B7143">
        <w:rPr>
          <w:rFonts w:ascii="Book Antiqua" w:hAnsi="Book Antiqua"/>
          <w:bCs/>
          <w:sz w:val="22"/>
          <w:szCs w:val="22"/>
        </w:rPr>
        <w:t>“</w:t>
      </w:r>
      <w:r w:rsidR="008674FB">
        <w:rPr>
          <w:rFonts w:ascii="Book Antiqua" w:hAnsi="Book Antiqua"/>
          <w:bCs/>
          <w:sz w:val="22"/>
          <w:szCs w:val="22"/>
        </w:rPr>
        <w:t>.</w:t>
      </w:r>
      <w:r w:rsidRPr="008B7143">
        <w:rPr>
          <w:rFonts w:ascii="Book Antiqua" w:hAnsi="Book Antiqua"/>
          <w:bCs/>
          <w:sz w:val="22"/>
          <w:szCs w:val="22"/>
        </w:rPr>
        <w:t xml:space="preserve"> </w:t>
      </w:r>
      <w:r w:rsidR="00630BFE" w:rsidRPr="008B7143">
        <w:rPr>
          <w:rFonts w:ascii="Book Antiqua" w:hAnsi="Book Antiqua"/>
          <w:bCs/>
          <w:sz w:val="22"/>
          <w:szCs w:val="22"/>
        </w:rPr>
        <w:t>Z tohto dôvodu je vhodné</w:t>
      </w:r>
      <w:r w:rsidR="00A63155" w:rsidRPr="008B7143">
        <w:rPr>
          <w:rFonts w:ascii="Book Antiqua" w:hAnsi="Book Antiqua"/>
          <w:bCs/>
          <w:sz w:val="22"/>
          <w:szCs w:val="22"/>
        </w:rPr>
        <w:t xml:space="preserve"> aspoň</w:t>
      </w:r>
      <w:r w:rsidR="00630BFE" w:rsidRPr="008B7143">
        <w:rPr>
          <w:rFonts w:ascii="Book Antiqua" w:hAnsi="Book Antiqua"/>
          <w:bCs/>
          <w:sz w:val="22"/>
          <w:szCs w:val="22"/>
        </w:rPr>
        <w:t xml:space="preserve"> v krátkosti priblížiť americký</w:t>
      </w:r>
      <w:r w:rsidR="00A63155" w:rsidRPr="008B7143">
        <w:rPr>
          <w:rFonts w:ascii="Book Antiqua" w:hAnsi="Book Antiqua"/>
          <w:bCs/>
          <w:sz w:val="22"/>
          <w:szCs w:val="22"/>
        </w:rPr>
        <w:t xml:space="preserve"> koncept, ktorý poslúžil </w:t>
      </w:r>
      <w:r w:rsidR="00A63155" w:rsidRPr="008B7143">
        <w:rPr>
          <w:rFonts w:ascii="Book Antiqua" w:hAnsi="Book Antiqua"/>
          <w:bCs/>
          <w:sz w:val="22"/>
          <w:szCs w:val="22"/>
        </w:rPr>
        <w:lastRenderedPageBreak/>
        <w:t xml:space="preserve">ako hlavná inšpirácia. Z terminologického hľadiska vznikol názov tejto žaloby skrátením latinskej vety, ktorá opisuje </w:t>
      </w:r>
      <w:r w:rsidR="000C0083" w:rsidRPr="008B7143">
        <w:rPr>
          <w:rFonts w:ascii="Book Antiqua" w:hAnsi="Book Antiqua"/>
          <w:bCs/>
          <w:sz w:val="22"/>
          <w:szCs w:val="22"/>
        </w:rPr>
        <w:t>podstatu</w:t>
      </w:r>
      <w:r w:rsidR="00A63155" w:rsidRPr="008B7143">
        <w:rPr>
          <w:rFonts w:ascii="Book Antiqua" w:hAnsi="Book Antiqua"/>
          <w:bCs/>
          <w:sz w:val="22"/>
          <w:szCs w:val="22"/>
        </w:rPr>
        <w:t xml:space="preserve"> tejto žaloby: „</w:t>
      </w:r>
      <w:r w:rsidR="00A63155" w:rsidRPr="008B7143">
        <w:rPr>
          <w:rFonts w:ascii="Book Antiqua" w:hAnsi="Book Antiqua"/>
          <w:b/>
          <w:bCs/>
          <w:i/>
          <w:sz w:val="22"/>
          <w:szCs w:val="22"/>
        </w:rPr>
        <w:t>qui tam</w:t>
      </w:r>
      <w:r w:rsidR="00A63155" w:rsidRPr="008B7143">
        <w:rPr>
          <w:rFonts w:ascii="Book Antiqua" w:hAnsi="Book Antiqua"/>
          <w:bCs/>
          <w:i/>
          <w:sz w:val="22"/>
          <w:szCs w:val="22"/>
        </w:rPr>
        <w:t xml:space="preserve"> pro domino rege quam pro se ipso in hac parte sequitur.</w:t>
      </w:r>
      <w:r w:rsidR="00A63155" w:rsidRPr="008B7143">
        <w:rPr>
          <w:rFonts w:ascii="Book Antiqua" w:hAnsi="Book Antiqua"/>
          <w:bCs/>
          <w:sz w:val="22"/>
          <w:szCs w:val="22"/>
        </w:rPr>
        <w:t>“ Táto veta, vo vo</w:t>
      </w:r>
      <w:r w:rsidR="00C120C8" w:rsidRPr="008B7143">
        <w:rPr>
          <w:rFonts w:ascii="Book Antiqua" w:hAnsi="Book Antiqua"/>
          <w:bCs/>
          <w:sz w:val="22"/>
          <w:szCs w:val="22"/>
        </w:rPr>
        <w:t>ľnom preklade, opisuje osobu, ktorá „</w:t>
      </w:r>
      <w:r w:rsidR="00C120C8" w:rsidRPr="008B7143">
        <w:rPr>
          <w:rFonts w:ascii="Book Antiqua" w:hAnsi="Book Antiqua"/>
          <w:bCs/>
          <w:i/>
          <w:sz w:val="22"/>
          <w:szCs w:val="22"/>
        </w:rPr>
        <w:t>žaluje v mene kráľa rovnako ako v mene vlastnom</w:t>
      </w:r>
      <w:r w:rsidR="000C0083" w:rsidRPr="008B7143">
        <w:rPr>
          <w:rFonts w:ascii="Book Antiqua" w:hAnsi="Book Antiqua"/>
          <w:bCs/>
          <w:i/>
          <w:sz w:val="22"/>
          <w:szCs w:val="22"/>
        </w:rPr>
        <w:t>,</w:t>
      </w:r>
      <w:r w:rsidR="00C120C8" w:rsidRPr="008B7143">
        <w:rPr>
          <w:rFonts w:ascii="Book Antiqua" w:hAnsi="Book Antiqua"/>
          <w:bCs/>
          <w:sz w:val="22"/>
          <w:szCs w:val="22"/>
        </w:rPr>
        <w:t xml:space="preserve">“ </w:t>
      </w:r>
      <w:r w:rsidR="000C0083" w:rsidRPr="008B7143">
        <w:rPr>
          <w:rFonts w:ascii="Book Antiqua" w:hAnsi="Book Antiqua"/>
          <w:bCs/>
          <w:sz w:val="22"/>
          <w:szCs w:val="22"/>
        </w:rPr>
        <w:t>pričom</w:t>
      </w:r>
      <w:r w:rsidR="00C120C8" w:rsidRPr="008B7143">
        <w:rPr>
          <w:rFonts w:ascii="Book Antiqua" w:hAnsi="Book Antiqua"/>
          <w:bCs/>
          <w:sz w:val="22"/>
          <w:szCs w:val="22"/>
        </w:rPr>
        <w:t xml:space="preserve"> americká </w:t>
      </w:r>
      <w:r w:rsidR="000C0083" w:rsidRPr="008B7143">
        <w:rPr>
          <w:rFonts w:ascii="Book Antiqua" w:hAnsi="Book Antiqua"/>
          <w:bCs/>
          <w:sz w:val="22"/>
          <w:szCs w:val="22"/>
        </w:rPr>
        <w:t xml:space="preserve">moderná </w:t>
      </w:r>
      <w:r w:rsidR="00C120C8" w:rsidRPr="008B7143">
        <w:rPr>
          <w:rFonts w:ascii="Book Antiqua" w:hAnsi="Book Antiqua"/>
          <w:bCs/>
          <w:sz w:val="22"/>
          <w:szCs w:val="22"/>
        </w:rPr>
        <w:t>odborná terminológia pre takúto osobu pozná pojem „whistleblower</w:t>
      </w:r>
      <w:r w:rsidR="000C0083" w:rsidRPr="008B7143">
        <w:rPr>
          <w:rFonts w:ascii="Book Antiqua" w:hAnsi="Book Antiqua"/>
          <w:bCs/>
          <w:sz w:val="22"/>
          <w:szCs w:val="22"/>
        </w:rPr>
        <w:t>.</w:t>
      </w:r>
      <w:r w:rsidR="00C120C8" w:rsidRPr="008B7143">
        <w:rPr>
          <w:rFonts w:ascii="Book Antiqua" w:hAnsi="Book Antiqua"/>
          <w:bCs/>
          <w:sz w:val="22"/>
          <w:szCs w:val="22"/>
        </w:rPr>
        <w:t>“</w:t>
      </w:r>
      <w:r w:rsidR="000C0083" w:rsidRPr="008B7143">
        <w:rPr>
          <w:rFonts w:ascii="Book Antiqua" w:hAnsi="Book Antiqua"/>
          <w:bCs/>
          <w:sz w:val="22"/>
          <w:szCs w:val="22"/>
        </w:rPr>
        <w:t xml:space="preserve"> Keďže slovenský jazyk presný ekvivalent pre tento pojem nemá, s menším sémantickým posunom je možné túto osobu označiť ako </w:t>
      </w:r>
      <w:r w:rsidR="00391A7C" w:rsidRPr="008B7143">
        <w:rPr>
          <w:rFonts w:ascii="Book Antiqua" w:hAnsi="Book Antiqua"/>
          <w:bCs/>
          <w:sz w:val="22"/>
          <w:szCs w:val="22"/>
        </w:rPr>
        <w:t>informátora resp. oznamovateľa alebo v prenesenom význame bojovníka proti korupcii.</w:t>
      </w:r>
    </w:p>
    <w:p w:rsidR="00B734FE" w:rsidRPr="008B7143" w:rsidRDefault="000C0083"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K</w:t>
      </w:r>
      <w:r w:rsidR="0056201F" w:rsidRPr="008B7143">
        <w:rPr>
          <w:rFonts w:ascii="Book Antiqua" w:hAnsi="Book Antiqua"/>
          <w:bCs/>
          <w:sz w:val="22"/>
          <w:szCs w:val="22"/>
        </w:rPr>
        <w:t>oncepciu</w:t>
      </w:r>
      <w:r w:rsidRPr="008B7143">
        <w:rPr>
          <w:rFonts w:ascii="Book Antiqua" w:hAnsi="Book Antiqua"/>
          <w:bCs/>
          <w:sz w:val="22"/>
          <w:szCs w:val="22"/>
        </w:rPr>
        <w:t xml:space="preserve"> žaloby </w:t>
      </w:r>
      <w:r w:rsidRPr="008674FB">
        <w:rPr>
          <w:rFonts w:ascii="Book Antiqua" w:hAnsi="Book Antiqua"/>
          <w:bCs/>
          <w:i/>
          <w:sz w:val="22"/>
          <w:szCs w:val="22"/>
        </w:rPr>
        <w:t>qui tam</w:t>
      </w:r>
      <w:r w:rsidR="0056201F" w:rsidRPr="008B7143">
        <w:rPr>
          <w:rFonts w:ascii="Book Antiqua" w:hAnsi="Book Antiqua"/>
          <w:bCs/>
          <w:sz w:val="22"/>
          <w:szCs w:val="22"/>
        </w:rPr>
        <w:t xml:space="preserve"> využíva najmä americký zákon </w:t>
      </w:r>
      <w:r w:rsidR="0056201F" w:rsidRPr="008B7143">
        <w:rPr>
          <w:rFonts w:ascii="Book Antiqua" w:hAnsi="Book Antiqua"/>
          <w:b/>
          <w:bCs/>
          <w:sz w:val="22"/>
          <w:szCs w:val="22"/>
        </w:rPr>
        <w:t>False Claims Act</w:t>
      </w:r>
      <w:r w:rsidRPr="008B7143">
        <w:rPr>
          <w:rFonts w:ascii="Book Antiqua" w:hAnsi="Book Antiqua"/>
          <w:b/>
          <w:bCs/>
          <w:sz w:val="22"/>
          <w:szCs w:val="22"/>
        </w:rPr>
        <w:t xml:space="preserve"> </w:t>
      </w:r>
      <w:r w:rsidRPr="008B7143">
        <w:rPr>
          <w:rFonts w:ascii="Book Antiqua" w:hAnsi="Book Antiqua"/>
          <w:bCs/>
          <w:sz w:val="22"/>
          <w:szCs w:val="22"/>
        </w:rPr>
        <w:t>(</w:t>
      </w:r>
      <w:r w:rsidR="00764C18" w:rsidRPr="008B7143">
        <w:rPr>
          <w:rFonts w:ascii="Book Antiqua" w:hAnsi="Book Antiqua"/>
          <w:bCs/>
          <w:sz w:val="22"/>
          <w:szCs w:val="22"/>
        </w:rPr>
        <w:t>taktiež</w:t>
      </w:r>
      <w:r w:rsidRPr="008B7143">
        <w:rPr>
          <w:rFonts w:ascii="Book Antiqua" w:hAnsi="Book Antiqua"/>
          <w:bCs/>
          <w:sz w:val="22"/>
          <w:szCs w:val="22"/>
        </w:rPr>
        <w:t xml:space="preserve"> známy ako Lincoln Act)</w:t>
      </w:r>
      <w:r w:rsidR="0056201F" w:rsidRPr="008B7143">
        <w:rPr>
          <w:rFonts w:ascii="Book Antiqua" w:hAnsi="Book Antiqua"/>
          <w:bCs/>
          <w:sz w:val="22"/>
          <w:szCs w:val="22"/>
        </w:rPr>
        <w:t xml:space="preserve">, ktorý umožňuje podať súkromnej osobe </w:t>
      </w:r>
      <w:r w:rsidRPr="008B7143">
        <w:rPr>
          <w:rFonts w:ascii="Book Antiqua" w:hAnsi="Book Antiqua"/>
          <w:bCs/>
          <w:sz w:val="22"/>
          <w:szCs w:val="22"/>
        </w:rPr>
        <w:t>(</w:t>
      </w:r>
      <w:r w:rsidRPr="008B7143">
        <w:rPr>
          <w:rFonts w:ascii="Book Antiqua" w:hAnsi="Book Antiqua"/>
          <w:bCs/>
          <w:i/>
          <w:sz w:val="22"/>
          <w:szCs w:val="22"/>
        </w:rPr>
        <w:t>relator</w:t>
      </w:r>
      <w:r w:rsidRPr="008B7143">
        <w:rPr>
          <w:rFonts w:ascii="Book Antiqua" w:hAnsi="Book Antiqua"/>
          <w:bCs/>
          <w:sz w:val="22"/>
          <w:szCs w:val="22"/>
        </w:rPr>
        <w:t xml:space="preserve">) </w:t>
      </w:r>
      <w:r w:rsidR="0056201F" w:rsidRPr="008B7143">
        <w:rPr>
          <w:rFonts w:ascii="Book Antiqua" w:hAnsi="Book Antiqua"/>
          <w:bCs/>
          <w:sz w:val="22"/>
          <w:szCs w:val="22"/>
        </w:rPr>
        <w:t xml:space="preserve">žalobu </w:t>
      </w:r>
      <w:r w:rsidRPr="008B7143">
        <w:rPr>
          <w:rFonts w:ascii="Book Antiqua" w:hAnsi="Book Antiqua"/>
          <w:bCs/>
          <w:sz w:val="22"/>
          <w:szCs w:val="22"/>
        </w:rPr>
        <w:t>v </w:t>
      </w:r>
      <w:r w:rsidR="0056201F" w:rsidRPr="008B7143">
        <w:rPr>
          <w:rFonts w:ascii="Book Antiqua" w:hAnsi="Book Antiqua"/>
          <w:bCs/>
          <w:sz w:val="22"/>
          <w:szCs w:val="22"/>
        </w:rPr>
        <w:t>prípadoch, keď niekto predložil falošný nárok a požadoval neoprávnené plnenie od štátu (</w:t>
      </w:r>
      <w:r w:rsidR="0056201F" w:rsidRPr="008B7143">
        <w:rPr>
          <w:rFonts w:ascii="Book Antiqua" w:hAnsi="Book Antiqua"/>
          <w:bCs/>
          <w:i/>
          <w:sz w:val="22"/>
          <w:szCs w:val="22"/>
        </w:rPr>
        <w:t>false or fraudulent claim for payment</w:t>
      </w:r>
      <w:r w:rsidR="0056201F" w:rsidRPr="008B7143">
        <w:rPr>
          <w:rFonts w:ascii="Book Antiqua" w:hAnsi="Book Antiqua"/>
          <w:bCs/>
          <w:sz w:val="22"/>
          <w:szCs w:val="22"/>
        </w:rPr>
        <w:t>). Ak súkromný žalobca iniciuje v takejto veci podanie, začína plynúť 60-dňová lehota, počas ktorej je príslušný orgán ministerstva spravodlivosti povinný v mene štátu rozhodnúť, či štát vstúpi (</w:t>
      </w:r>
      <w:r w:rsidR="0056201F" w:rsidRPr="008B7143">
        <w:rPr>
          <w:rFonts w:ascii="Book Antiqua" w:hAnsi="Book Antiqua"/>
          <w:bCs/>
          <w:i/>
          <w:sz w:val="22"/>
          <w:szCs w:val="22"/>
        </w:rPr>
        <w:t>intervene</w:t>
      </w:r>
      <w:r w:rsidR="0056201F" w:rsidRPr="008B7143">
        <w:rPr>
          <w:rFonts w:ascii="Book Antiqua" w:hAnsi="Book Antiqua"/>
          <w:bCs/>
          <w:sz w:val="22"/>
          <w:szCs w:val="22"/>
        </w:rPr>
        <w:t>) do konania. Ak štát vstúpi do</w:t>
      </w:r>
      <w:r w:rsidR="00CF2B4F" w:rsidRPr="008B7143">
        <w:rPr>
          <w:rFonts w:ascii="Book Antiqua" w:hAnsi="Book Antiqua"/>
          <w:bCs/>
          <w:sz w:val="22"/>
          <w:szCs w:val="22"/>
        </w:rPr>
        <w:t> </w:t>
      </w:r>
      <w:r w:rsidR="0056201F" w:rsidRPr="008B7143">
        <w:rPr>
          <w:rFonts w:ascii="Book Antiqua" w:hAnsi="Book Antiqua"/>
          <w:bCs/>
          <w:sz w:val="22"/>
          <w:szCs w:val="22"/>
        </w:rPr>
        <w:t>konania, stáva sa „primárnym“ účastníkom, ktorý plne disponuje procesnými právami.  Súkromný žalobca sa dostáva do pozície vedľajšieho účastníka. Ak je v konaní  uznaný nárok štátu, pôvodný žalob</w:t>
      </w:r>
      <w:r w:rsidR="00C92462">
        <w:rPr>
          <w:rFonts w:ascii="Book Antiqua" w:hAnsi="Book Antiqua"/>
          <w:bCs/>
          <w:sz w:val="22"/>
          <w:szCs w:val="22"/>
        </w:rPr>
        <w:t>c</w:t>
      </w:r>
      <w:r w:rsidR="0056201F" w:rsidRPr="008B7143">
        <w:rPr>
          <w:rFonts w:ascii="Book Antiqua" w:hAnsi="Book Antiqua"/>
          <w:bCs/>
          <w:sz w:val="22"/>
          <w:szCs w:val="22"/>
        </w:rPr>
        <w:t>a (</w:t>
      </w:r>
      <w:r w:rsidR="0056201F" w:rsidRPr="008B7143">
        <w:rPr>
          <w:rFonts w:ascii="Book Antiqua" w:hAnsi="Book Antiqua"/>
          <w:bCs/>
          <w:i/>
          <w:sz w:val="22"/>
          <w:szCs w:val="22"/>
        </w:rPr>
        <w:t>relator</w:t>
      </w:r>
      <w:r w:rsidR="0056201F" w:rsidRPr="008B7143">
        <w:rPr>
          <w:rFonts w:ascii="Book Antiqua" w:hAnsi="Book Antiqua"/>
          <w:bCs/>
          <w:sz w:val="22"/>
          <w:szCs w:val="22"/>
        </w:rPr>
        <w:t>) získava odmenu v</w:t>
      </w:r>
      <w:r w:rsidR="00CF2B4F" w:rsidRPr="008B7143">
        <w:rPr>
          <w:rFonts w:ascii="Book Antiqua" w:hAnsi="Book Antiqua"/>
          <w:bCs/>
          <w:sz w:val="22"/>
          <w:szCs w:val="22"/>
        </w:rPr>
        <w:t>o výške 30% zo sumy priznanej v </w:t>
      </w:r>
      <w:r w:rsidR="0056201F" w:rsidRPr="008B7143">
        <w:rPr>
          <w:rFonts w:ascii="Book Antiqua" w:hAnsi="Book Antiqua"/>
          <w:bCs/>
          <w:sz w:val="22"/>
          <w:szCs w:val="22"/>
        </w:rPr>
        <w:t xml:space="preserve">rozhodnutí súdu. </w:t>
      </w:r>
    </w:p>
    <w:p w:rsidR="0056201F" w:rsidRPr="008B7143" w:rsidRDefault="0056201F"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Ak sa štát rozhodne nevstúpiť do konania, súkromný žalobca ostáva jediným účastníkom, pričom štát stále môže vykonávať niektoré pro</w:t>
      </w:r>
      <w:r w:rsidR="00764C18" w:rsidRPr="008B7143">
        <w:rPr>
          <w:rFonts w:ascii="Book Antiqua" w:hAnsi="Book Antiqua"/>
          <w:bCs/>
          <w:sz w:val="22"/>
          <w:szCs w:val="22"/>
        </w:rPr>
        <w:t>cesné úkony (napr. nahliadať do </w:t>
      </w:r>
      <w:r w:rsidRPr="008B7143">
        <w:rPr>
          <w:rFonts w:ascii="Book Antiqua" w:hAnsi="Book Antiqua"/>
          <w:bCs/>
          <w:sz w:val="22"/>
          <w:szCs w:val="22"/>
        </w:rPr>
        <w:t>spisu). Podstatné však je, že konanie je stále vedené v m</w:t>
      </w:r>
      <w:r w:rsidR="00764C18" w:rsidRPr="008B7143">
        <w:rPr>
          <w:rFonts w:ascii="Book Antiqua" w:hAnsi="Book Antiqua"/>
          <w:bCs/>
          <w:sz w:val="22"/>
          <w:szCs w:val="22"/>
        </w:rPr>
        <w:t>ene štátu, tzn. súd rozhoduje o </w:t>
      </w:r>
      <w:r w:rsidRPr="008B7143">
        <w:rPr>
          <w:rFonts w:ascii="Book Antiqua" w:hAnsi="Book Antiqua"/>
          <w:bCs/>
          <w:sz w:val="22"/>
          <w:szCs w:val="22"/>
        </w:rPr>
        <w:t>priznaní nároku</w:t>
      </w:r>
      <w:r w:rsidR="00764C18" w:rsidRPr="008B7143">
        <w:rPr>
          <w:rFonts w:ascii="Book Antiqua" w:hAnsi="Book Antiqua"/>
          <w:bCs/>
          <w:sz w:val="22"/>
          <w:szCs w:val="22"/>
        </w:rPr>
        <w:t xml:space="preserve"> štátu. Ak je v takomto konaní </w:t>
      </w:r>
      <w:r w:rsidRPr="008B7143">
        <w:rPr>
          <w:rFonts w:ascii="Book Antiqua" w:hAnsi="Book Antiqua"/>
          <w:bCs/>
          <w:sz w:val="22"/>
          <w:szCs w:val="22"/>
        </w:rPr>
        <w:t>uznaný nárok štátu, pôvodný žaloba (</w:t>
      </w:r>
      <w:r w:rsidRPr="008B7143">
        <w:rPr>
          <w:rFonts w:ascii="Book Antiqua" w:hAnsi="Book Antiqua"/>
          <w:bCs/>
          <w:i/>
          <w:sz w:val="22"/>
          <w:szCs w:val="22"/>
        </w:rPr>
        <w:t>relator</w:t>
      </w:r>
      <w:r w:rsidRPr="008B7143">
        <w:rPr>
          <w:rFonts w:ascii="Book Antiqua" w:hAnsi="Book Antiqua"/>
          <w:bCs/>
          <w:sz w:val="22"/>
          <w:szCs w:val="22"/>
        </w:rPr>
        <w:t>) získava vyššiu odmenu, než je to v situácii, keď do konania štát formálne vstúpil.</w:t>
      </w:r>
    </w:p>
    <w:p w:rsidR="008D26E4" w:rsidRPr="008B7143" w:rsidRDefault="00764C18"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Predkladaný návrh zákona je prezentovaným americkým modelom inšpirovaný predovšetkým v dvoch hlavných bodoch – </w:t>
      </w:r>
      <w:r w:rsidRPr="008B7143">
        <w:rPr>
          <w:rFonts w:ascii="Book Antiqua" w:hAnsi="Book Antiqua"/>
          <w:b/>
          <w:bCs/>
          <w:sz w:val="22"/>
          <w:szCs w:val="22"/>
        </w:rPr>
        <w:t>prvým je možnosť podania žaloby občana v mene štátu</w:t>
      </w:r>
      <w:r w:rsidRPr="008B7143">
        <w:rPr>
          <w:rFonts w:ascii="Book Antiqua" w:hAnsi="Book Antiqua"/>
          <w:bCs/>
          <w:sz w:val="22"/>
          <w:szCs w:val="22"/>
        </w:rPr>
        <w:t>, ak o to samotný štát (zastúpený povereným orgánom) nejaví záujem a </w:t>
      </w:r>
      <w:r w:rsidRPr="008B7143">
        <w:rPr>
          <w:rFonts w:ascii="Book Antiqua" w:hAnsi="Book Antiqua"/>
          <w:b/>
          <w:bCs/>
          <w:sz w:val="22"/>
          <w:szCs w:val="22"/>
        </w:rPr>
        <w:t>druhým je poskytnutie odmeny pre tohto občana</w:t>
      </w:r>
      <w:r w:rsidRPr="008B7143">
        <w:rPr>
          <w:rFonts w:ascii="Book Antiqua" w:hAnsi="Book Antiqua"/>
          <w:bCs/>
          <w:sz w:val="22"/>
          <w:szCs w:val="22"/>
        </w:rPr>
        <w:t xml:space="preserve"> </w:t>
      </w:r>
      <w:r w:rsidRPr="008674FB">
        <w:rPr>
          <w:rFonts w:ascii="Book Antiqua" w:hAnsi="Book Antiqua"/>
          <w:bCs/>
          <w:sz w:val="22"/>
          <w:szCs w:val="22"/>
        </w:rPr>
        <w:t>v prí</w:t>
      </w:r>
      <w:r w:rsidR="00C92063" w:rsidRPr="008674FB">
        <w:rPr>
          <w:rFonts w:ascii="Book Antiqua" w:hAnsi="Book Antiqua"/>
          <w:bCs/>
          <w:sz w:val="22"/>
          <w:szCs w:val="22"/>
        </w:rPr>
        <w:t>pa</w:t>
      </w:r>
      <w:r w:rsidRPr="008674FB">
        <w:rPr>
          <w:rFonts w:ascii="Book Antiqua" w:hAnsi="Book Antiqua"/>
          <w:bCs/>
          <w:sz w:val="22"/>
          <w:szCs w:val="22"/>
        </w:rPr>
        <w:t>de úspešnej žaloby. Pokým</w:t>
      </w:r>
      <w:r w:rsidRPr="008B7143">
        <w:rPr>
          <w:rFonts w:ascii="Book Antiqua" w:hAnsi="Book Antiqua"/>
          <w:bCs/>
          <w:sz w:val="22"/>
          <w:szCs w:val="22"/>
        </w:rPr>
        <w:t xml:space="preserve"> prvý bod je predmetom tejto časti z</w:t>
      </w:r>
      <w:r w:rsidR="008D26E4" w:rsidRPr="008B7143">
        <w:rPr>
          <w:rFonts w:ascii="Book Antiqua" w:hAnsi="Book Antiqua"/>
          <w:bCs/>
          <w:sz w:val="22"/>
          <w:szCs w:val="22"/>
        </w:rPr>
        <w:t>ákona, odmena je komplexne riešená v nasledujúcej časti.</w:t>
      </w:r>
    </w:p>
    <w:p w:rsidR="008669A3" w:rsidRPr="008B7143" w:rsidRDefault="008D26E4"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Proces uplatnenia náhrady škody </w:t>
      </w:r>
      <w:r w:rsidR="00B734FE" w:rsidRPr="008B7143">
        <w:rPr>
          <w:rFonts w:ascii="Book Antiqua" w:hAnsi="Book Antiqua"/>
          <w:bCs/>
          <w:sz w:val="22"/>
          <w:szCs w:val="22"/>
        </w:rPr>
        <w:t>spôsobenej štátu</w:t>
      </w:r>
      <w:r w:rsidRPr="008B7143">
        <w:rPr>
          <w:rFonts w:ascii="Book Antiqua" w:hAnsi="Book Antiqua"/>
          <w:bCs/>
          <w:sz w:val="22"/>
          <w:szCs w:val="22"/>
        </w:rPr>
        <w:t xml:space="preserve"> treťou o</w:t>
      </w:r>
      <w:r w:rsidR="00CF2B4F" w:rsidRPr="008B7143">
        <w:rPr>
          <w:rFonts w:ascii="Book Antiqua" w:hAnsi="Book Antiqua"/>
          <w:bCs/>
          <w:sz w:val="22"/>
          <w:szCs w:val="22"/>
        </w:rPr>
        <w:t xml:space="preserve">sobou začína písomným podnetom. </w:t>
      </w:r>
      <w:r w:rsidRPr="008B7143">
        <w:rPr>
          <w:rFonts w:ascii="Book Antiqua" w:hAnsi="Book Antiqua"/>
          <w:bCs/>
          <w:sz w:val="22"/>
          <w:szCs w:val="22"/>
        </w:rPr>
        <w:t xml:space="preserve">Takýto podnet </w:t>
      </w:r>
      <w:r w:rsidR="008669A3" w:rsidRPr="008B7143">
        <w:rPr>
          <w:rFonts w:ascii="Book Antiqua" w:hAnsi="Book Antiqua"/>
          <w:bCs/>
          <w:sz w:val="22"/>
          <w:szCs w:val="22"/>
        </w:rPr>
        <w:t xml:space="preserve">sa podáva v prípade ak má tretia osoba </w:t>
      </w:r>
      <w:r w:rsidR="00B734FE" w:rsidRPr="008B7143">
        <w:rPr>
          <w:rFonts w:ascii="Book Antiqua" w:hAnsi="Book Antiqua"/>
          <w:bCs/>
          <w:sz w:val="22"/>
          <w:szCs w:val="22"/>
        </w:rPr>
        <w:t xml:space="preserve">vedomosť alebo podozrenie </w:t>
      </w:r>
      <w:r w:rsidR="008669A3" w:rsidRPr="008B7143">
        <w:rPr>
          <w:rFonts w:ascii="Book Antiqua" w:hAnsi="Book Antiqua"/>
          <w:bCs/>
          <w:sz w:val="22"/>
          <w:szCs w:val="22"/>
        </w:rPr>
        <w:t xml:space="preserve">o vzniku škody spôsobenej štátu. Podnet slúži ako upozornenie a zároveň výzva na náležité konanie pre zodpovedný štátny orgán, ktorým je generálna prokuratúra. V tomto podnete musia byť uvedené základné údaje nevyhnutné pre ďalší proces: </w:t>
      </w:r>
      <w:r w:rsidR="00B734FE" w:rsidRPr="008B7143">
        <w:rPr>
          <w:rFonts w:ascii="Book Antiqua" w:hAnsi="Book Antiqua"/>
          <w:bCs/>
          <w:sz w:val="22"/>
          <w:szCs w:val="22"/>
        </w:rPr>
        <w:t>označenie verejného činiteľa, ktorý šk</w:t>
      </w:r>
      <w:r w:rsidR="008669A3" w:rsidRPr="008B7143">
        <w:rPr>
          <w:rFonts w:ascii="Book Antiqua" w:hAnsi="Book Antiqua"/>
          <w:bCs/>
          <w:sz w:val="22"/>
          <w:szCs w:val="22"/>
        </w:rPr>
        <w:t>odu spôsobil alebo mal spôsobiť (I.),</w:t>
      </w:r>
      <w:r w:rsidR="00B734FE" w:rsidRPr="008B7143">
        <w:rPr>
          <w:rFonts w:ascii="Book Antiqua" w:hAnsi="Book Antiqua"/>
          <w:bCs/>
          <w:sz w:val="22"/>
          <w:szCs w:val="22"/>
        </w:rPr>
        <w:t xml:space="preserve"> spôsob, akým škoda vznikla alebo mala vzniknúť</w:t>
      </w:r>
      <w:r w:rsidR="008669A3" w:rsidRPr="008B7143">
        <w:rPr>
          <w:rFonts w:ascii="Book Antiqua" w:hAnsi="Book Antiqua"/>
          <w:bCs/>
          <w:sz w:val="22"/>
          <w:szCs w:val="22"/>
        </w:rPr>
        <w:t xml:space="preserve"> (II.)</w:t>
      </w:r>
      <w:r w:rsidR="00B734FE" w:rsidRPr="008B7143">
        <w:rPr>
          <w:rFonts w:ascii="Book Antiqua" w:hAnsi="Book Antiqua"/>
          <w:bCs/>
          <w:sz w:val="22"/>
          <w:szCs w:val="22"/>
        </w:rPr>
        <w:t xml:space="preserve"> a predpokladaná výška škody spôsobenej štátu</w:t>
      </w:r>
      <w:r w:rsidR="008669A3" w:rsidRPr="008B7143">
        <w:rPr>
          <w:rFonts w:ascii="Book Antiqua" w:hAnsi="Book Antiqua"/>
          <w:bCs/>
          <w:sz w:val="22"/>
          <w:szCs w:val="22"/>
        </w:rPr>
        <w:t xml:space="preserve"> (III.)</w:t>
      </w:r>
      <w:r w:rsidR="00B734FE" w:rsidRPr="008B7143">
        <w:rPr>
          <w:rFonts w:ascii="Book Antiqua" w:hAnsi="Book Antiqua"/>
          <w:bCs/>
          <w:sz w:val="22"/>
          <w:szCs w:val="22"/>
        </w:rPr>
        <w:t>.</w:t>
      </w:r>
    </w:p>
    <w:p w:rsidR="00FF7075" w:rsidRPr="008B7143" w:rsidRDefault="008669A3"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Po doručení podnetu začína plynúť 30-dňová lehota, počas ktorej môže generálna prokuratúra posúdiť relevantnosť podnetu. Ďalší postup závisí </w:t>
      </w:r>
      <w:r w:rsidR="00FF7075" w:rsidRPr="008B7143">
        <w:rPr>
          <w:rFonts w:ascii="Book Antiqua" w:hAnsi="Book Antiqua"/>
          <w:bCs/>
          <w:sz w:val="22"/>
          <w:szCs w:val="22"/>
        </w:rPr>
        <w:t xml:space="preserve">od toho, k akému záveru generálna prokuratúra dospeje, pričom do úvahy prichádzajú dva rozličné scenáre. </w:t>
      </w:r>
    </w:p>
    <w:p w:rsidR="00B734FE" w:rsidRPr="008B7143" w:rsidRDefault="008669A3"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Ak </w:t>
      </w:r>
      <w:r w:rsidR="00391A7C" w:rsidRPr="008B7143">
        <w:rPr>
          <w:rFonts w:ascii="Book Antiqua" w:hAnsi="Book Antiqua"/>
          <w:bCs/>
          <w:sz w:val="22"/>
          <w:szCs w:val="22"/>
        </w:rPr>
        <w:t xml:space="preserve">Generálna prokuratúra SR </w:t>
      </w:r>
      <w:r w:rsidRPr="008B7143">
        <w:rPr>
          <w:rFonts w:ascii="Book Antiqua" w:hAnsi="Book Antiqua"/>
          <w:bCs/>
          <w:sz w:val="22"/>
          <w:szCs w:val="22"/>
        </w:rPr>
        <w:t xml:space="preserve">dospeje k tomu názoru, že podnet je relevantný a opodstatnený, prerokuje ho </w:t>
      </w:r>
      <w:r w:rsidR="00FF7075" w:rsidRPr="008B7143">
        <w:rPr>
          <w:rFonts w:ascii="Book Antiqua" w:hAnsi="Book Antiqua"/>
          <w:bCs/>
          <w:sz w:val="22"/>
          <w:szCs w:val="22"/>
        </w:rPr>
        <w:t xml:space="preserve">v zákonnej lehote </w:t>
      </w:r>
      <w:r w:rsidRPr="008B7143">
        <w:rPr>
          <w:rFonts w:ascii="Book Antiqua" w:hAnsi="Book Antiqua"/>
          <w:bCs/>
          <w:sz w:val="22"/>
          <w:szCs w:val="22"/>
        </w:rPr>
        <w:t>s osobou, ktorá podnet podala</w:t>
      </w:r>
      <w:r w:rsidR="00391A7C" w:rsidRPr="008B7143">
        <w:rPr>
          <w:rFonts w:ascii="Book Antiqua" w:hAnsi="Book Antiqua"/>
          <w:bCs/>
          <w:sz w:val="22"/>
          <w:szCs w:val="22"/>
        </w:rPr>
        <w:t>, a to v mieste jej bydliska na znak ústretovosti štátneho orgánu voči občanovi</w:t>
      </w:r>
      <w:r w:rsidRPr="008B7143">
        <w:rPr>
          <w:rFonts w:ascii="Book Antiqua" w:hAnsi="Book Antiqua"/>
          <w:bCs/>
          <w:sz w:val="22"/>
          <w:szCs w:val="22"/>
        </w:rPr>
        <w:t>.</w:t>
      </w:r>
      <w:r w:rsidR="00391A7C" w:rsidRPr="008B7143">
        <w:rPr>
          <w:rFonts w:ascii="Book Antiqua" w:hAnsi="Book Antiqua"/>
          <w:bCs/>
          <w:sz w:val="22"/>
          <w:szCs w:val="22"/>
        </w:rPr>
        <w:t xml:space="preserve"> Ak sa Generálna prokuratúra SR</w:t>
      </w:r>
      <w:r w:rsidR="00FF7075" w:rsidRPr="008B7143">
        <w:rPr>
          <w:rFonts w:ascii="Book Antiqua" w:hAnsi="Book Antiqua"/>
          <w:bCs/>
          <w:sz w:val="22"/>
          <w:szCs w:val="22"/>
        </w:rPr>
        <w:t xml:space="preserve"> nezhoduje s obsahom podnetu a neplánuje uplatniť náhradu za škodu spôsobenú štátu, ďalšiu konzultáciu s občanom nevykoná. V oboch prípadoch však musí </w:t>
      </w:r>
      <w:r w:rsidR="00FF7075" w:rsidRPr="008B7143">
        <w:rPr>
          <w:rFonts w:ascii="Book Antiqua" w:hAnsi="Book Antiqua"/>
          <w:bCs/>
          <w:sz w:val="22"/>
          <w:szCs w:val="22"/>
        </w:rPr>
        <w:lastRenderedPageBreak/>
        <w:t xml:space="preserve">v lehote 90 dní zareagovať na podnet a zaslať tretej osobe odpoveď, v ktorej jednoznačne oznámi svoj ďalší postup: </w:t>
      </w:r>
      <w:r w:rsidR="00B734FE" w:rsidRPr="008B7143">
        <w:rPr>
          <w:rFonts w:ascii="Book Antiqua" w:hAnsi="Book Antiqua"/>
          <w:bCs/>
          <w:sz w:val="22"/>
          <w:szCs w:val="22"/>
        </w:rPr>
        <w:t xml:space="preserve"> </w:t>
      </w:r>
      <w:r w:rsidR="00FF7075" w:rsidRPr="008B7143">
        <w:rPr>
          <w:rFonts w:ascii="Book Antiqua" w:hAnsi="Book Antiqua"/>
          <w:bCs/>
          <w:sz w:val="22"/>
          <w:szCs w:val="22"/>
        </w:rPr>
        <w:t xml:space="preserve">teda </w:t>
      </w:r>
      <w:r w:rsidR="00B734FE" w:rsidRPr="008B7143">
        <w:rPr>
          <w:rFonts w:ascii="Book Antiqua" w:hAnsi="Book Antiqua"/>
          <w:bCs/>
          <w:sz w:val="22"/>
          <w:szCs w:val="22"/>
        </w:rPr>
        <w:t>či uplatní na súde v mene štátu právo na</w:t>
      </w:r>
      <w:r w:rsidR="00FF7075" w:rsidRPr="008B7143">
        <w:rPr>
          <w:rFonts w:ascii="Book Antiqua" w:hAnsi="Book Antiqua"/>
          <w:bCs/>
          <w:sz w:val="22"/>
          <w:szCs w:val="22"/>
        </w:rPr>
        <w:t xml:space="preserve"> náhradu škody spôsobenej štátu alebo od takéhoto konania upustí.</w:t>
      </w:r>
    </w:p>
    <w:p w:rsidR="002B6975" w:rsidRPr="008B7143" w:rsidRDefault="00391A7C" w:rsidP="00E334EB">
      <w:pPr>
        <w:pStyle w:val="Normlnywebov"/>
        <w:spacing w:before="120" w:beforeAutospacing="0" w:after="0" w:afterAutospacing="0" w:line="276" w:lineRule="auto"/>
        <w:ind w:firstLine="708"/>
        <w:jc w:val="both"/>
        <w:rPr>
          <w:rFonts w:ascii="Book Antiqua" w:hAnsi="Book Antiqua"/>
          <w:b/>
          <w:bCs/>
          <w:sz w:val="22"/>
          <w:szCs w:val="22"/>
        </w:rPr>
      </w:pPr>
      <w:r w:rsidRPr="008B7143">
        <w:rPr>
          <w:rFonts w:ascii="Book Antiqua" w:hAnsi="Book Antiqua"/>
          <w:bCs/>
          <w:sz w:val="22"/>
          <w:szCs w:val="22"/>
        </w:rPr>
        <w:t>Ak sa G</w:t>
      </w:r>
      <w:r w:rsidR="002B6975" w:rsidRPr="008B7143">
        <w:rPr>
          <w:rFonts w:ascii="Book Antiqua" w:hAnsi="Book Antiqua"/>
          <w:bCs/>
          <w:sz w:val="22"/>
          <w:szCs w:val="22"/>
        </w:rPr>
        <w:t xml:space="preserve">enerálna prokuratúra </w:t>
      </w:r>
      <w:r w:rsidRPr="008B7143">
        <w:rPr>
          <w:rFonts w:ascii="Book Antiqua" w:hAnsi="Book Antiqua"/>
          <w:bCs/>
          <w:sz w:val="22"/>
          <w:szCs w:val="22"/>
        </w:rPr>
        <w:t xml:space="preserve">SR </w:t>
      </w:r>
      <w:r w:rsidR="002B6975" w:rsidRPr="008B7143">
        <w:rPr>
          <w:rFonts w:ascii="Book Antiqua" w:hAnsi="Book Antiqua"/>
          <w:bCs/>
          <w:sz w:val="22"/>
          <w:szCs w:val="22"/>
        </w:rPr>
        <w:t>postaví k podnetu negatívne a nezačne konanie vo veci uplatnenia práva</w:t>
      </w:r>
      <w:r w:rsidR="00B734FE" w:rsidRPr="008B7143">
        <w:rPr>
          <w:rFonts w:ascii="Book Antiqua" w:hAnsi="Book Antiqua"/>
          <w:bCs/>
          <w:sz w:val="22"/>
          <w:szCs w:val="22"/>
        </w:rPr>
        <w:t xml:space="preserve"> na náhradu škody spôsobenej štátu,</w:t>
      </w:r>
      <w:r w:rsidR="002B6975" w:rsidRPr="008B7143">
        <w:rPr>
          <w:rFonts w:ascii="Book Antiqua" w:hAnsi="Book Antiqua"/>
          <w:bCs/>
          <w:sz w:val="22"/>
          <w:szCs w:val="22"/>
        </w:rPr>
        <w:t xml:space="preserve"> vzniká priestor pre osobu, ktorá podnet pôvodne podala – </w:t>
      </w:r>
      <w:r w:rsidR="002B6975" w:rsidRPr="008B7143">
        <w:rPr>
          <w:rFonts w:ascii="Book Antiqua" w:hAnsi="Book Antiqua"/>
          <w:b/>
          <w:bCs/>
          <w:sz w:val="22"/>
          <w:szCs w:val="22"/>
        </w:rPr>
        <w:t>od momentu doručenia zápornej odpovede generálnej prokuratúry môže táto osoba</w:t>
      </w:r>
      <w:r w:rsidR="00B734FE" w:rsidRPr="008B7143">
        <w:rPr>
          <w:rFonts w:ascii="Book Antiqua" w:hAnsi="Book Antiqua"/>
          <w:b/>
          <w:bCs/>
          <w:sz w:val="22"/>
          <w:szCs w:val="22"/>
        </w:rPr>
        <w:t xml:space="preserve"> </w:t>
      </w:r>
      <w:r w:rsidR="002B6975" w:rsidRPr="008B7143">
        <w:rPr>
          <w:rFonts w:ascii="Book Antiqua" w:hAnsi="Book Antiqua"/>
          <w:b/>
          <w:bCs/>
          <w:sz w:val="22"/>
          <w:szCs w:val="22"/>
        </w:rPr>
        <w:t>začať konať</w:t>
      </w:r>
      <w:r w:rsidR="00B734FE" w:rsidRPr="008B7143">
        <w:rPr>
          <w:rFonts w:ascii="Book Antiqua" w:hAnsi="Book Antiqua"/>
          <w:b/>
          <w:bCs/>
          <w:sz w:val="22"/>
          <w:szCs w:val="22"/>
        </w:rPr>
        <w:t xml:space="preserve"> vo veci uplatnenia práva na náhradu škody </w:t>
      </w:r>
      <w:r w:rsidR="002B6975" w:rsidRPr="008B7143">
        <w:rPr>
          <w:rFonts w:ascii="Book Antiqua" w:hAnsi="Book Antiqua"/>
          <w:b/>
          <w:bCs/>
          <w:sz w:val="22"/>
          <w:szCs w:val="22"/>
        </w:rPr>
        <w:t>v mene štátu.</w:t>
      </w:r>
    </w:p>
    <w:p w:rsidR="002B6975" w:rsidRPr="008B7143" w:rsidRDefault="002B6975"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Keďže základným momentom pre začatie tohto konania je doručenie odpovede generálnej prokuratúry, návrh zákona zohľadňuje aj potenciálne nesplnenie tejto zákonnej povinnosti zo strany tohto štátneho orgánu. Ak by prokuratúra </w:t>
      </w:r>
      <w:r w:rsidR="00C37E13" w:rsidRPr="008B7143">
        <w:rPr>
          <w:rFonts w:ascii="Book Antiqua" w:hAnsi="Book Antiqua"/>
          <w:bCs/>
          <w:sz w:val="22"/>
          <w:szCs w:val="22"/>
        </w:rPr>
        <w:t xml:space="preserve">nezaslala v zákonom stanovenej lehote žiadnu odpoveď, nastáva fikcia negatívnej odpovede, čím sa </w:t>
      </w:r>
      <w:r w:rsidR="00C37E13" w:rsidRPr="008B7143">
        <w:rPr>
          <w:rFonts w:ascii="Book Antiqua" w:hAnsi="Book Antiqua"/>
          <w:bCs/>
          <w:i/>
          <w:sz w:val="22"/>
          <w:szCs w:val="22"/>
        </w:rPr>
        <w:t>ex lege</w:t>
      </w:r>
      <w:r w:rsidR="00C37E13" w:rsidRPr="008B7143">
        <w:rPr>
          <w:rFonts w:ascii="Book Antiqua" w:hAnsi="Book Antiqua"/>
          <w:bCs/>
          <w:sz w:val="22"/>
          <w:szCs w:val="22"/>
        </w:rPr>
        <w:t xml:space="preserve"> vytvára možnosť pre tretiu osobu iniciovať podanie na súd.</w:t>
      </w:r>
      <w:r w:rsidR="00391A7C" w:rsidRPr="008B7143">
        <w:rPr>
          <w:rFonts w:ascii="Book Antiqua" w:hAnsi="Book Antiqua"/>
          <w:bCs/>
          <w:sz w:val="22"/>
          <w:szCs w:val="22"/>
        </w:rPr>
        <w:t xml:space="preserve"> Takýto mechanizmus fiktívneho úkonu pozná napríklad aj zákon č. 211/2000 Z. z. o slobodnom prístupe k informáciám </w:t>
      </w:r>
      <w:r w:rsidR="00E05F57" w:rsidRPr="008B7143">
        <w:rPr>
          <w:rFonts w:ascii="Book Antiqua" w:hAnsi="Book Antiqua"/>
          <w:bCs/>
          <w:sz w:val="22"/>
          <w:szCs w:val="22"/>
        </w:rPr>
        <w:t>a o zmene a doplnení niektorých zákonov (zákon o slobode informácií) v znení neskorších predpisov.</w:t>
      </w:r>
    </w:p>
    <w:p w:rsidR="00426013" w:rsidRPr="008B7143" w:rsidRDefault="00011D16" w:rsidP="00DB65B8">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Samotné podanie návrhu na súd musí tretia osoba vykonať bez zbytočného odkladu, najneskôr </w:t>
      </w:r>
      <w:r w:rsidR="00B734FE" w:rsidRPr="008B7143">
        <w:rPr>
          <w:rFonts w:ascii="Book Antiqua" w:hAnsi="Book Antiqua"/>
          <w:bCs/>
          <w:sz w:val="22"/>
          <w:szCs w:val="22"/>
        </w:rPr>
        <w:t xml:space="preserve"> </w:t>
      </w:r>
      <w:r w:rsidRPr="008B7143">
        <w:rPr>
          <w:rFonts w:ascii="Book Antiqua" w:hAnsi="Book Antiqua"/>
          <w:bCs/>
          <w:sz w:val="22"/>
          <w:szCs w:val="22"/>
        </w:rPr>
        <w:t xml:space="preserve">v lehote do </w:t>
      </w:r>
      <w:r w:rsidR="00B734FE" w:rsidRPr="008B7143">
        <w:rPr>
          <w:rFonts w:ascii="Book Antiqua" w:hAnsi="Book Antiqua"/>
          <w:bCs/>
          <w:sz w:val="22"/>
          <w:szCs w:val="22"/>
        </w:rPr>
        <w:t>60 dní odo dňa</w:t>
      </w:r>
      <w:r w:rsidRPr="008B7143">
        <w:rPr>
          <w:rFonts w:ascii="Book Antiqua" w:hAnsi="Book Antiqua"/>
          <w:bCs/>
          <w:sz w:val="22"/>
          <w:szCs w:val="22"/>
        </w:rPr>
        <w:t xml:space="preserve">, kedy jej vzniklo právo na toto konanie. </w:t>
      </w:r>
      <w:r w:rsidR="00E05F57" w:rsidRPr="008B7143">
        <w:rPr>
          <w:rFonts w:ascii="Book Antiqua" w:hAnsi="Book Antiqua"/>
          <w:bCs/>
          <w:sz w:val="22"/>
          <w:szCs w:val="22"/>
        </w:rPr>
        <w:t xml:space="preserve">Návrh na súd musí okrem </w:t>
      </w:r>
      <w:r w:rsidRPr="008B7143">
        <w:rPr>
          <w:rFonts w:ascii="Book Antiqua" w:hAnsi="Book Antiqua"/>
          <w:bCs/>
          <w:sz w:val="22"/>
          <w:szCs w:val="22"/>
        </w:rPr>
        <w:t xml:space="preserve">všeobecných náležitostí obsahovať </w:t>
      </w:r>
      <w:r w:rsidR="008074AF" w:rsidRPr="008B7143">
        <w:rPr>
          <w:rFonts w:ascii="Book Antiqua" w:hAnsi="Book Antiqua"/>
          <w:bCs/>
          <w:sz w:val="22"/>
          <w:szCs w:val="22"/>
        </w:rPr>
        <w:t xml:space="preserve">aj </w:t>
      </w:r>
      <w:r w:rsidR="00E05F57" w:rsidRPr="008B7143">
        <w:rPr>
          <w:rFonts w:ascii="Book Antiqua" w:hAnsi="Book Antiqua"/>
          <w:bCs/>
          <w:sz w:val="22"/>
          <w:szCs w:val="22"/>
        </w:rPr>
        <w:t xml:space="preserve">petit žalobného návrhu naformulovaný tak, </w:t>
      </w:r>
      <w:r w:rsidR="008074AF" w:rsidRPr="008B7143">
        <w:rPr>
          <w:rFonts w:ascii="Book Antiqua" w:hAnsi="Book Antiqua"/>
          <w:bCs/>
          <w:sz w:val="22"/>
          <w:szCs w:val="22"/>
        </w:rPr>
        <w:t xml:space="preserve">že </w:t>
      </w:r>
      <w:r w:rsidR="00B734FE" w:rsidRPr="008B7143">
        <w:rPr>
          <w:rFonts w:ascii="Book Antiqua" w:hAnsi="Book Antiqua"/>
          <w:bCs/>
          <w:sz w:val="22"/>
          <w:szCs w:val="22"/>
        </w:rPr>
        <w:t xml:space="preserve">osobou, ktorej sa má plniť </w:t>
      </w:r>
      <w:r w:rsidR="00CF2B4F" w:rsidRPr="008B7143">
        <w:rPr>
          <w:rFonts w:ascii="Book Antiqua" w:hAnsi="Book Antiqua"/>
          <w:bCs/>
          <w:sz w:val="22"/>
          <w:szCs w:val="22"/>
        </w:rPr>
        <w:t>(</w:t>
      </w:r>
      <w:r w:rsidR="00B734FE" w:rsidRPr="008B7143">
        <w:rPr>
          <w:rFonts w:ascii="Book Antiqua" w:hAnsi="Book Antiqua"/>
          <w:bCs/>
          <w:sz w:val="22"/>
          <w:szCs w:val="22"/>
        </w:rPr>
        <w:t>to, čo sa navrhuje uloži</w:t>
      </w:r>
      <w:r w:rsidR="00CF2B4F" w:rsidRPr="008B7143">
        <w:rPr>
          <w:rFonts w:ascii="Book Antiqua" w:hAnsi="Book Antiqua"/>
          <w:bCs/>
          <w:sz w:val="22"/>
          <w:szCs w:val="22"/>
        </w:rPr>
        <w:t>ť vykonateľným rozhodnutím súdu)</w:t>
      </w:r>
      <w:r w:rsidR="008074AF" w:rsidRPr="008B7143">
        <w:rPr>
          <w:rFonts w:ascii="Book Antiqua" w:hAnsi="Book Antiqua"/>
          <w:bCs/>
          <w:sz w:val="22"/>
          <w:szCs w:val="22"/>
        </w:rPr>
        <w:t xml:space="preserve"> je orgán konajúci v mene štátu.</w:t>
      </w:r>
      <w:r w:rsidR="00E05F57" w:rsidRPr="008B7143">
        <w:rPr>
          <w:rFonts w:ascii="Book Antiqua" w:hAnsi="Book Antiqua"/>
          <w:bCs/>
          <w:sz w:val="22"/>
          <w:szCs w:val="22"/>
        </w:rPr>
        <w:t xml:space="preserve"> Tým sa zachová systém, ktorý je charakteristický aj pre americký model žaloby „</w:t>
      </w:r>
      <w:r w:rsidR="00E05F57" w:rsidRPr="008B7143">
        <w:rPr>
          <w:rFonts w:ascii="Book Antiqua" w:hAnsi="Book Antiqua"/>
          <w:bCs/>
          <w:i/>
          <w:sz w:val="22"/>
          <w:szCs w:val="22"/>
        </w:rPr>
        <w:t>qui tam</w:t>
      </w:r>
      <w:r w:rsidR="00E05F57" w:rsidRPr="008B7143">
        <w:rPr>
          <w:rFonts w:ascii="Book Antiqua" w:hAnsi="Book Antiqua"/>
          <w:bCs/>
          <w:sz w:val="22"/>
          <w:szCs w:val="22"/>
        </w:rPr>
        <w:t>“</w:t>
      </w:r>
      <w:r w:rsidR="002B50BE" w:rsidRPr="008B7143">
        <w:rPr>
          <w:rFonts w:ascii="Book Antiqua" w:hAnsi="Book Antiqua"/>
          <w:bCs/>
          <w:sz w:val="22"/>
          <w:szCs w:val="22"/>
        </w:rPr>
        <w:t>, že právo na náhradu škody má stále štát, ktorý je aj jediným oprávneným na podanie návrhu na výkon rozhodnutia (exekúciu), ak povinný dobrovoľne neplní to, čo mu prikazuje vykonateľné právoplatné rozhodnutie súdu.</w:t>
      </w:r>
    </w:p>
    <w:p w:rsidR="00E27D03" w:rsidRPr="008B7143" w:rsidRDefault="008074AF"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Štvrtá časť návrhu zákona, nazvaná </w:t>
      </w:r>
      <w:r w:rsidRPr="008B7143">
        <w:rPr>
          <w:rFonts w:ascii="Book Antiqua" w:hAnsi="Book Antiqua"/>
          <w:b/>
          <w:bCs/>
          <w:sz w:val="22"/>
          <w:szCs w:val="22"/>
        </w:rPr>
        <w:t xml:space="preserve">odmena a trovy konania, </w:t>
      </w:r>
      <w:r w:rsidRPr="008B7143">
        <w:rPr>
          <w:rFonts w:ascii="Book Antiqua" w:hAnsi="Book Antiqua"/>
          <w:bCs/>
          <w:sz w:val="22"/>
          <w:szCs w:val="22"/>
        </w:rPr>
        <w:t xml:space="preserve">sa skladá z piatich  paragrafov, ktoré </w:t>
      </w:r>
      <w:r w:rsidR="00CF2B4F" w:rsidRPr="008B7143">
        <w:rPr>
          <w:rFonts w:ascii="Book Antiqua" w:hAnsi="Book Antiqua"/>
          <w:bCs/>
          <w:sz w:val="22"/>
          <w:szCs w:val="22"/>
        </w:rPr>
        <w:t xml:space="preserve">komplexne </w:t>
      </w:r>
      <w:r w:rsidRPr="008B7143">
        <w:rPr>
          <w:rFonts w:ascii="Book Antiqua" w:hAnsi="Book Antiqua"/>
          <w:bCs/>
          <w:sz w:val="22"/>
          <w:szCs w:val="22"/>
        </w:rPr>
        <w:t>upravujú celý proces poskytnutia</w:t>
      </w:r>
      <w:r w:rsidR="00E27D03" w:rsidRPr="008B7143">
        <w:rPr>
          <w:rFonts w:ascii="Book Antiqua" w:hAnsi="Book Antiqua"/>
          <w:bCs/>
          <w:sz w:val="22"/>
          <w:szCs w:val="22"/>
        </w:rPr>
        <w:t xml:space="preserve"> podielovej</w:t>
      </w:r>
      <w:r w:rsidRPr="008B7143">
        <w:rPr>
          <w:rFonts w:ascii="Book Antiqua" w:hAnsi="Book Antiqua"/>
          <w:bCs/>
          <w:sz w:val="22"/>
          <w:szCs w:val="22"/>
        </w:rPr>
        <w:t xml:space="preserve"> odmeny a náhrad trov konania.</w:t>
      </w:r>
    </w:p>
    <w:p w:rsidR="00E27D03" w:rsidRPr="008B7143" w:rsidRDefault="008074AF"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Pred charakterizovaním základných procesných krokov je nevyhnutné uviesť zop</w:t>
      </w:r>
      <w:r w:rsidR="00E84A28" w:rsidRPr="008B7143">
        <w:rPr>
          <w:rFonts w:ascii="Book Antiqua" w:hAnsi="Book Antiqua"/>
          <w:bCs/>
          <w:sz w:val="22"/>
          <w:szCs w:val="22"/>
        </w:rPr>
        <w:t>ár term</w:t>
      </w:r>
      <w:r w:rsidRPr="008B7143">
        <w:rPr>
          <w:rFonts w:ascii="Book Antiqua" w:hAnsi="Book Antiqua"/>
          <w:bCs/>
          <w:sz w:val="22"/>
          <w:szCs w:val="22"/>
        </w:rPr>
        <w:t>i</w:t>
      </w:r>
      <w:r w:rsidR="00E84A28" w:rsidRPr="008B7143">
        <w:rPr>
          <w:rFonts w:ascii="Book Antiqua" w:hAnsi="Book Antiqua"/>
          <w:bCs/>
          <w:sz w:val="22"/>
          <w:szCs w:val="22"/>
        </w:rPr>
        <w:t>nologi</w:t>
      </w:r>
      <w:r w:rsidRPr="008B7143">
        <w:rPr>
          <w:rFonts w:ascii="Book Antiqua" w:hAnsi="Book Antiqua"/>
          <w:bCs/>
          <w:sz w:val="22"/>
          <w:szCs w:val="22"/>
        </w:rPr>
        <w:t>ckých vysvetlení. V prvom ra</w:t>
      </w:r>
      <w:r w:rsidR="00E27D03" w:rsidRPr="008B7143">
        <w:rPr>
          <w:rFonts w:ascii="Book Antiqua" w:hAnsi="Book Antiqua"/>
          <w:bCs/>
          <w:sz w:val="22"/>
          <w:szCs w:val="22"/>
        </w:rPr>
        <w:t>de je potrebné upozorniť na zmenu označenia aktívne legitimovaného subjektu. V konaní o uplatnení práva na náhradu škody v mene štátu bol použitý</w:t>
      </w:r>
      <w:r w:rsidR="00FF1DB5">
        <w:rPr>
          <w:rFonts w:ascii="Book Antiqua" w:hAnsi="Book Antiqua"/>
          <w:bCs/>
          <w:sz w:val="22"/>
          <w:szCs w:val="22"/>
        </w:rPr>
        <w:t xml:space="preserve"> pojem tretia osoba</w:t>
      </w:r>
      <w:r w:rsidR="00E27D03" w:rsidRPr="008B7143">
        <w:rPr>
          <w:rFonts w:ascii="Book Antiqua" w:hAnsi="Book Antiqua"/>
          <w:bCs/>
          <w:sz w:val="22"/>
          <w:szCs w:val="22"/>
        </w:rPr>
        <w:t>. Týmto pojmom bol zvýraznený aspekt z</w:t>
      </w:r>
      <w:r w:rsidR="00FF1DB5">
        <w:rPr>
          <w:rFonts w:ascii="Book Antiqua" w:hAnsi="Book Antiqua"/>
          <w:bCs/>
          <w:sz w:val="22"/>
          <w:szCs w:val="22"/>
        </w:rPr>
        <w:t xml:space="preserve"> ustanovenia    </w:t>
      </w:r>
      <w:r w:rsidR="00E27D03" w:rsidRPr="008B7143">
        <w:rPr>
          <w:rFonts w:ascii="Book Antiqua" w:hAnsi="Book Antiqua"/>
          <w:bCs/>
          <w:sz w:val="22"/>
          <w:szCs w:val="22"/>
        </w:rPr>
        <w:t xml:space="preserve">§ 4 ods. 4, teda skutočnosť, že právo na náhradu </w:t>
      </w:r>
      <w:r w:rsidR="00FF1DB5">
        <w:rPr>
          <w:rFonts w:ascii="Book Antiqua" w:hAnsi="Book Antiqua"/>
          <w:bCs/>
          <w:sz w:val="22"/>
          <w:szCs w:val="22"/>
        </w:rPr>
        <w:t xml:space="preserve">škody </w:t>
      </w:r>
      <w:r w:rsidR="00E27D03" w:rsidRPr="008B7143">
        <w:rPr>
          <w:rFonts w:ascii="Book Antiqua" w:hAnsi="Book Antiqua"/>
          <w:bCs/>
          <w:sz w:val="22"/>
          <w:szCs w:val="22"/>
        </w:rPr>
        <w:t>patrí štátu a v civilnom spore sa rozhoduje o právach a povinnostiach dvoch subjektov (štátu a verejného činite</w:t>
      </w:r>
      <w:r w:rsidR="002B50BE" w:rsidRPr="008B7143">
        <w:rPr>
          <w:rFonts w:ascii="Book Antiqua" w:hAnsi="Book Antiqua"/>
          <w:bCs/>
          <w:sz w:val="22"/>
          <w:szCs w:val="22"/>
        </w:rPr>
        <w:t>ľa) odlišných od subjektu, ktorý konanie inicioval</w:t>
      </w:r>
      <w:r w:rsidR="00E27D03" w:rsidRPr="008B7143">
        <w:rPr>
          <w:rFonts w:ascii="Book Antiqua" w:hAnsi="Book Antiqua"/>
          <w:bCs/>
          <w:sz w:val="22"/>
          <w:szCs w:val="22"/>
        </w:rPr>
        <w:t xml:space="preserve"> (tretia osoba).</w:t>
      </w:r>
    </w:p>
    <w:p w:rsidR="00471D39" w:rsidRPr="008B7143" w:rsidRDefault="00E27D03"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V tejto časti návrhu zákona sa však tretia osoba procesne mení na primárny subjekt – rozhoduje sa o jej odmene. Z tohto dôvodu nastáva </w:t>
      </w:r>
      <w:r w:rsidR="00E84A28" w:rsidRPr="008B7143">
        <w:rPr>
          <w:rFonts w:ascii="Book Antiqua" w:hAnsi="Book Antiqua"/>
          <w:bCs/>
          <w:sz w:val="22"/>
          <w:szCs w:val="22"/>
        </w:rPr>
        <w:t xml:space="preserve">adekvátna </w:t>
      </w:r>
      <w:r w:rsidRPr="008B7143">
        <w:rPr>
          <w:rFonts w:ascii="Book Antiqua" w:hAnsi="Book Antiqua"/>
          <w:bCs/>
          <w:sz w:val="22"/>
          <w:szCs w:val="22"/>
        </w:rPr>
        <w:t xml:space="preserve">terminologická zmena a návrh zákona začína používať pojem </w:t>
      </w:r>
      <w:r w:rsidRPr="008B7143">
        <w:rPr>
          <w:rFonts w:ascii="Book Antiqua" w:hAnsi="Book Antiqua"/>
          <w:b/>
          <w:bCs/>
          <w:sz w:val="22"/>
          <w:szCs w:val="22"/>
        </w:rPr>
        <w:t>oprávnenej osoby</w:t>
      </w:r>
      <w:r w:rsidRPr="008B7143">
        <w:rPr>
          <w:rFonts w:ascii="Book Antiqua" w:hAnsi="Book Antiqua"/>
          <w:bCs/>
          <w:sz w:val="22"/>
          <w:szCs w:val="22"/>
        </w:rPr>
        <w:t xml:space="preserve">. Prostredníctvom systematického výkladu je však jednoznačné, že sa jedná o osobu totožnú s osobou, ktorá vystupovala v predchádzajúcom procese ako tretia osoba. </w:t>
      </w:r>
    </w:p>
    <w:p w:rsidR="00E27D03" w:rsidRPr="008B7143" w:rsidRDefault="00E27D03" w:rsidP="00E334EB">
      <w:pPr>
        <w:pStyle w:val="Normlnywebov"/>
        <w:spacing w:before="120" w:beforeAutospacing="0" w:after="0" w:afterAutospacing="0" w:line="276" w:lineRule="auto"/>
        <w:ind w:firstLine="708"/>
        <w:jc w:val="both"/>
        <w:rPr>
          <w:rFonts w:ascii="Book Antiqua" w:hAnsi="Book Antiqua"/>
          <w:bCs/>
          <w:sz w:val="22"/>
          <w:szCs w:val="22"/>
        </w:rPr>
      </w:pPr>
      <w:r w:rsidRPr="00233BCE">
        <w:rPr>
          <w:rFonts w:ascii="Book Antiqua" w:hAnsi="Book Antiqua"/>
          <w:bCs/>
          <w:sz w:val="22"/>
          <w:szCs w:val="22"/>
        </w:rPr>
        <w:t xml:space="preserve">Druhá terminologická poznámka sa týka pojmov </w:t>
      </w:r>
      <w:r w:rsidRPr="00233BCE">
        <w:rPr>
          <w:rFonts w:ascii="Book Antiqua" w:hAnsi="Book Antiqua"/>
          <w:b/>
          <w:bCs/>
          <w:sz w:val="22"/>
          <w:szCs w:val="22"/>
        </w:rPr>
        <w:t>plný</w:t>
      </w:r>
      <w:r w:rsidRPr="00233BCE">
        <w:rPr>
          <w:rFonts w:ascii="Book Antiqua" w:hAnsi="Book Antiqua"/>
          <w:bCs/>
          <w:sz w:val="22"/>
          <w:szCs w:val="22"/>
        </w:rPr>
        <w:t xml:space="preserve"> a </w:t>
      </w:r>
      <w:r w:rsidRPr="00233BCE">
        <w:rPr>
          <w:rFonts w:ascii="Book Antiqua" w:hAnsi="Book Antiqua"/>
          <w:b/>
          <w:bCs/>
          <w:sz w:val="22"/>
          <w:szCs w:val="22"/>
        </w:rPr>
        <w:t>č</w:t>
      </w:r>
      <w:r w:rsidR="008074AF" w:rsidRPr="00233BCE">
        <w:rPr>
          <w:rFonts w:ascii="Book Antiqua" w:hAnsi="Book Antiqua"/>
          <w:b/>
          <w:bCs/>
          <w:sz w:val="22"/>
          <w:szCs w:val="22"/>
        </w:rPr>
        <w:t>iastočný</w:t>
      </w:r>
      <w:r w:rsidR="008074AF" w:rsidRPr="00233BCE">
        <w:rPr>
          <w:rFonts w:ascii="Book Antiqua" w:hAnsi="Book Antiqua"/>
          <w:bCs/>
          <w:sz w:val="22"/>
          <w:szCs w:val="22"/>
        </w:rPr>
        <w:t xml:space="preserve"> </w:t>
      </w:r>
      <w:r w:rsidR="008074AF" w:rsidRPr="00233BCE">
        <w:rPr>
          <w:rFonts w:ascii="Book Antiqua" w:hAnsi="Book Antiqua"/>
          <w:b/>
          <w:bCs/>
          <w:sz w:val="22"/>
          <w:szCs w:val="22"/>
        </w:rPr>
        <w:t>úspech</w:t>
      </w:r>
      <w:r w:rsidR="00471D39" w:rsidRPr="00233BCE">
        <w:rPr>
          <w:rFonts w:ascii="Book Antiqua" w:hAnsi="Book Antiqua"/>
          <w:bCs/>
          <w:sz w:val="22"/>
          <w:szCs w:val="22"/>
        </w:rPr>
        <w:t xml:space="preserve">. Tieto pojmy neboli vymedzené v rámci základných pojmov, keďže už sú súčasťou slovenského </w:t>
      </w:r>
      <w:r w:rsidR="00471D39" w:rsidRPr="00233BCE">
        <w:rPr>
          <w:rFonts w:ascii="Book Antiqua" w:hAnsi="Book Antiqua"/>
          <w:bCs/>
          <w:sz w:val="22"/>
          <w:szCs w:val="22"/>
        </w:rPr>
        <w:lastRenderedPageBreak/>
        <w:t xml:space="preserve">právneho systému </w:t>
      </w:r>
      <w:r w:rsidR="008074AF" w:rsidRPr="00233BCE">
        <w:rPr>
          <w:rFonts w:ascii="Book Antiqua" w:hAnsi="Book Antiqua"/>
          <w:bCs/>
          <w:sz w:val="22"/>
          <w:szCs w:val="22"/>
        </w:rPr>
        <w:t>–</w:t>
      </w:r>
      <w:r w:rsidR="00471D39" w:rsidRPr="00233BCE">
        <w:rPr>
          <w:rFonts w:ascii="Book Antiqua" w:hAnsi="Book Antiqua"/>
          <w:bCs/>
          <w:sz w:val="22"/>
          <w:szCs w:val="22"/>
        </w:rPr>
        <w:t xml:space="preserve"> využíva ich napríklad</w:t>
      </w:r>
      <w:r w:rsidR="008074AF" w:rsidRPr="00233BCE">
        <w:rPr>
          <w:rFonts w:ascii="Book Antiqua" w:hAnsi="Book Antiqua"/>
          <w:b/>
          <w:bCs/>
          <w:i/>
          <w:sz w:val="22"/>
          <w:szCs w:val="22"/>
        </w:rPr>
        <w:t xml:space="preserve"> </w:t>
      </w:r>
      <w:r w:rsidR="00C92063" w:rsidRPr="00233BCE">
        <w:rPr>
          <w:rFonts w:ascii="Book Antiqua" w:hAnsi="Book Antiqua"/>
          <w:bCs/>
          <w:sz w:val="22"/>
          <w:szCs w:val="22"/>
        </w:rPr>
        <w:t>§ 255</w:t>
      </w:r>
      <w:r w:rsidR="00471D39" w:rsidRPr="00233BCE">
        <w:rPr>
          <w:rFonts w:ascii="Book Antiqua" w:hAnsi="Book Antiqua"/>
          <w:bCs/>
          <w:sz w:val="22"/>
          <w:szCs w:val="22"/>
        </w:rPr>
        <w:t xml:space="preserve"> </w:t>
      </w:r>
      <w:r w:rsidR="00C92063" w:rsidRPr="00233BCE">
        <w:rPr>
          <w:rFonts w:ascii="Book Antiqua" w:hAnsi="Book Antiqua"/>
          <w:bCs/>
          <w:sz w:val="22"/>
          <w:szCs w:val="22"/>
        </w:rPr>
        <w:t xml:space="preserve">Civilného sporového poriadku, </w:t>
      </w:r>
      <w:r w:rsidR="00471D39" w:rsidRPr="00233BCE">
        <w:rPr>
          <w:rFonts w:ascii="Book Antiqua" w:hAnsi="Book Antiqua"/>
          <w:bCs/>
          <w:sz w:val="22"/>
          <w:szCs w:val="22"/>
        </w:rPr>
        <w:t>ktorý upravuje náhradu</w:t>
      </w:r>
      <w:r w:rsidRPr="00233BCE">
        <w:rPr>
          <w:rFonts w:ascii="Book Antiqua" w:hAnsi="Book Antiqua"/>
          <w:bCs/>
          <w:sz w:val="22"/>
          <w:szCs w:val="22"/>
        </w:rPr>
        <w:t xml:space="preserve"> trov konania</w:t>
      </w:r>
      <w:r w:rsidR="00471D39" w:rsidRPr="00233BCE">
        <w:rPr>
          <w:rFonts w:ascii="Book Antiqua" w:hAnsi="Book Antiqua"/>
          <w:bCs/>
          <w:sz w:val="22"/>
          <w:szCs w:val="22"/>
        </w:rPr>
        <w:t>.</w:t>
      </w:r>
    </w:p>
    <w:p w:rsidR="0079342A" w:rsidRPr="008B7143" w:rsidRDefault="0079342A"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Uvedené pojmy plný a čiastočný úspech sú osobitne dôležité z procesného hľadiska, keďže úspech v konaní na súde vo veci uplatnenia práva v mene štátu je nielen konštitutívnym momentom pre vznik nároku na podielovú odmenu, ale determinuje aj výšku tejto odmeny. </w:t>
      </w:r>
    </w:p>
    <w:p w:rsidR="0079342A" w:rsidRPr="008B7143" w:rsidRDefault="0079342A"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Oprávnenej osobe, ktorá mala </w:t>
      </w:r>
      <w:r w:rsidRPr="008B7143">
        <w:rPr>
          <w:rFonts w:ascii="Book Antiqua" w:hAnsi="Book Antiqua"/>
          <w:b/>
          <w:bCs/>
          <w:sz w:val="22"/>
          <w:szCs w:val="22"/>
        </w:rPr>
        <w:t>plný úspech</w:t>
      </w:r>
      <w:r w:rsidRPr="008B7143">
        <w:rPr>
          <w:rFonts w:ascii="Book Antiqua" w:hAnsi="Book Antiqua"/>
          <w:bCs/>
          <w:sz w:val="22"/>
          <w:szCs w:val="22"/>
        </w:rPr>
        <w:t xml:space="preserve">, sa poskytne podielová </w:t>
      </w:r>
      <w:r w:rsidRPr="008B7143">
        <w:rPr>
          <w:rFonts w:ascii="Book Antiqua" w:hAnsi="Book Antiqua"/>
          <w:b/>
          <w:bCs/>
          <w:sz w:val="22"/>
          <w:szCs w:val="22"/>
        </w:rPr>
        <w:t>odmena vo výške 30%</w:t>
      </w:r>
      <w:r w:rsidR="002B50BE" w:rsidRPr="008B7143">
        <w:rPr>
          <w:rFonts w:ascii="Book Antiqua" w:hAnsi="Book Antiqua"/>
          <w:bCs/>
          <w:sz w:val="22"/>
          <w:szCs w:val="22"/>
        </w:rPr>
        <w:t xml:space="preserve"> z hodnoty navráteného majetku štátu alebo územnej samosprávy</w:t>
      </w:r>
      <w:r w:rsidRPr="008B7143">
        <w:rPr>
          <w:rFonts w:ascii="Book Antiqua" w:hAnsi="Book Antiqua"/>
          <w:bCs/>
          <w:sz w:val="22"/>
          <w:szCs w:val="22"/>
        </w:rPr>
        <w:t>. V prípade čiastkového úspechu</w:t>
      </w:r>
      <w:r w:rsidR="00FB2504" w:rsidRPr="008B7143">
        <w:rPr>
          <w:rFonts w:ascii="Book Antiqua" w:hAnsi="Book Antiqua"/>
          <w:bCs/>
          <w:sz w:val="22"/>
          <w:szCs w:val="22"/>
        </w:rPr>
        <w:t xml:space="preserve"> je oprávnená osoba odmenená nižšou sumou, ktorá predstavuje </w:t>
      </w:r>
      <w:r w:rsidR="00E84A28" w:rsidRPr="008B7143">
        <w:rPr>
          <w:rFonts w:ascii="Book Antiqua" w:hAnsi="Book Antiqua"/>
          <w:b/>
          <w:bCs/>
          <w:sz w:val="22"/>
          <w:szCs w:val="22"/>
        </w:rPr>
        <w:t>polovičku</w:t>
      </w:r>
      <w:r w:rsidR="00FB2504" w:rsidRPr="008B7143">
        <w:rPr>
          <w:rFonts w:ascii="Book Antiqua" w:hAnsi="Book Antiqua"/>
          <w:b/>
          <w:bCs/>
          <w:sz w:val="22"/>
          <w:szCs w:val="22"/>
        </w:rPr>
        <w:t xml:space="preserve"> sumy</w:t>
      </w:r>
      <w:r w:rsidR="00FB2504" w:rsidRPr="008B7143">
        <w:rPr>
          <w:rFonts w:ascii="Book Antiqua" w:hAnsi="Book Antiqua"/>
          <w:bCs/>
          <w:sz w:val="22"/>
          <w:szCs w:val="22"/>
        </w:rPr>
        <w:t>, ktorú mohol získať v prípade plného úspechu. Popri podielovej odmene patrí oprávnenej osobe, ktorá mala v konaní na súde aspoň čiastočný úspech</w:t>
      </w:r>
      <w:r w:rsidR="00E84A28" w:rsidRPr="008B7143">
        <w:rPr>
          <w:rFonts w:ascii="Book Antiqua" w:hAnsi="Book Antiqua"/>
          <w:bCs/>
          <w:sz w:val="22"/>
          <w:szCs w:val="22"/>
        </w:rPr>
        <w:t>,</w:t>
      </w:r>
      <w:r w:rsidR="00FB2504" w:rsidRPr="008B7143">
        <w:rPr>
          <w:rFonts w:ascii="Book Antiqua" w:hAnsi="Book Antiqua"/>
          <w:bCs/>
          <w:sz w:val="22"/>
          <w:szCs w:val="22"/>
        </w:rPr>
        <w:t xml:space="preserve"> aj náhrada účelne vynaložených trov konania (za predpokladu, že tieto náhrady neboli priznané súdom podľa osobitného predpisu).</w:t>
      </w:r>
    </w:p>
    <w:p w:rsidR="00471D39" w:rsidRPr="008B7143" w:rsidRDefault="00471D39"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Z procesnoprávneho hľadiska je potrebn</w:t>
      </w:r>
      <w:r w:rsidR="00FB2504" w:rsidRPr="008B7143">
        <w:rPr>
          <w:rFonts w:ascii="Book Antiqua" w:hAnsi="Book Antiqua"/>
          <w:bCs/>
          <w:sz w:val="22"/>
          <w:szCs w:val="22"/>
        </w:rPr>
        <w:t>é taktiež</w:t>
      </w:r>
      <w:r w:rsidRPr="008B7143">
        <w:rPr>
          <w:rFonts w:ascii="Book Antiqua" w:hAnsi="Book Antiqua"/>
          <w:bCs/>
          <w:sz w:val="22"/>
          <w:szCs w:val="22"/>
        </w:rPr>
        <w:t xml:space="preserve"> zdôrazniť, že odmenu oprávnenej osobe poskytuje v zmysle ustanovení tejto časti návrhu zákona </w:t>
      </w:r>
      <w:r w:rsidRPr="008B7143">
        <w:rPr>
          <w:rFonts w:ascii="Book Antiqua" w:hAnsi="Book Antiqua"/>
          <w:b/>
          <w:bCs/>
          <w:sz w:val="22"/>
          <w:szCs w:val="22"/>
        </w:rPr>
        <w:t>generálna prokuratúra</w:t>
      </w:r>
      <w:r w:rsidR="00FB2504" w:rsidRPr="008B7143">
        <w:rPr>
          <w:rFonts w:ascii="Book Antiqua" w:hAnsi="Book Antiqua"/>
          <w:bCs/>
          <w:sz w:val="22"/>
          <w:szCs w:val="22"/>
        </w:rPr>
        <w:t xml:space="preserve"> na </w:t>
      </w:r>
      <w:r w:rsidRPr="008B7143">
        <w:rPr>
          <w:rFonts w:ascii="Book Antiqua" w:hAnsi="Book Antiqua"/>
          <w:bCs/>
          <w:sz w:val="22"/>
          <w:szCs w:val="22"/>
        </w:rPr>
        <w:t>základe žiadosti, ktorú jej oprávnená osoba doručí v lehote do šiestich mesiacov odo dňa doručenia právoplatného rozhodnutia súdu</w:t>
      </w:r>
      <w:r w:rsidR="0079342A" w:rsidRPr="008B7143">
        <w:rPr>
          <w:rFonts w:ascii="Book Antiqua" w:hAnsi="Book Antiqua"/>
          <w:bCs/>
          <w:sz w:val="22"/>
          <w:szCs w:val="22"/>
        </w:rPr>
        <w:t xml:space="preserve">. </w:t>
      </w:r>
      <w:r w:rsidR="00FB2504" w:rsidRPr="008B7143">
        <w:rPr>
          <w:rFonts w:ascii="Book Antiqua" w:hAnsi="Book Antiqua"/>
          <w:bCs/>
          <w:sz w:val="22"/>
          <w:szCs w:val="22"/>
        </w:rPr>
        <w:t>Súčasťou tejto žiadosti je aj žiadosť o zaplatenie trov konania.</w:t>
      </w:r>
    </w:p>
    <w:p w:rsidR="00426013" w:rsidRPr="00DB65B8" w:rsidRDefault="0079342A" w:rsidP="00DB65B8">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Rovnako šesťmesačná lehota platí aj pre generálnu prokuratúru pre rozhodnutie o žiadosti, pričom táto lehota plynie od momentu doručenia žiadosti.</w:t>
      </w:r>
      <w:r w:rsidR="00FB2504" w:rsidRPr="008B7143">
        <w:rPr>
          <w:rFonts w:ascii="Book Antiqua" w:hAnsi="Book Antiqua"/>
          <w:bCs/>
          <w:sz w:val="22"/>
          <w:szCs w:val="22"/>
        </w:rPr>
        <w:t xml:space="preserve"> Odo dňa nadobudnutia právoplatnosti tohto rozhodnutia začína plynúť 30-dňová lehota, v ktorej generálna prokuratúra vyplatí oprávnenej osobe odmenu. </w:t>
      </w:r>
      <w:r w:rsidR="002B50BE" w:rsidRPr="008B7143">
        <w:rPr>
          <w:rFonts w:ascii="Book Antiqua" w:hAnsi="Book Antiqua"/>
          <w:bCs/>
          <w:sz w:val="22"/>
          <w:szCs w:val="22"/>
        </w:rPr>
        <w:t xml:space="preserve">Na postup pri poskytovaní odmeny sa použije všeobecný predpis o správnom konaní, ktorým je </w:t>
      </w:r>
      <w:r w:rsidR="002B50BE" w:rsidRPr="008B7143">
        <w:rPr>
          <w:rFonts w:ascii="Book Antiqua" w:hAnsi="Book Antiqua" w:cs="Tahoma"/>
          <w:sz w:val="22"/>
          <w:szCs w:val="22"/>
        </w:rPr>
        <w:t xml:space="preserve">zákon </w:t>
      </w:r>
      <w:r w:rsidR="002B50BE" w:rsidRPr="008B7143">
        <w:rPr>
          <w:rFonts w:ascii="Book Antiqua" w:hAnsi="Book Antiqua"/>
          <w:sz w:val="22"/>
          <w:szCs w:val="22"/>
        </w:rPr>
        <w:t>č</w:t>
      </w:r>
      <w:r w:rsidR="002B50BE" w:rsidRPr="008B7143">
        <w:rPr>
          <w:rFonts w:ascii="Book Antiqua" w:hAnsi="Book Antiqua" w:cs="Tahoma"/>
          <w:sz w:val="22"/>
          <w:szCs w:val="22"/>
        </w:rPr>
        <w:t>. 71/1967 Zb. o správnom konaní (správny poriadok) v znení neskorších predpisov.</w:t>
      </w:r>
    </w:p>
    <w:p w:rsidR="00557CD3" w:rsidRPr="008B7143" w:rsidRDefault="00557CD3"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Posledná, piata časť návrhu zákona, s názvom </w:t>
      </w:r>
      <w:r w:rsidRPr="008B7143">
        <w:rPr>
          <w:rFonts w:ascii="Book Antiqua" w:hAnsi="Book Antiqua"/>
          <w:b/>
          <w:bCs/>
          <w:sz w:val="22"/>
          <w:szCs w:val="22"/>
        </w:rPr>
        <w:t xml:space="preserve">spoločné, prechodné a záverečné ustanovenia, </w:t>
      </w:r>
      <w:r w:rsidRPr="008B7143">
        <w:rPr>
          <w:rFonts w:ascii="Book Antiqua" w:hAnsi="Book Antiqua"/>
          <w:bCs/>
          <w:sz w:val="22"/>
          <w:szCs w:val="22"/>
        </w:rPr>
        <w:t>obsahuje niekoľko ďalších relevantných právnych ustanovení so zameraním na </w:t>
      </w:r>
      <w:r w:rsidRPr="008B7143">
        <w:rPr>
          <w:rFonts w:ascii="Book Antiqua" w:hAnsi="Book Antiqua"/>
          <w:b/>
          <w:bCs/>
          <w:sz w:val="22"/>
          <w:szCs w:val="22"/>
        </w:rPr>
        <w:t xml:space="preserve">poistenie vo veci zodpovednosti za škodu </w:t>
      </w:r>
      <w:r w:rsidRPr="008B7143">
        <w:rPr>
          <w:rFonts w:ascii="Book Antiqua" w:hAnsi="Book Antiqua"/>
          <w:bCs/>
          <w:sz w:val="22"/>
          <w:szCs w:val="22"/>
        </w:rPr>
        <w:t xml:space="preserve">a na </w:t>
      </w:r>
      <w:r w:rsidRPr="008B7143">
        <w:rPr>
          <w:rFonts w:ascii="Book Antiqua" w:hAnsi="Book Antiqua"/>
          <w:b/>
          <w:bCs/>
          <w:sz w:val="22"/>
          <w:szCs w:val="22"/>
        </w:rPr>
        <w:t>inštitút regresnej náhrady</w:t>
      </w:r>
      <w:r w:rsidRPr="008B7143">
        <w:rPr>
          <w:rFonts w:ascii="Book Antiqua" w:hAnsi="Book Antiqua"/>
          <w:bCs/>
          <w:sz w:val="22"/>
          <w:szCs w:val="22"/>
        </w:rPr>
        <w:t>.</w:t>
      </w:r>
    </w:p>
    <w:p w:rsidR="00D72DDE" w:rsidRPr="008B7143" w:rsidRDefault="00557CD3"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 xml:space="preserve">Problematika poistenia zodpovednosti za škodu je diferencovaná na dva rozličné režimy. Jedným je postup v konaní pri uplatnení nároku na náhradu škody samotným štátom – v prípade existencie poistenia v tomto konaní vzniká generálnej prokuratúre povinnosť </w:t>
      </w:r>
      <w:r w:rsidR="00D72DDE" w:rsidRPr="008B7143">
        <w:rPr>
          <w:rFonts w:ascii="Book Antiqua" w:hAnsi="Book Antiqua"/>
          <w:bCs/>
          <w:sz w:val="22"/>
          <w:szCs w:val="22"/>
        </w:rPr>
        <w:t>pred podaním návrhu na súd predbežne prer</w:t>
      </w:r>
      <w:r w:rsidR="00263477" w:rsidRPr="008B7143">
        <w:rPr>
          <w:rFonts w:ascii="Book Antiqua" w:hAnsi="Book Antiqua"/>
          <w:bCs/>
          <w:sz w:val="22"/>
          <w:szCs w:val="22"/>
        </w:rPr>
        <w:t>okovať nárok na náhradu škody s </w:t>
      </w:r>
      <w:r w:rsidR="00D72DDE" w:rsidRPr="008B7143">
        <w:rPr>
          <w:rFonts w:ascii="Book Antiqua" w:hAnsi="Book Antiqua"/>
          <w:bCs/>
          <w:sz w:val="22"/>
          <w:szCs w:val="22"/>
        </w:rPr>
        <w:t>poisťovňou, ktorá poistenie uzatvorila.</w:t>
      </w:r>
    </w:p>
    <w:p w:rsidR="00263477" w:rsidRPr="008B7143" w:rsidRDefault="00C511BE" w:rsidP="00E334EB">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V druhom prípade</w:t>
      </w:r>
      <w:r w:rsidR="00263477" w:rsidRPr="008B7143">
        <w:rPr>
          <w:rFonts w:ascii="Book Antiqua" w:hAnsi="Book Antiqua"/>
          <w:bCs/>
          <w:sz w:val="22"/>
          <w:szCs w:val="22"/>
        </w:rPr>
        <w:t xml:space="preserve"> - v konaní pri uplatnení nároku na náhradu škody treťou osobou</w:t>
      </w:r>
      <w:r w:rsidR="00317D9A" w:rsidRPr="008B7143">
        <w:rPr>
          <w:rFonts w:ascii="Book Antiqua" w:hAnsi="Book Antiqua"/>
          <w:bCs/>
          <w:sz w:val="22"/>
          <w:szCs w:val="22"/>
        </w:rPr>
        <w:t xml:space="preserve"> </w:t>
      </w:r>
      <w:r w:rsidR="00263477" w:rsidRPr="008B7143">
        <w:rPr>
          <w:rFonts w:ascii="Book Antiqua" w:hAnsi="Book Antiqua"/>
          <w:bCs/>
          <w:sz w:val="22"/>
          <w:szCs w:val="22"/>
        </w:rPr>
        <w:t>-</w:t>
      </w:r>
      <w:r w:rsidRPr="008B7143">
        <w:rPr>
          <w:rFonts w:ascii="Book Antiqua" w:hAnsi="Book Antiqua"/>
          <w:bCs/>
          <w:sz w:val="22"/>
          <w:szCs w:val="22"/>
        </w:rPr>
        <w:t xml:space="preserve"> je postup</w:t>
      </w:r>
      <w:r w:rsidR="00263477" w:rsidRPr="008B7143">
        <w:rPr>
          <w:rFonts w:ascii="Book Antiqua" w:hAnsi="Book Antiqua"/>
          <w:bCs/>
          <w:sz w:val="22"/>
          <w:szCs w:val="22"/>
        </w:rPr>
        <w:t xml:space="preserve"> </w:t>
      </w:r>
      <w:r w:rsidR="00E84A28" w:rsidRPr="008B7143">
        <w:rPr>
          <w:rFonts w:ascii="Book Antiqua" w:hAnsi="Book Antiqua"/>
          <w:bCs/>
          <w:sz w:val="22"/>
          <w:szCs w:val="22"/>
        </w:rPr>
        <w:t>skomplikovaný</w:t>
      </w:r>
      <w:r w:rsidR="00263477" w:rsidRPr="008B7143">
        <w:rPr>
          <w:rFonts w:ascii="Book Antiqua" w:hAnsi="Book Antiqua"/>
          <w:bCs/>
          <w:sz w:val="22"/>
          <w:szCs w:val="22"/>
        </w:rPr>
        <w:t xml:space="preserve"> o jeden medzistupeň. </w:t>
      </w:r>
      <w:r w:rsidR="00D72DDE" w:rsidRPr="008B7143">
        <w:rPr>
          <w:rFonts w:ascii="Book Antiqua" w:hAnsi="Book Antiqua"/>
          <w:bCs/>
          <w:sz w:val="22"/>
          <w:szCs w:val="22"/>
        </w:rPr>
        <w:t xml:space="preserve">Ak súd v konaní začatom na návrh tretej osoby zistí, že verejný činiteľ </w:t>
      </w:r>
      <w:r w:rsidR="00317D9A" w:rsidRPr="008B7143">
        <w:rPr>
          <w:rFonts w:ascii="Book Antiqua" w:hAnsi="Book Antiqua"/>
          <w:bCs/>
          <w:sz w:val="22"/>
          <w:szCs w:val="22"/>
        </w:rPr>
        <w:t xml:space="preserve">je </w:t>
      </w:r>
      <w:r w:rsidR="00D72DDE" w:rsidRPr="008B7143">
        <w:rPr>
          <w:rFonts w:ascii="Book Antiqua" w:hAnsi="Book Antiqua"/>
          <w:bCs/>
          <w:sz w:val="22"/>
          <w:szCs w:val="22"/>
        </w:rPr>
        <w:t>poistený vo veci zodpovednosti za škodu sp</w:t>
      </w:r>
      <w:r w:rsidR="00263477" w:rsidRPr="008B7143">
        <w:rPr>
          <w:rFonts w:ascii="Book Antiqua" w:hAnsi="Book Antiqua"/>
          <w:bCs/>
          <w:sz w:val="22"/>
          <w:szCs w:val="22"/>
        </w:rPr>
        <w:t xml:space="preserve">ôsobenú štátu, konanie zastaví </w:t>
      </w:r>
      <w:r w:rsidR="00D72DDE" w:rsidRPr="008B7143">
        <w:rPr>
          <w:rFonts w:ascii="Book Antiqua" w:hAnsi="Book Antiqua"/>
          <w:bCs/>
          <w:sz w:val="22"/>
          <w:szCs w:val="22"/>
        </w:rPr>
        <w:t xml:space="preserve">a postúpi vec </w:t>
      </w:r>
      <w:r w:rsidR="00263477" w:rsidRPr="008B7143">
        <w:rPr>
          <w:rFonts w:ascii="Book Antiqua" w:hAnsi="Book Antiqua"/>
          <w:bCs/>
          <w:sz w:val="22"/>
          <w:szCs w:val="22"/>
        </w:rPr>
        <w:t>generálnej prokuratúre, ktorá následne koná obdobne ako v</w:t>
      </w:r>
      <w:r w:rsidR="001825C7">
        <w:rPr>
          <w:rFonts w:ascii="Book Antiqua" w:hAnsi="Book Antiqua"/>
          <w:bCs/>
          <w:sz w:val="22"/>
          <w:szCs w:val="22"/>
        </w:rPr>
        <w:t> </w:t>
      </w:r>
      <w:r w:rsidR="00263477" w:rsidRPr="008B7143">
        <w:rPr>
          <w:rFonts w:ascii="Book Antiqua" w:hAnsi="Book Antiqua"/>
          <w:bCs/>
          <w:sz w:val="22"/>
          <w:szCs w:val="22"/>
        </w:rPr>
        <w:t>pred</w:t>
      </w:r>
      <w:r w:rsidR="001825C7">
        <w:rPr>
          <w:rFonts w:ascii="Book Antiqua" w:hAnsi="Book Antiqua"/>
          <w:bCs/>
          <w:sz w:val="22"/>
          <w:szCs w:val="22"/>
        </w:rPr>
        <w:t xml:space="preserve">ošlom </w:t>
      </w:r>
      <w:r w:rsidR="00317D9A" w:rsidRPr="008B7143">
        <w:rPr>
          <w:rFonts w:ascii="Book Antiqua" w:hAnsi="Book Antiqua"/>
          <w:bCs/>
          <w:sz w:val="22"/>
          <w:szCs w:val="22"/>
        </w:rPr>
        <w:t>prípade. Podstatným prvkom</w:t>
      </w:r>
      <w:r w:rsidR="00263477" w:rsidRPr="008B7143">
        <w:rPr>
          <w:rFonts w:ascii="Book Antiqua" w:hAnsi="Book Antiqua"/>
          <w:bCs/>
          <w:sz w:val="22"/>
          <w:szCs w:val="22"/>
        </w:rPr>
        <w:t xml:space="preserve"> druhého režimu je analogické poskytnutie odmeny oprávnenej osobe aj v prípade uspokojenia nároku na náhradu škody z poistenia. </w:t>
      </w:r>
    </w:p>
    <w:p w:rsidR="00426013" w:rsidRPr="00DB65B8" w:rsidRDefault="00426013" w:rsidP="00DB65B8">
      <w:pPr>
        <w:pStyle w:val="Normlnywebov"/>
        <w:spacing w:before="120" w:beforeAutospacing="0" w:after="0" w:afterAutospacing="0" w:line="276" w:lineRule="auto"/>
        <w:ind w:firstLine="708"/>
        <w:jc w:val="both"/>
        <w:rPr>
          <w:rFonts w:ascii="Book Antiqua" w:hAnsi="Book Antiqua"/>
          <w:bCs/>
          <w:sz w:val="22"/>
          <w:szCs w:val="22"/>
        </w:rPr>
      </w:pPr>
      <w:r w:rsidRPr="008B7143">
        <w:rPr>
          <w:rFonts w:ascii="Book Antiqua" w:hAnsi="Book Antiqua"/>
          <w:bCs/>
          <w:sz w:val="22"/>
          <w:szCs w:val="22"/>
        </w:rPr>
        <w:t>Regresná náhrada</w:t>
      </w:r>
      <w:r w:rsidR="00263477" w:rsidRPr="008B7143">
        <w:rPr>
          <w:rFonts w:ascii="Book Antiqua" w:hAnsi="Book Antiqua"/>
          <w:bCs/>
          <w:sz w:val="22"/>
          <w:szCs w:val="22"/>
        </w:rPr>
        <w:t xml:space="preserve"> je, na rozdiel od poistenia, upravená len pomocou normatívneho odkazu na osobitné predpisy, ktorými v zmysle </w:t>
      </w:r>
      <w:r w:rsidR="00317D9A" w:rsidRPr="008B7143">
        <w:rPr>
          <w:rFonts w:ascii="Book Antiqua" w:hAnsi="Book Antiqua"/>
          <w:bCs/>
          <w:sz w:val="22"/>
          <w:szCs w:val="22"/>
        </w:rPr>
        <w:t xml:space="preserve">poznámky pod čiarou k príslušnému odkazu je napríklad </w:t>
      </w:r>
      <w:r w:rsidR="00263477" w:rsidRPr="008B7143">
        <w:rPr>
          <w:rFonts w:ascii="Book Antiqua" w:hAnsi="Book Antiqua"/>
          <w:bCs/>
          <w:sz w:val="22"/>
          <w:szCs w:val="22"/>
        </w:rPr>
        <w:t>§ 13a zákona č. 552/2003 Z.</w:t>
      </w:r>
      <w:r w:rsidR="001825C7">
        <w:rPr>
          <w:rFonts w:ascii="Book Antiqua" w:hAnsi="Book Antiqua"/>
          <w:bCs/>
          <w:sz w:val="22"/>
          <w:szCs w:val="22"/>
        </w:rPr>
        <w:t xml:space="preserve"> </w:t>
      </w:r>
      <w:r w:rsidR="00263477" w:rsidRPr="008B7143">
        <w:rPr>
          <w:rFonts w:ascii="Book Antiqua" w:hAnsi="Book Antiqua"/>
          <w:bCs/>
          <w:sz w:val="22"/>
          <w:szCs w:val="22"/>
        </w:rPr>
        <w:t>z. o výkone práce vo verejnom záujme.</w:t>
      </w:r>
    </w:p>
    <w:p w:rsidR="00342817" w:rsidRPr="008B7143" w:rsidRDefault="00342817" w:rsidP="00E334EB">
      <w:pPr>
        <w:pStyle w:val="Normlnywebov"/>
        <w:spacing w:before="120" w:beforeAutospacing="0" w:after="0" w:afterAutospacing="0" w:line="276" w:lineRule="auto"/>
        <w:jc w:val="both"/>
        <w:rPr>
          <w:rFonts w:ascii="Book Antiqua" w:hAnsi="Book Antiqua"/>
          <w:bCs/>
          <w:sz w:val="22"/>
          <w:szCs w:val="22"/>
        </w:rPr>
      </w:pPr>
      <w:r w:rsidRPr="008B7143">
        <w:rPr>
          <w:rFonts w:ascii="Book Antiqua" w:hAnsi="Book Antiqua"/>
          <w:bCs/>
          <w:sz w:val="22"/>
          <w:szCs w:val="22"/>
        </w:rPr>
        <w:lastRenderedPageBreak/>
        <w:tab/>
        <w:t>V spoločných ustanoveniach zákona je vymedzený vecný v</w:t>
      </w:r>
      <w:r w:rsidR="00317D9A" w:rsidRPr="008B7143">
        <w:rPr>
          <w:rFonts w:ascii="Book Antiqua" w:hAnsi="Book Antiqua"/>
          <w:bCs/>
          <w:sz w:val="22"/>
          <w:szCs w:val="22"/>
        </w:rPr>
        <w:t>zťah ustanovení návrhu zákona k</w:t>
      </w:r>
      <w:r w:rsidRPr="008B7143">
        <w:rPr>
          <w:rFonts w:ascii="Book Antiqua" w:hAnsi="Book Antiqua"/>
          <w:bCs/>
          <w:sz w:val="22"/>
          <w:szCs w:val="22"/>
        </w:rPr>
        <w:t xml:space="preserve"> všeobecnému</w:t>
      </w:r>
      <w:r w:rsidR="00426013" w:rsidRPr="008B7143">
        <w:rPr>
          <w:rFonts w:ascii="Book Antiqua" w:hAnsi="Book Antiqua"/>
          <w:bCs/>
          <w:sz w:val="22"/>
          <w:szCs w:val="22"/>
        </w:rPr>
        <w:t xml:space="preserve"> predpis</w:t>
      </w:r>
      <w:r w:rsidRPr="008B7143">
        <w:rPr>
          <w:rFonts w:ascii="Book Antiqua" w:hAnsi="Book Antiqua"/>
          <w:bCs/>
          <w:sz w:val="22"/>
          <w:szCs w:val="22"/>
        </w:rPr>
        <w:t>u</w:t>
      </w:r>
      <w:r w:rsidR="00426013" w:rsidRPr="008B7143">
        <w:rPr>
          <w:rFonts w:ascii="Book Antiqua" w:hAnsi="Book Antiqua"/>
          <w:bCs/>
          <w:sz w:val="22"/>
          <w:szCs w:val="22"/>
        </w:rPr>
        <w:t xml:space="preserve"> o správnom konaní</w:t>
      </w:r>
      <w:r w:rsidRPr="008B7143">
        <w:rPr>
          <w:rFonts w:ascii="Book Antiqua" w:hAnsi="Book Antiqua"/>
          <w:bCs/>
          <w:sz w:val="22"/>
          <w:szCs w:val="22"/>
        </w:rPr>
        <w:t>, k O</w:t>
      </w:r>
      <w:r w:rsidR="00426013" w:rsidRPr="008B7143">
        <w:rPr>
          <w:rFonts w:ascii="Book Antiqua" w:hAnsi="Book Antiqua"/>
          <w:bCs/>
          <w:sz w:val="22"/>
          <w:szCs w:val="22"/>
        </w:rPr>
        <w:t>bčian</w:t>
      </w:r>
      <w:r w:rsidRPr="008B7143">
        <w:rPr>
          <w:rFonts w:ascii="Book Antiqua" w:hAnsi="Book Antiqua"/>
          <w:bCs/>
          <w:sz w:val="22"/>
          <w:szCs w:val="22"/>
        </w:rPr>
        <w:t>skemu zákonníku a k ďalším relevantným prameňom práva medzinárodného charakteru</w:t>
      </w:r>
      <w:r w:rsidR="00426013" w:rsidRPr="008B7143">
        <w:rPr>
          <w:rFonts w:ascii="Book Antiqua" w:hAnsi="Book Antiqua"/>
          <w:bCs/>
          <w:sz w:val="22"/>
          <w:szCs w:val="22"/>
        </w:rPr>
        <w:t>.</w:t>
      </w:r>
    </w:p>
    <w:p w:rsidR="00426013" w:rsidRDefault="00342817" w:rsidP="00C92462">
      <w:pPr>
        <w:pStyle w:val="Normlnywebov"/>
        <w:spacing w:before="120" w:beforeAutospacing="0" w:after="0" w:afterAutospacing="0" w:line="276" w:lineRule="auto"/>
        <w:jc w:val="both"/>
        <w:rPr>
          <w:rFonts w:ascii="Book Antiqua" w:hAnsi="Book Antiqua"/>
          <w:bCs/>
          <w:sz w:val="22"/>
          <w:szCs w:val="22"/>
        </w:rPr>
      </w:pPr>
      <w:r w:rsidRPr="008B7143">
        <w:rPr>
          <w:rFonts w:ascii="Book Antiqua" w:hAnsi="Book Antiqua"/>
          <w:bCs/>
          <w:sz w:val="22"/>
          <w:szCs w:val="22"/>
        </w:rPr>
        <w:tab/>
        <w:t xml:space="preserve">V splnomocňujúcom ustanovení je </w:t>
      </w:r>
      <w:r w:rsidR="00317D9A" w:rsidRPr="008B7143">
        <w:rPr>
          <w:rFonts w:ascii="Book Antiqua" w:hAnsi="Book Antiqua"/>
          <w:bCs/>
          <w:sz w:val="22"/>
          <w:szCs w:val="22"/>
        </w:rPr>
        <w:t>u</w:t>
      </w:r>
      <w:r w:rsidRPr="008B7143">
        <w:rPr>
          <w:rFonts w:ascii="Book Antiqua" w:hAnsi="Book Antiqua"/>
          <w:bCs/>
          <w:sz w:val="22"/>
          <w:szCs w:val="22"/>
        </w:rPr>
        <w:t xml:space="preserve">stanovená povinnosť orgánu konajúceho v mene štátu stanoviť v lehote 60 dní odo dňa účinnosti zákona vzor žiadosti, prostredníctvom ktorej uplatňuje oprávnená osoba </w:t>
      </w:r>
      <w:r w:rsidR="00C92462">
        <w:rPr>
          <w:rFonts w:ascii="Book Antiqua" w:hAnsi="Book Antiqua"/>
          <w:bCs/>
          <w:sz w:val="22"/>
          <w:szCs w:val="22"/>
        </w:rPr>
        <w:t xml:space="preserve">svoj nárok na podielovú odmenu. </w:t>
      </w:r>
      <w:r w:rsidRPr="008B7143">
        <w:rPr>
          <w:rFonts w:ascii="Book Antiqua" w:hAnsi="Book Antiqua"/>
          <w:bCs/>
          <w:sz w:val="22"/>
          <w:szCs w:val="22"/>
        </w:rPr>
        <w:t>V tejto  časti návrhu záko</w:t>
      </w:r>
      <w:r w:rsidR="00317D9A" w:rsidRPr="008B7143">
        <w:rPr>
          <w:rFonts w:ascii="Book Antiqua" w:hAnsi="Book Antiqua"/>
          <w:bCs/>
          <w:sz w:val="22"/>
          <w:szCs w:val="22"/>
        </w:rPr>
        <w:t xml:space="preserve">na sú </w:t>
      </w:r>
      <w:r w:rsidRPr="008B7143">
        <w:rPr>
          <w:rFonts w:ascii="Book Antiqua" w:hAnsi="Book Antiqua"/>
          <w:bCs/>
          <w:sz w:val="22"/>
          <w:szCs w:val="22"/>
        </w:rPr>
        <w:t>tiež upravené prechodné ustanovenia, v rámci ktorých sa stanovuje časová pôsobnosť zákona takým spôsobom, aby nespôsobila retroaktívne účinky.</w:t>
      </w:r>
    </w:p>
    <w:p w:rsidR="001825C7" w:rsidRDefault="001825C7" w:rsidP="00E334EB">
      <w:pPr>
        <w:pStyle w:val="Normlnywebov"/>
        <w:spacing w:before="120" w:beforeAutospacing="0" w:after="0" w:afterAutospacing="0" w:line="276" w:lineRule="auto"/>
        <w:ind w:firstLine="708"/>
        <w:jc w:val="both"/>
        <w:rPr>
          <w:rFonts w:ascii="Book Antiqua" w:hAnsi="Book Antiqua"/>
          <w:bCs/>
          <w:sz w:val="22"/>
          <w:szCs w:val="22"/>
        </w:rPr>
      </w:pPr>
      <w:r>
        <w:rPr>
          <w:rFonts w:ascii="Book Antiqua" w:hAnsi="Book Antiqua"/>
          <w:bCs/>
          <w:sz w:val="22"/>
          <w:szCs w:val="22"/>
        </w:rPr>
        <w:t>Hoci to v návrhu zákona nie je výslovne uvedené, z legislatívneho hľadiska je potrebné poznamenať, že návrh zákona súvisí aj so zákonom č. 153/2001 Z. z. o prokuratúre v znení neskorších predpisov. Podľa § 4 uvedeného zákona vykonávajú prokurátori pôsobnosť prokuratúry aj tým, že zastupujú štát v konaní pred súdom, ak tak ustanoví osobitný zákon [§ 4 ods. 1 písm. d)</w:t>
      </w:r>
      <w:r w:rsidR="003C38F7">
        <w:rPr>
          <w:rFonts w:ascii="Book Antiqua" w:hAnsi="Book Antiqua"/>
          <w:bCs/>
          <w:sz w:val="22"/>
          <w:szCs w:val="22"/>
        </w:rPr>
        <w:t>], ako aj plnením ďalších úloh, ak tak ustanovuje osobitný zákon [§ 4 ods. 1 písm. j)]. Takýmto osobitný zákonom je aj návrh zákona, ktorý ustanovuje ďalšie úlohy, práva a povinnosti prokuratúry bez potreby novelizácie uvedeného zákona.</w:t>
      </w:r>
    </w:p>
    <w:p w:rsidR="00426013" w:rsidRPr="00DB65B8" w:rsidRDefault="00C92462" w:rsidP="00DB65B8">
      <w:pPr>
        <w:pStyle w:val="Normlnywebov"/>
        <w:spacing w:before="120" w:beforeAutospacing="0" w:after="0" w:afterAutospacing="0" w:line="276" w:lineRule="auto"/>
        <w:ind w:firstLine="708"/>
        <w:jc w:val="both"/>
        <w:rPr>
          <w:rFonts w:ascii="Book Antiqua" w:hAnsi="Book Antiqua"/>
          <w:bCs/>
          <w:sz w:val="22"/>
          <w:szCs w:val="22"/>
        </w:rPr>
      </w:pPr>
      <w:r>
        <w:rPr>
          <w:rFonts w:ascii="Book Antiqua" w:hAnsi="Book Antiqua"/>
          <w:bCs/>
          <w:sz w:val="22"/>
          <w:szCs w:val="22"/>
        </w:rPr>
        <w:t>Návrh zákona úzko súvisí aj s Civilným sporovým poriadkom.</w:t>
      </w:r>
    </w:p>
    <w:p w:rsidR="00821096" w:rsidRPr="008B7143" w:rsidRDefault="00054F60" w:rsidP="00E334EB">
      <w:pPr>
        <w:pStyle w:val="Normlnywebov"/>
        <w:spacing w:before="120" w:beforeAutospacing="0" w:after="0" w:afterAutospacing="0" w:line="276" w:lineRule="auto"/>
        <w:ind w:firstLine="708"/>
        <w:jc w:val="both"/>
        <w:rPr>
          <w:rFonts w:ascii="Book Antiqua" w:hAnsi="Book Antiqua"/>
          <w:sz w:val="22"/>
          <w:szCs w:val="22"/>
        </w:rPr>
      </w:pPr>
      <w:r w:rsidRPr="001825C7">
        <w:rPr>
          <w:rFonts w:ascii="Book Antiqua" w:hAnsi="Book Antiqua"/>
          <w:sz w:val="22"/>
          <w:szCs w:val="22"/>
        </w:rPr>
        <w:t>Navrhuje sa účinnosť predkladaného zákona so zohľadnením legisvakančn</w:t>
      </w:r>
      <w:r w:rsidR="00DC1927" w:rsidRPr="001825C7">
        <w:rPr>
          <w:rFonts w:ascii="Book Antiqua" w:hAnsi="Book Antiqua"/>
          <w:sz w:val="22"/>
          <w:szCs w:val="22"/>
        </w:rPr>
        <w:t xml:space="preserve">ej lehoty, a to od </w:t>
      </w:r>
      <w:r w:rsidR="006E6AB2" w:rsidRPr="001825C7">
        <w:rPr>
          <w:rFonts w:ascii="Book Antiqua" w:hAnsi="Book Antiqua"/>
          <w:sz w:val="22"/>
          <w:szCs w:val="22"/>
        </w:rPr>
        <w:t xml:space="preserve"> 1. </w:t>
      </w:r>
      <w:r w:rsidR="00C80372">
        <w:rPr>
          <w:rFonts w:ascii="Book Antiqua" w:hAnsi="Book Antiqua"/>
          <w:sz w:val="22"/>
          <w:szCs w:val="22"/>
        </w:rPr>
        <w:t>januára</w:t>
      </w:r>
      <w:r w:rsidR="00C92063" w:rsidRPr="001825C7">
        <w:rPr>
          <w:rFonts w:ascii="Book Antiqua" w:hAnsi="Book Antiqua"/>
          <w:sz w:val="22"/>
          <w:szCs w:val="22"/>
        </w:rPr>
        <w:t xml:space="preserve"> 20</w:t>
      </w:r>
      <w:r w:rsidR="00DB65B8">
        <w:rPr>
          <w:rFonts w:ascii="Book Antiqua" w:hAnsi="Book Antiqua"/>
          <w:sz w:val="22"/>
          <w:szCs w:val="22"/>
        </w:rPr>
        <w:t>24</w:t>
      </w:r>
      <w:r w:rsidR="00C80372">
        <w:rPr>
          <w:rFonts w:ascii="Book Antiqua" w:hAnsi="Book Antiqua"/>
          <w:sz w:val="22"/>
          <w:szCs w:val="22"/>
        </w:rPr>
        <w:t>.</w:t>
      </w: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DB65B8" w:rsidRDefault="00DB65B8" w:rsidP="00C92462">
      <w:pPr>
        <w:pStyle w:val="Normlnywebov"/>
        <w:spacing w:before="120" w:beforeAutospacing="0" w:after="0" w:afterAutospacing="0" w:line="276" w:lineRule="auto"/>
        <w:jc w:val="center"/>
        <w:rPr>
          <w:rFonts w:ascii="Book Antiqua" w:hAnsi="Book Antiqua"/>
          <w:b/>
          <w:bCs/>
          <w:caps/>
          <w:spacing w:val="30"/>
          <w:sz w:val="22"/>
          <w:szCs w:val="22"/>
        </w:rPr>
      </w:pPr>
    </w:p>
    <w:p w:rsidR="00821096" w:rsidRPr="00C92462" w:rsidRDefault="00821096" w:rsidP="00C92462">
      <w:pPr>
        <w:pStyle w:val="Normlnywebov"/>
        <w:spacing w:before="120" w:beforeAutospacing="0" w:after="0" w:afterAutospacing="0" w:line="276" w:lineRule="auto"/>
        <w:jc w:val="center"/>
        <w:rPr>
          <w:rFonts w:ascii="Book Antiqua" w:hAnsi="Book Antiqua"/>
          <w:b/>
          <w:bCs/>
          <w:caps/>
          <w:spacing w:val="30"/>
          <w:sz w:val="22"/>
          <w:szCs w:val="22"/>
        </w:rPr>
      </w:pPr>
      <w:r w:rsidRPr="008B7143">
        <w:rPr>
          <w:rFonts w:ascii="Book Antiqua" w:hAnsi="Book Antiqua"/>
          <w:b/>
          <w:bCs/>
          <w:caps/>
          <w:spacing w:val="30"/>
          <w:sz w:val="22"/>
          <w:szCs w:val="22"/>
        </w:rPr>
        <w:t>DOLOŽKA ZLUČITEĽNOSTI</w:t>
      </w:r>
    </w:p>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b/>
          <w:bCs/>
          <w:sz w:val="22"/>
          <w:szCs w:val="22"/>
        </w:rPr>
        <w:t>návrhu zákona</w:t>
      </w:r>
      <w:r w:rsidRPr="008B7143">
        <w:rPr>
          <w:rFonts w:ascii="Book Antiqua" w:hAnsi="Book Antiqua"/>
          <w:sz w:val="22"/>
          <w:szCs w:val="22"/>
        </w:rPr>
        <w:t xml:space="preserve"> </w:t>
      </w:r>
      <w:r w:rsidRPr="008B7143">
        <w:rPr>
          <w:rFonts w:ascii="Book Antiqua" w:hAnsi="Book Antiqua"/>
          <w:b/>
          <w:bCs/>
          <w:sz w:val="22"/>
          <w:szCs w:val="22"/>
        </w:rPr>
        <w:t>s právom Európskej únie</w:t>
      </w:r>
    </w:p>
    <w:p w:rsidR="00821096" w:rsidRPr="008B7143" w:rsidRDefault="00821096" w:rsidP="00E334EB">
      <w:pPr>
        <w:pStyle w:val="Normlnywebov"/>
        <w:spacing w:before="120" w:beforeAutospacing="0" w:after="0" w:afterAutospacing="0" w:line="276" w:lineRule="auto"/>
        <w:jc w:val="both"/>
        <w:rPr>
          <w:rFonts w:ascii="Book Antiqua" w:hAnsi="Book Antiqua"/>
          <w:sz w:val="22"/>
          <w:szCs w:val="22"/>
        </w:rPr>
      </w:pPr>
      <w:r w:rsidRPr="008B7143">
        <w:rPr>
          <w:rFonts w:ascii="Book Antiqua" w:hAnsi="Book Antiqua"/>
          <w:sz w:val="22"/>
          <w:szCs w:val="22"/>
        </w:rPr>
        <w:t> </w:t>
      </w:r>
    </w:p>
    <w:p w:rsidR="00821096" w:rsidRPr="008B7143" w:rsidRDefault="00821096" w:rsidP="00317D9A">
      <w:pPr>
        <w:pStyle w:val="Normlnywebov"/>
        <w:spacing w:before="120" w:beforeAutospacing="0" w:after="0" w:afterAutospacing="0" w:line="276" w:lineRule="auto"/>
        <w:jc w:val="both"/>
        <w:rPr>
          <w:rFonts w:ascii="Book Antiqua" w:hAnsi="Book Antiqua"/>
          <w:sz w:val="22"/>
          <w:szCs w:val="22"/>
        </w:rPr>
      </w:pPr>
      <w:r w:rsidRPr="008B7143">
        <w:rPr>
          <w:rFonts w:ascii="Book Antiqua" w:hAnsi="Book Antiqua"/>
          <w:b/>
          <w:bCs/>
          <w:sz w:val="22"/>
          <w:szCs w:val="22"/>
        </w:rPr>
        <w:t>1. Navrhovateľ zákona:</w:t>
      </w:r>
      <w:r w:rsidRPr="008B7143">
        <w:rPr>
          <w:rFonts w:ascii="Book Antiqua" w:hAnsi="Book Antiqua"/>
          <w:sz w:val="22"/>
          <w:szCs w:val="22"/>
        </w:rPr>
        <w:t xml:space="preserve"> </w:t>
      </w:r>
      <w:r w:rsidR="00317D9A" w:rsidRPr="008B7143">
        <w:rPr>
          <w:rFonts w:ascii="Book Antiqua" w:hAnsi="Book Antiqua"/>
          <w:sz w:val="22"/>
          <w:szCs w:val="22"/>
        </w:rPr>
        <w:t>skupina poslancov</w:t>
      </w:r>
      <w:r w:rsidRPr="008B7143">
        <w:rPr>
          <w:rFonts w:ascii="Book Antiqua" w:hAnsi="Book Antiqua"/>
          <w:sz w:val="22"/>
          <w:szCs w:val="22"/>
        </w:rPr>
        <w:t xml:space="preserve"> Nár</w:t>
      </w:r>
      <w:r w:rsidR="00317D9A" w:rsidRPr="008B7143">
        <w:rPr>
          <w:rFonts w:ascii="Book Antiqua" w:hAnsi="Book Antiqua"/>
          <w:sz w:val="22"/>
          <w:szCs w:val="22"/>
        </w:rPr>
        <w:t>odnej rady Slovenskej republiky</w:t>
      </w:r>
    </w:p>
    <w:p w:rsidR="00317D9A" w:rsidRPr="008B7143" w:rsidRDefault="00317D9A" w:rsidP="00317D9A">
      <w:pPr>
        <w:pStyle w:val="Normlnywebov"/>
        <w:spacing w:before="120" w:beforeAutospacing="0" w:after="0" w:afterAutospacing="0" w:line="276" w:lineRule="auto"/>
        <w:jc w:val="both"/>
        <w:rPr>
          <w:rFonts w:ascii="Book Antiqua" w:hAnsi="Book Antiqua"/>
          <w:sz w:val="22"/>
          <w:szCs w:val="22"/>
        </w:rPr>
      </w:pPr>
    </w:p>
    <w:p w:rsidR="00821096" w:rsidRPr="008B7143" w:rsidRDefault="00821096" w:rsidP="00317D9A">
      <w:pPr>
        <w:pStyle w:val="Normlnywebov"/>
        <w:spacing w:before="120" w:beforeAutospacing="0" w:after="0" w:afterAutospacing="0" w:line="276" w:lineRule="auto"/>
        <w:jc w:val="both"/>
        <w:rPr>
          <w:rFonts w:ascii="Book Antiqua" w:hAnsi="Book Antiqua"/>
          <w:sz w:val="22"/>
          <w:szCs w:val="22"/>
        </w:rPr>
      </w:pPr>
      <w:r w:rsidRPr="008B7143">
        <w:rPr>
          <w:rFonts w:ascii="Book Antiqua" w:hAnsi="Book Antiqua"/>
          <w:b/>
          <w:bCs/>
          <w:sz w:val="22"/>
          <w:szCs w:val="22"/>
        </w:rPr>
        <w:t>2. Názov návrhu zákona:</w:t>
      </w:r>
      <w:r w:rsidRPr="008B7143">
        <w:rPr>
          <w:rFonts w:ascii="Book Antiqua" w:hAnsi="Book Antiqua"/>
          <w:sz w:val="22"/>
          <w:szCs w:val="22"/>
        </w:rPr>
        <w:t xml:space="preserve"> </w:t>
      </w:r>
      <w:r w:rsidR="006974DB" w:rsidRPr="008B7143">
        <w:rPr>
          <w:rFonts w:ascii="Book Antiqua" w:hAnsi="Book Antiqua"/>
          <w:sz w:val="22"/>
          <w:szCs w:val="22"/>
        </w:rPr>
        <w:t xml:space="preserve">návrh </w:t>
      </w:r>
      <w:r w:rsidR="00AF62B6" w:rsidRPr="008B7143">
        <w:rPr>
          <w:rFonts w:ascii="Book Antiqua" w:hAnsi="Book Antiqua"/>
          <w:sz w:val="22"/>
          <w:szCs w:val="22"/>
        </w:rPr>
        <w:t>zákona o zodpovednosti za škodu spôsobenú štátu, uplatnení práva na náhradu škody štátom a treťou osobou v mene štátu a o odmene tretej osobe za uplatnenie tohto práva</w:t>
      </w:r>
    </w:p>
    <w:p w:rsidR="00821096" w:rsidRPr="008B7143" w:rsidRDefault="00821096" w:rsidP="00317D9A">
      <w:pPr>
        <w:pStyle w:val="Normlnywebov"/>
        <w:spacing w:before="120" w:beforeAutospacing="0" w:after="0" w:afterAutospacing="0" w:line="276" w:lineRule="auto"/>
        <w:jc w:val="both"/>
        <w:rPr>
          <w:rFonts w:ascii="Book Antiqua" w:hAnsi="Book Antiqua"/>
          <w:b/>
          <w:bCs/>
          <w:sz w:val="22"/>
          <w:szCs w:val="22"/>
        </w:rPr>
      </w:pPr>
    </w:p>
    <w:p w:rsidR="00821096" w:rsidRPr="008B7143" w:rsidRDefault="00821096" w:rsidP="00317D9A">
      <w:pPr>
        <w:pStyle w:val="Normlnywebov"/>
        <w:spacing w:before="120" w:beforeAutospacing="0" w:after="0" w:afterAutospacing="0" w:line="276" w:lineRule="auto"/>
        <w:jc w:val="both"/>
        <w:rPr>
          <w:rFonts w:ascii="Book Antiqua" w:hAnsi="Book Antiqua"/>
          <w:b/>
          <w:bCs/>
          <w:sz w:val="22"/>
          <w:szCs w:val="22"/>
        </w:rPr>
      </w:pPr>
      <w:r w:rsidRPr="008B7143">
        <w:rPr>
          <w:rFonts w:ascii="Book Antiqua" w:hAnsi="Book Antiqua"/>
          <w:b/>
          <w:bCs/>
          <w:sz w:val="22"/>
          <w:szCs w:val="22"/>
        </w:rPr>
        <w:t>3. Predmet návrhu zákona:</w:t>
      </w:r>
    </w:p>
    <w:p w:rsidR="00317D9A" w:rsidRPr="008B7143" w:rsidRDefault="00317D9A" w:rsidP="00317D9A">
      <w:pPr>
        <w:numPr>
          <w:ilvl w:val="0"/>
          <w:numId w:val="12"/>
        </w:numPr>
        <w:spacing w:before="120" w:line="276" w:lineRule="auto"/>
        <w:jc w:val="both"/>
        <w:rPr>
          <w:rFonts w:ascii="Book Antiqua" w:hAnsi="Book Antiqua"/>
          <w:sz w:val="22"/>
          <w:szCs w:val="22"/>
        </w:rPr>
      </w:pPr>
      <w:r w:rsidRPr="008B7143">
        <w:rPr>
          <w:rFonts w:ascii="Book Antiqua" w:hAnsi="Book Antiqua"/>
          <w:sz w:val="22"/>
          <w:szCs w:val="22"/>
        </w:rPr>
        <w:t>je upravený v primárnom práve Európskej únie, a to v článku 310 ods. 6 a článku 325 Zmluvy o fungovaní Európskej únie,</w:t>
      </w:r>
    </w:p>
    <w:p w:rsidR="00317D9A" w:rsidRPr="008B7143" w:rsidRDefault="00317D9A" w:rsidP="00317D9A">
      <w:pPr>
        <w:numPr>
          <w:ilvl w:val="0"/>
          <w:numId w:val="12"/>
        </w:numPr>
        <w:spacing w:before="120" w:line="276" w:lineRule="auto"/>
        <w:jc w:val="both"/>
        <w:rPr>
          <w:rFonts w:ascii="Book Antiqua" w:hAnsi="Book Antiqua" w:cs="Tahoma"/>
          <w:sz w:val="22"/>
          <w:szCs w:val="22"/>
        </w:rPr>
      </w:pPr>
      <w:r w:rsidRPr="008B7143">
        <w:rPr>
          <w:rFonts w:ascii="Book Antiqua" w:hAnsi="Book Antiqua"/>
          <w:sz w:val="22"/>
          <w:szCs w:val="22"/>
        </w:rPr>
        <w:t>je upravený v sekundárnom práve Európskej únie, a to:</w:t>
      </w:r>
    </w:p>
    <w:p w:rsidR="00317D9A" w:rsidRPr="008B7143" w:rsidRDefault="00317D9A" w:rsidP="00317D9A">
      <w:pPr>
        <w:numPr>
          <w:ilvl w:val="0"/>
          <w:numId w:val="22"/>
        </w:numPr>
        <w:spacing w:before="120" w:line="276" w:lineRule="auto"/>
        <w:jc w:val="both"/>
        <w:rPr>
          <w:rFonts w:ascii="Book Antiqua" w:hAnsi="Book Antiqua" w:cs="Tahoma"/>
          <w:sz w:val="22"/>
          <w:szCs w:val="22"/>
        </w:rPr>
      </w:pPr>
      <w:r w:rsidRPr="008B7143">
        <w:rPr>
          <w:rFonts w:ascii="Book Antiqua" w:hAnsi="Book Antiqua"/>
          <w:sz w:val="22"/>
          <w:szCs w:val="22"/>
        </w:rPr>
        <w:t>v Dohovore o boji proti korupcii týkajúcej sa činiteľov Európskych spoločenstiev alebo činiteľov členských štátov Európskej únie z roku 1997,</w:t>
      </w:r>
    </w:p>
    <w:p w:rsidR="00317D9A" w:rsidRPr="008B7143" w:rsidRDefault="00317D9A" w:rsidP="00317D9A">
      <w:pPr>
        <w:numPr>
          <w:ilvl w:val="0"/>
          <w:numId w:val="22"/>
        </w:numPr>
        <w:spacing w:before="120" w:line="276" w:lineRule="auto"/>
        <w:jc w:val="both"/>
        <w:rPr>
          <w:rFonts w:ascii="Book Antiqua" w:hAnsi="Book Antiqua" w:cs="Tahoma"/>
          <w:sz w:val="22"/>
          <w:szCs w:val="22"/>
        </w:rPr>
      </w:pPr>
      <w:r w:rsidRPr="008B7143">
        <w:rPr>
          <w:rFonts w:ascii="Book Antiqua" w:hAnsi="Book Antiqua"/>
          <w:sz w:val="22"/>
          <w:szCs w:val="22"/>
        </w:rPr>
        <w:t xml:space="preserve">v protokole vyhotovenom na základe článku K.3 Zmluvy o EÚ k Dohovoru o ochrane finančných záujmov Európskych spoločenstiev z roku 1996, </w:t>
      </w:r>
    </w:p>
    <w:p w:rsidR="00317D9A" w:rsidRPr="008B7143" w:rsidRDefault="00317D9A" w:rsidP="00317D9A">
      <w:pPr>
        <w:numPr>
          <w:ilvl w:val="0"/>
          <w:numId w:val="22"/>
        </w:numPr>
        <w:spacing w:before="120" w:line="276" w:lineRule="auto"/>
        <w:jc w:val="both"/>
        <w:rPr>
          <w:rFonts w:ascii="Book Antiqua" w:hAnsi="Book Antiqua" w:cs="Tahoma"/>
          <w:sz w:val="22"/>
          <w:szCs w:val="22"/>
        </w:rPr>
      </w:pPr>
      <w:r w:rsidRPr="008B7143">
        <w:rPr>
          <w:rFonts w:ascii="Book Antiqua" w:hAnsi="Book Antiqua"/>
          <w:sz w:val="22"/>
          <w:szCs w:val="22"/>
        </w:rPr>
        <w:t xml:space="preserve">vo viacerých právnych aktoch EÚ, napr. </w:t>
      </w:r>
    </w:p>
    <w:p w:rsidR="00317D9A" w:rsidRPr="008B7143" w:rsidRDefault="00317D9A" w:rsidP="00317D9A">
      <w:pPr>
        <w:numPr>
          <w:ilvl w:val="1"/>
          <w:numId w:val="22"/>
        </w:numPr>
        <w:spacing w:before="120" w:line="276" w:lineRule="auto"/>
        <w:jc w:val="both"/>
        <w:rPr>
          <w:rFonts w:ascii="Book Antiqua" w:hAnsi="Book Antiqua" w:cs="Tahoma"/>
          <w:sz w:val="22"/>
          <w:szCs w:val="22"/>
        </w:rPr>
      </w:pPr>
      <w:r w:rsidRPr="008B7143">
        <w:rPr>
          <w:rFonts w:ascii="Book Antiqua" w:hAnsi="Book Antiqua"/>
          <w:sz w:val="22"/>
          <w:szCs w:val="22"/>
        </w:rPr>
        <w:t xml:space="preserve">v nariadení </w:t>
      </w:r>
      <w:r w:rsidRPr="008B7143">
        <w:rPr>
          <w:rFonts w:ascii="Book Antiqua" w:hAnsi="Book Antiqua" w:cs="Tahoma"/>
          <w:sz w:val="22"/>
          <w:szCs w:val="22"/>
        </w:rPr>
        <w:t xml:space="preserve">Rady (ES, Euratom) </w:t>
      </w:r>
      <w:r w:rsidRPr="008B7143">
        <w:rPr>
          <w:rFonts w:ascii="Book Antiqua" w:hAnsi="Book Antiqua"/>
          <w:sz w:val="22"/>
          <w:szCs w:val="22"/>
        </w:rPr>
        <w:t>č</w:t>
      </w:r>
      <w:r w:rsidRPr="008B7143">
        <w:rPr>
          <w:rFonts w:ascii="Book Antiqua" w:hAnsi="Book Antiqua" w:cs="Tahoma"/>
          <w:sz w:val="22"/>
          <w:szCs w:val="22"/>
        </w:rPr>
        <w:t>. 2988/95 z 18. decembra 1995 o ochrane finan</w:t>
      </w:r>
      <w:r w:rsidRPr="008B7143">
        <w:rPr>
          <w:rFonts w:ascii="Book Antiqua" w:hAnsi="Book Antiqua"/>
          <w:sz w:val="22"/>
          <w:szCs w:val="22"/>
        </w:rPr>
        <w:t>č</w:t>
      </w:r>
      <w:r w:rsidRPr="008B7143">
        <w:rPr>
          <w:rFonts w:ascii="Book Antiqua" w:hAnsi="Book Antiqua" w:cs="Tahoma"/>
          <w:sz w:val="22"/>
          <w:szCs w:val="22"/>
        </w:rPr>
        <w:t>ných záujmov Európskych spolo</w:t>
      </w:r>
      <w:r w:rsidRPr="008B7143">
        <w:rPr>
          <w:rFonts w:ascii="Book Antiqua" w:hAnsi="Book Antiqua"/>
          <w:sz w:val="22"/>
          <w:szCs w:val="22"/>
        </w:rPr>
        <w:t>č</w:t>
      </w:r>
      <w:r w:rsidRPr="008B7143">
        <w:rPr>
          <w:rFonts w:ascii="Book Antiqua" w:hAnsi="Book Antiqua" w:cs="Tahoma"/>
          <w:sz w:val="22"/>
          <w:szCs w:val="22"/>
        </w:rPr>
        <w:t>enstiev v platnom znení (Mimoriadne vydanie Ú. v. EÚ, kap. 1/zv. 1)</w:t>
      </w:r>
      <w:r w:rsidR="003C38F7">
        <w:rPr>
          <w:rFonts w:ascii="Book Antiqua" w:hAnsi="Book Antiqua" w:cs="Tahoma"/>
          <w:sz w:val="22"/>
          <w:szCs w:val="22"/>
        </w:rPr>
        <w:t>,</w:t>
      </w:r>
    </w:p>
    <w:p w:rsidR="00317D9A" w:rsidRPr="003C38F7" w:rsidRDefault="00317D9A" w:rsidP="00317D9A">
      <w:pPr>
        <w:numPr>
          <w:ilvl w:val="1"/>
          <w:numId w:val="22"/>
        </w:numPr>
        <w:spacing w:before="120" w:line="276" w:lineRule="auto"/>
        <w:jc w:val="both"/>
        <w:rPr>
          <w:rFonts w:ascii="Book Antiqua" w:hAnsi="Book Antiqua" w:cs="Tahoma"/>
          <w:sz w:val="22"/>
          <w:szCs w:val="22"/>
        </w:rPr>
      </w:pPr>
      <w:r w:rsidRPr="003C38F7">
        <w:rPr>
          <w:rFonts w:ascii="Book Antiqua" w:hAnsi="Book Antiqua"/>
          <w:sz w:val="22"/>
          <w:szCs w:val="22"/>
        </w:rPr>
        <w:t xml:space="preserve">v smernici </w:t>
      </w:r>
      <w:r w:rsidR="00797D6F" w:rsidRPr="003C38F7">
        <w:rPr>
          <w:rFonts w:ascii="Book Antiqua" w:hAnsi="Book Antiqua"/>
          <w:sz w:val="22"/>
          <w:szCs w:val="22"/>
        </w:rPr>
        <w:t>Európskeho parlamentu a </w:t>
      </w:r>
      <w:r w:rsidRPr="003C38F7">
        <w:rPr>
          <w:rFonts w:ascii="Book Antiqua" w:hAnsi="Book Antiqua"/>
          <w:sz w:val="22"/>
          <w:szCs w:val="22"/>
        </w:rPr>
        <w:t>Rady</w:t>
      </w:r>
      <w:r w:rsidR="00797D6F" w:rsidRPr="003C38F7">
        <w:rPr>
          <w:rFonts w:ascii="Book Antiqua" w:hAnsi="Book Antiqua"/>
          <w:sz w:val="22"/>
          <w:szCs w:val="22"/>
        </w:rPr>
        <w:t xml:space="preserve"> (EÚ)</w:t>
      </w:r>
      <w:r w:rsidRPr="003C38F7">
        <w:rPr>
          <w:rFonts w:ascii="Book Antiqua" w:hAnsi="Book Antiqua"/>
          <w:sz w:val="22"/>
          <w:szCs w:val="22"/>
        </w:rPr>
        <w:t xml:space="preserve"> </w:t>
      </w:r>
      <w:r w:rsidR="00797D6F" w:rsidRPr="003C38F7">
        <w:rPr>
          <w:rFonts w:ascii="Book Antiqua" w:hAnsi="Book Antiqua"/>
          <w:sz w:val="22"/>
          <w:szCs w:val="22"/>
        </w:rPr>
        <w:t>2015/849 z 2</w:t>
      </w:r>
      <w:r w:rsidRPr="003C38F7">
        <w:rPr>
          <w:rFonts w:ascii="Book Antiqua" w:hAnsi="Book Antiqua"/>
          <w:sz w:val="22"/>
          <w:szCs w:val="22"/>
        </w:rPr>
        <w:t xml:space="preserve">0. </w:t>
      </w:r>
      <w:r w:rsidR="00797D6F" w:rsidRPr="003C38F7">
        <w:rPr>
          <w:rFonts w:ascii="Book Antiqua" w:hAnsi="Book Antiqua"/>
          <w:sz w:val="22"/>
          <w:szCs w:val="22"/>
        </w:rPr>
        <w:t>mája</w:t>
      </w:r>
      <w:r w:rsidRPr="003C38F7">
        <w:rPr>
          <w:rFonts w:ascii="Book Antiqua" w:hAnsi="Book Antiqua"/>
          <w:sz w:val="22"/>
          <w:szCs w:val="22"/>
        </w:rPr>
        <w:t xml:space="preserve"> </w:t>
      </w:r>
      <w:r w:rsidR="00797D6F" w:rsidRPr="003C38F7">
        <w:rPr>
          <w:rFonts w:ascii="Book Antiqua" w:hAnsi="Book Antiqua"/>
          <w:sz w:val="22"/>
          <w:szCs w:val="22"/>
        </w:rPr>
        <w:t>2015 o predchádzaní vy</w:t>
      </w:r>
      <w:r w:rsidRPr="003C38F7">
        <w:rPr>
          <w:rFonts w:ascii="Book Antiqua" w:hAnsi="Book Antiqua"/>
          <w:sz w:val="22"/>
          <w:szCs w:val="22"/>
        </w:rPr>
        <w:t xml:space="preserve">užívania finančného systému na účely prania špinavých peňazí </w:t>
      </w:r>
      <w:r w:rsidR="00797D6F" w:rsidRPr="003C38F7">
        <w:rPr>
          <w:rFonts w:ascii="Book Antiqua" w:hAnsi="Book Antiqua"/>
          <w:sz w:val="22"/>
          <w:szCs w:val="22"/>
        </w:rPr>
        <w:t>alebo financovania terorizmu, ktorou sa mení nariadenie Európskeho parlamentu a Rady (EÚ) č. 648/2012 a zrušuje smernica Európskeho parlamentu a Rady 2005/60/ES a smernica Komisie 2006/70/ES (Ú. v. EÚ</w:t>
      </w:r>
      <w:r w:rsidR="008A6525" w:rsidRPr="003C38F7">
        <w:rPr>
          <w:rFonts w:ascii="Book Antiqua" w:hAnsi="Book Antiqua"/>
          <w:sz w:val="22"/>
          <w:szCs w:val="22"/>
        </w:rPr>
        <w:t xml:space="preserve"> L 141</w:t>
      </w:r>
      <w:r w:rsidRPr="003C38F7">
        <w:rPr>
          <w:rFonts w:ascii="Book Antiqua" w:hAnsi="Book Antiqua"/>
          <w:sz w:val="22"/>
          <w:szCs w:val="22"/>
        </w:rPr>
        <w:t xml:space="preserve">, </w:t>
      </w:r>
      <w:r w:rsidR="003C38F7" w:rsidRPr="003C38F7">
        <w:rPr>
          <w:rFonts w:ascii="Book Antiqua" w:hAnsi="Book Antiqua"/>
          <w:sz w:val="22"/>
          <w:szCs w:val="22"/>
        </w:rPr>
        <w:t>5.6.2015, s. 73</w:t>
      </w:r>
      <w:r w:rsidRPr="003C38F7">
        <w:rPr>
          <w:rFonts w:ascii="Book Antiqua" w:hAnsi="Book Antiqua"/>
          <w:sz w:val="22"/>
          <w:szCs w:val="22"/>
        </w:rPr>
        <w:t xml:space="preserve">), </w:t>
      </w:r>
    </w:p>
    <w:p w:rsidR="00317D9A" w:rsidRPr="008B7143" w:rsidRDefault="00317D9A" w:rsidP="00317D9A">
      <w:pPr>
        <w:numPr>
          <w:ilvl w:val="1"/>
          <w:numId w:val="22"/>
        </w:numPr>
        <w:spacing w:before="120" w:line="276" w:lineRule="auto"/>
        <w:jc w:val="both"/>
        <w:rPr>
          <w:rFonts w:ascii="Book Antiqua" w:hAnsi="Book Antiqua" w:cs="Tahoma"/>
          <w:sz w:val="22"/>
          <w:szCs w:val="22"/>
        </w:rPr>
      </w:pPr>
      <w:r w:rsidRPr="008B7143">
        <w:rPr>
          <w:rFonts w:ascii="Book Antiqua" w:hAnsi="Book Antiqua"/>
          <w:sz w:val="22"/>
          <w:szCs w:val="22"/>
        </w:rPr>
        <w:t xml:space="preserve">v rámcovom rozhodnutí 642/2003/SVV (korupcia úradníkov EÚ), </w:t>
      </w:r>
    </w:p>
    <w:p w:rsidR="00317D9A" w:rsidRPr="008B7143" w:rsidRDefault="00317D9A" w:rsidP="00317D9A">
      <w:pPr>
        <w:numPr>
          <w:ilvl w:val="1"/>
          <w:numId w:val="22"/>
        </w:numPr>
        <w:spacing w:before="120" w:line="276" w:lineRule="auto"/>
        <w:jc w:val="both"/>
        <w:rPr>
          <w:rFonts w:ascii="Book Antiqua" w:hAnsi="Book Antiqua" w:cs="Tahoma"/>
          <w:sz w:val="22"/>
          <w:szCs w:val="22"/>
        </w:rPr>
      </w:pPr>
      <w:r w:rsidRPr="008B7143">
        <w:rPr>
          <w:rFonts w:ascii="Book Antiqua" w:hAnsi="Book Antiqua"/>
          <w:sz w:val="22"/>
          <w:szCs w:val="22"/>
        </w:rPr>
        <w:t xml:space="preserve">v rámcovom rozhodnutí 568/2003/SVV (boj proti korupcii v súkromnom sektore), </w:t>
      </w:r>
    </w:p>
    <w:p w:rsidR="00317D9A" w:rsidRPr="008B7143" w:rsidRDefault="00317D9A" w:rsidP="00317D9A">
      <w:pPr>
        <w:numPr>
          <w:ilvl w:val="1"/>
          <w:numId w:val="22"/>
        </w:numPr>
        <w:spacing w:before="120" w:line="276" w:lineRule="auto"/>
        <w:jc w:val="both"/>
        <w:rPr>
          <w:rFonts w:ascii="Book Antiqua" w:hAnsi="Book Antiqua" w:cs="Tahoma"/>
          <w:sz w:val="22"/>
          <w:szCs w:val="22"/>
        </w:rPr>
      </w:pPr>
      <w:r w:rsidRPr="008B7143">
        <w:rPr>
          <w:rFonts w:ascii="Book Antiqua" w:hAnsi="Book Antiqua"/>
          <w:sz w:val="22"/>
          <w:szCs w:val="22"/>
        </w:rPr>
        <w:t xml:space="preserve">v rozhodnutí Rady EÚ z 25. 5. 1999, v rozhodnutí Komisie z 2. 6. 1999 (vnútorné vyšetrovania v boji proti podvodom, korupcii a poškodzovaniu finančných záujmov EÚ), </w:t>
      </w:r>
    </w:p>
    <w:p w:rsidR="003C38F7" w:rsidRDefault="00317D9A" w:rsidP="00317D9A">
      <w:pPr>
        <w:numPr>
          <w:ilvl w:val="0"/>
          <w:numId w:val="12"/>
        </w:numPr>
        <w:spacing w:before="120" w:line="276" w:lineRule="auto"/>
        <w:jc w:val="both"/>
        <w:rPr>
          <w:rFonts w:ascii="Book Antiqua" w:hAnsi="Book Antiqua"/>
          <w:sz w:val="22"/>
          <w:szCs w:val="22"/>
        </w:rPr>
      </w:pPr>
      <w:r w:rsidRPr="008B7143">
        <w:rPr>
          <w:rFonts w:ascii="Book Antiqua" w:hAnsi="Book Antiqua"/>
          <w:sz w:val="22"/>
          <w:szCs w:val="22"/>
        </w:rPr>
        <w:t>nie je obsiahnutý v judikatúre Súdneho dvora Európskej únie.</w:t>
      </w:r>
    </w:p>
    <w:p w:rsidR="00C80372" w:rsidRPr="00C80372" w:rsidRDefault="00C80372" w:rsidP="00C80372">
      <w:pPr>
        <w:spacing w:before="120" w:line="276" w:lineRule="auto"/>
        <w:ind w:left="720"/>
        <w:jc w:val="both"/>
        <w:rPr>
          <w:rFonts w:ascii="Book Antiqua" w:hAnsi="Book Antiqua"/>
          <w:sz w:val="22"/>
          <w:szCs w:val="22"/>
        </w:rPr>
      </w:pPr>
    </w:p>
    <w:p w:rsidR="00317D9A" w:rsidRPr="008B7143" w:rsidRDefault="00317D9A" w:rsidP="00AD7EE4">
      <w:pPr>
        <w:numPr>
          <w:ilvl w:val="3"/>
          <w:numId w:val="17"/>
        </w:numPr>
        <w:tabs>
          <w:tab w:val="left" w:pos="284"/>
        </w:tabs>
        <w:autoSpaceDE w:val="0"/>
        <w:autoSpaceDN w:val="0"/>
        <w:adjustRightInd w:val="0"/>
        <w:spacing w:before="120" w:line="276" w:lineRule="auto"/>
        <w:jc w:val="both"/>
        <w:rPr>
          <w:rFonts w:ascii="Book Antiqua" w:hAnsi="Book Antiqua"/>
          <w:b/>
          <w:bCs/>
          <w:i/>
          <w:sz w:val="22"/>
          <w:szCs w:val="22"/>
        </w:rPr>
      </w:pPr>
      <w:r w:rsidRPr="008B7143">
        <w:rPr>
          <w:rFonts w:ascii="Book Antiqua" w:hAnsi="Book Antiqua"/>
          <w:b/>
          <w:sz w:val="22"/>
          <w:szCs w:val="22"/>
        </w:rPr>
        <w:lastRenderedPageBreak/>
        <w:t>Záväzky Slovenskej republiky vo vzťahu k Európskej únii:</w:t>
      </w:r>
    </w:p>
    <w:p w:rsidR="00317D9A" w:rsidRPr="008B7143" w:rsidRDefault="00317D9A" w:rsidP="00AD7EE4">
      <w:pPr>
        <w:spacing w:before="120" w:line="276" w:lineRule="auto"/>
        <w:ind w:left="540" w:hanging="256"/>
        <w:jc w:val="both"/>
        <w:rPr>
          <w:rFonts w:ascii="Book Antiqua" w:hAnsi="Book Antiqua"/>
          <w:sz w:val="22"/>
          <w:szCs w:val="22"/>
        </w:rPr>
      </w:pPr>
      <w:r w:rsidRPr="008B7143">
        <w:rPr>
          <w:rFonts w:ascii="Book Antiqua" w:hAnsi="Book Antiqua"/>
          <w:sz w:val="22"/>
          <w:szCs w:val="22"/>
        </w:rPr>
        <w:t>a) bezpredmetné,</w:t>
      </w:r>
    </w:p>
    <w:p w:rsidR="00317D9A" w:rsidRPr="008B7143" w:rsidRDefault="00317D9A" w:rsidP="00AD7EE4">
      <w:pPr>
        <w:spacing w:before="120" w:line="276" w:lineRule="auto"/>
        <w:ind w:left="539" w:hanging="255"/>
        <w:jc w:val="both"/>
        <w:rPr>
          <w:rFonts w:ascii="Book Antiqua" w:hAnsi="Book Antiqua"/>
          <w:sz w:val="22"/>
          <w:szCs w:val="22"/>
        </w:rPr>
      </w:pPr>
      <w:r w:rsidRPr="008B7143">
        <w:rPr>
          <w:rFonts w:ascii="Book Antiqua" w:hAnsi="Book Antiqua"/>
          <w:sz w:val="22"/>
          <w:szCs w:val="22"/>
        </w:rPr>
        <w:t>b) v danej oblasti nebol proti Slovenskej republike začatý postup Európskej komisie a ani konanie Súdneho dvora Európskej únie,</w:t>
      </w:r>
    </w:p>
    <w:p w:rsidR="00317D9A" w:rsidRPr="008B7143" w:rsidRDefault="00317D9A" w:rsidP="00317D9A">
      <w:pPr>
        <w:tabs>
          <w:tab w:val="left" w:pos="284"/>
        </w:tabs>
        <w:autoSpaceDE w:val="0"/>
        <w:autoSpaceDN w:val="0"/>
        <w:adjustRightInd w:val="0"/>
        <w:spacing w:before="120" w:line="276" w:lineRule="auto"/>
        <w:ind w:left="284"/>
        <w:jc w:val="both"/>
        <w:rPr>
          <w:rFonts w:ascii="Book Antiqua" w:hAnsi="Book Antiqua"/>
          <w:b/>
          <w:i/>
          <w:sz w:val="22"/>
          <w:szCs w:val="22"/>
        </w:rPr>
      </w:pPr>
      <w:r w:rsidRPr="008B7143">
        <w:rPr>
          <w:rFonts w:ascii="Book Antiqua" w:hAnsi="Book Antiqua"/>
          <w:sz w:val="22"/>
          <w:szCs w:val="22"/>
        </w:rPr>
        <w:t>c) bezpredmetné.</w:t>
      </w:r>
    </w:p>
    <w:p w:rsidR="00317D9A" w:rsidRPr="008B7143" w:rsidRDefault="00317D9A" w:rsidP="00317D9A">
      <w:pPr>
        <w:spacing w:before="120" w:line="276" w:lineRule="auto"/>
        <w:ind w:left="539" w:hanging="255"/>
        <w:jc w:val="both"/>
        <w:rPr>
          <w:rFonts w:ascii="Book Antiqua" w:hAnsi="Book Antiqua"/>
          <w:color w:val="000000"/>
          <w:sz w:val="22"/>
          <w:szCs w:val="22"/>
        </w:rPr>
      </w:pPr>
    </w:p>
    <w:p w:rsidR="00317D9A" w:rsidRPr="008B7143" w:rsidRDefault="00317D9A" w:rsidP="00317D9A">
      <w:pPr>
        <w:numPr>
          <w:ilvl w:val="0"/>
          <w:numId w:val="18"/>
        </w:numPr>
        <w:tabs>
          <w:tab w:val="num" w:pos="284"/>
          <w:tab w:val="left" w:pos="341"/>
        </w:tabs>
        <w:autoSpaceDE w:val="0"/>
        <w:autoSpaceDN w:val="0"/>
        <w:adjustRightInd w:val="0"/>
        <w:spacing w:before="120" w:line="276" w:lineRule="auto"/>
        <w:ind w:left="284"/>
        <w:jc w:val="both"/>
        <w:rPr>
          <w:rFonts w:ascii="Book Antiqua" w:hAnsi="Book Antiqua"/>
          <w:b/>
          <w:color w:val="000000"/>
          <w:sz w:val="22"/>
          <w:szCs w:val="22"/>
        </w:rPr>
      </w:pPr>
      <w:r w:rsidRPr="008B7143">
        <w:rPr>
          <w:rFonts w:ascii="Book Antiqua" w:hAnsi="Book Antiqua"/>
          <w:b/>
          <w:color w:val="000000"/>
          <w:sz w:val="22"/>
          <w:szCs w:val="22"/>
        </w:rPr>
        <w:t>Stupeň zlučiteľnosti návrhu zákona s právom Európskej únie</w:t>
      </w:r>
    </w:p>
    <w:p w:rsidR="00317D9A" w:rsidRPr="008B7143" w:rsidRDefault="00AD7EE4" w:rsidP="00AD7EE4">
      <w:pPr>
        <w:spacing w:before="120" w:line="276" w:lineRule="auto"/>
        <w:ind w:firstLine="284"/>
        <w:rPr>
          <w:rFonts w:ascii="Book Antiqua" w:hAnsi="Book Antiqua"/>
          <w:sz w:val="22"/>
          <w:szCs w:val="22"/>
        </w:rPr>
      </w:pPr>
      <w:r w:rsidRPr="008B7143">
        <w:rPr>
          <w:rFonts w:ascii="Book Antiqua" w:hAnsi="Book Antiqua"/>
          <w:sz w:val="22"/>
          <w:szCs w:val="22"/>
        </w:rPr>
        <w:t>úplný</w:t>
      </w:r>
      <w:r w:rsidR="00317D9A" w:rsidRPr="008B7143">
        <w:rPr>
          <w:rFonts w:ascii="Book Antiqua" w:hAnsi="Book Antiqua"/>
          <w:sz w:val="22"/>
          <w:szCs w:val="22"/>
        </w:rPr>
        <w:t>.</w:t>
      </w:r>
    </w:p>
    <w:p w:rsidR="00821096" w:rsidRPr="008B7143" w:rsidRDefault="00821096" w:rsidP="00E334EB">
      <w:pPr>
        <w:spacing w:before="120" w:line="276" w:lineRule="auto"/>
        <w:jc w:val="both"/>
        <w:rPr>
          <w:rFonts w:ascii="Book Antiqua" w:hAnsi="Book Antiqua"/>
          <w:b/>
          <w:sz w:val="22"/>
          <w:szCs w:val="22"/>
        </w:rPr>
      </w:pPr>
    </w:p>
    <w:p w:rsidR="00821096" w:rsidRPr="008B7143" w:rsidRDefault="00821096" w:rsidP="00E334EB">
      <w:pPr>
        <w:pStyle w:val="Normlnywebov"/>
        <w:spacing w:before="120" w:beforeAutospacing="0" w:after="0" w:afterAutospacing="0" w:line="276" w:lineRule="auto"/>
        <w:jc w:val="center"/>
        <w:rPr>
          <w:rFonts w:ascii="Book Antiqua" w:hAnsi="Book Antiqua"/>
          <w:b/>
          <w:bCs/>
          <w:caps/>
          <w:color w:val="000000"/>
          <w:spacing w:val="30"/>
          <w:sz w:val="22"/>
          <w:szCs w:val="22"/>
        </w:rPr>
      </w:pPr>
    </w:p>
    <w:p w:rsidR="00821096" w:rsidRPr="008B7143" w:rsidRDefault="00821096" w:rsidP="00E334EB">
      <w:pPr>
        <w:spacing w:before="120" w:line="276" w:lineRule="auto"/>
        <w:jc w:val="both"/>
        <w:rPr>
          <w:rFonts w:ascii="Book Antiqua" w:hAnsi="Book Antiqua"/>
          <w:sz w:val="22"/>
          <w:szCs w:val="22"/>
        </w:rPr>
      </w:pPr>
    </w:p>
    <w:p w:rsidR="00821096" w:rsidRPr="008B7143" w:rsidRDefault="00821096" w:rsidP="00E334EB">
      <w:pPr>
        <w:spacing w:before="120" w:line="276" w:lineRule="auto"/>
        <w:ind w:left="341"/>
        <w:jc w:val="both"/>
        <w:rPr>
          <w:rFonts w:ascii="Book Antiqua" w:hAnsi="Book Antiqua"/>
          <w:color w:val="000000"/>
          <w:sz w:val="22"/>
          <w:szCs w:val="22"/>
        </w:rPr>
      </w:pPr>
    </w:p>
    <w:p w:rsidR="006974DB" w:rsidRPr="008B7143" w:rsidRDefault="006974DB" w:rsidP="00E334EB">
      <w:pPr>
        <w:spacing w:before="120" w:line="276" w:lineRule="auto"/>
        <w:ind w:left="341"/>
        <w:jc w:val="both"/>
        <w:rPr>
          <w:rFonts w:ascii="Book Antiqua" w:hAnsi="Book Antiqua"/>
          <w:color w:val="000000"/>
          <w:sz w:val="22"/>
          <w:szCs w:val="22"/>
        </w:rPr>
      </w:pPr>
    </w:p>
    <w:p w:rsidR="00576A47" w:rsidRPr="008B7143" w:rsidRDefault="00576A4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342817" w:rsidRPr="008B7143" w:rsidRDefault="00342817" w:rsidP="00E334EB">
      <w:pPr>
        <w:pStyle w:val="Normlnywebov"/>
        <w:spacing w:before="120" w:beforeAutospacing="0" w:after="0" w:afterAutospacing="0" w:line="276" w:lineRule="auto"/>
        <w:rPr>
          <w:rFonts w:ascii="Book Antiqua" w:hAnsi="Book Antiqua"/>
          <w:b/>
          <w:bCs/>
          <w:caps/>
          <w:color w:val="000000"/>
          <w:spacing w:val="30"/>
          <w:sz w:val="22"/>
          <w:szCs w:val="22"/>
        </w:rPr>
      </w:pPr>
    </w:p>
    <w:p w:rsidR="00AD7EE4" w:rsidRPr="008B7143" w:rsidRDefault="00AD7EE4" w:rsidP="00E334EB">
      <w:pPr>
        <w:pStyle w:val="Normlnywebov"/>
        <w:spacing w:before="120" w:beforeAutospacing="0" w:after="0" w:afterAutospacing="0" w:line="276" w:lineRule="auto"/>
        <w:jc w:val="center"/>
        <w:rPr>
          <w:rFonts w:ascii="Book Antiqua" w:hAnsi="Book Antiqua"/>
          <w:b/>
          <w:bCs/>
          <w:caps/>
          <w:color w:val="000000"/>
          <w:spacing w:val="30"/>
          <w:sz w:val="22"/>
          <w:szCs w:val="22"/>
        </w:rPr>
      </w:pPr>
    </w:p>
    <w:p w:rsidR="00AD7EE4" w:rsidRPr="008B7143" w:rsidRDefault="00AD7EE4" w:rsidP="00E334EB">
      <w:pPr>
        <w:pStyle w:val="Normlnywebov"/>
        <w:spacing w:before="120" w:beforeAutospacing="0" w:after="0" w:afterAutospacing="0" w:line="276" w:lineRule="auto"/>
        <w:jc w:val="center"/>
        <w:rPr>
          <w:rFonts w:ascii="Book Antiqua" w:hAnsi="Book Antiqua"/>
          <w:b/>
          <w:bCs/>
          <w:caps/>
          <w:color w:val="000000"/>
          <w:spacing w:val="30"/>
          <w:sz w:val="22"/>
          <w:szCs w:val="22"/>
        </w:rPr>
      </w:pPr>
    </w:p>
    <w:p w:rsidR="00AD7EE4" w:rsidRPr="008B7143" w:rsidRDefault="00AD7EE4" w:rsidP="00E334EB">
      <w:pPr>
        <w:pStyle w:val="Normlnywebov"/>
        <w:spacing w:before="120" w:beforeAutospacing="0" w:after="0" w:afterAutospacing="0" w:line="276" w:lineRule="auto"/>
        <w:jc w:val="center"/>
        <w:rPr>
          <w:rFonts w:ascii="Book Antiqua" w:hAnsi="Book Antiqua"/>
          <w:b/>
          <w:bCs/>
          <w:caps/>
          <w:color w:val="000000"/>
          <w:spacing w:val="30"/>
          <w:sz w:val="22"/>
          <w:szCs w:val="22"/>
        </w:rPr>
      </w:pPr>
    </w:p>
    <w:p w:rsidR="00AD7EE4" w:rsidRPr="008B7143" w:rsidRDefault="00AD7EE4" w:rsidP="00E334EB">
      <w:pPr>
        <w:pStyle w:val="Normlnywebov"/>
        <w:spacing w:before="120" w:beforeAutospacing="0" w:after="0" w:afterAutospacing="0" w:line="276" w:lineRule="auto"/>
        <w:jc w:val="center"/>
        <w:rPr>
          <w:rFonts w:ascii="Book Antiqua" w:hAnsi="Book Antiqua"/>
          <w:b/>
          <w:bCs/>
          <w:caps/>
          <w:color w:val="000000"/>
          <w:spacing w:val="30"/>
          <w:sz w:val="22"/>
          <w:szCs w:val="22"/>
        </w:rPr>
      </w:pPr>
    </w:p>
    <w:p w:rsidR="00AD7EE4" w:rsidRPr="008B7143" w:rsidRDefault="00AD7EE4" w:rsidP="00E334EB">
      <w:pPr>
        <w:pStyle w:val="Normlnywebov"/>
        <w:spacing w:before="120" w:beforeAutospacing="0" w:after="0" w:afterAutospacing="0" w:line="276" w:lineRule="auto"/>
        <w:jc w:val="center"/>
        <w:rPr>
          <w:rFonts w:ascii="Book Antiqua" w:hAnsi="Book Antiqua"/>
          <w:b/>
          <w:bCs/>
          <w:caps/>
          <w:color w:val="000000"/>
          <w:spacing w:val="30"/>
          <w:sz w:val="22"/>
          <w:szCs w:val="22"/>
        </w:rPr>
      </w:pPr>
    </w:p>
    <w:p w:rsidR="00AD7EE4" w:rsidRPr="008B7143" w:rsidRDefault="00AD7EE4" w:rsidP="00E334EB">
      <w:pPr>
        <w:pStyle w:val="Normlnywebov"/>
        <w:spacing w:before="120" w:beforeAutospacing="0" w:after="0" w:afterAutospacing="0" w:line="276" w:lineRule="auto"/>
        <w:jc w:val="center"/>
        <w:rPr>
          <w:rFonts w:ascii="Book Antiqua" w:hAnsi="Book Antiqua"/>
          <w:b/>
          <w:bCs/>
          <w:caps/>
          <w:color w:val="000000"/>
          <w:spacing w:val="30"/>
          <w:sz w:val="22"/>
          <w:szCs w:val="22"/>
        </w:rPr>
      </w:pPr>
    </w:p>
    <w:p w:rsidR="00AD7EE4" w:rsidRPr="008B7143" w:rsidRDefault="00AD7EE4" w:rsidP="00E334EB">
      <w:pPr>
        <w:pStyle w:val="Normlnywebov"/>
        <w:spacing w:before="120" w:beforeAutospacing="0" w:after="0" w:afterAutospacing="0" w:line="276" w:lineRule="auto"/>
        <w:jc w:val="center"/>
        <w:rPr>
          <w:rFonts w:ascii="Book Antiqua" w:hAnsi="Book Antiqua"/>
          <w:b/>
          <w:bCs/>
          <w:caps/>
          <w:color w:val="000000"/>
          <w:spacing w:val="30"/>
          <w:sz w:val="22"/>
          <w:szCs w:val="22"/>
        </w:rPr>
      </w:pPr>
    </w:p>
    <w:p w:rsidR="00821096" w:rsidRPr="008B7143" w:rsidRDefault="00C80372" w:rsidP="00E334EB">
      <w:pPr>
        <w:pStyle w:val="Normlnywebov"/>
        <w:spacing w:before="120" w:beforeAutospacing="0" w:after="0" w:afterAutospacing="0" w:line="276" w:lineRule="auto"/>
        <w:jc w:val="center"/>
        <w:rPr>
          <w:rFonts w:ascii="Book Antiqua" w:hAnsi="Book Antiqua"/>
          <w:sz w:val="22"/>
          <w:szCs w:val="22"/>
        </w:rPr>
      </w:pPr>
      <w:r>
        <w:rPr>
          <w:rFonts w:ascii="Book Antiqua" w:hAnsi="Book Antiqua"/>
          <w:b/>
          <w:bCs/>
          <w:caps/>
          <w:color w:val="000000"/>
          <w:spacing w:val="30"/>
          <w:sz w:val="22"/>
          <w:szCs w:val="22"/>
        </w:rPr>
        <w:br w:type="page"/>
      </w:r>
      <w:r w:rsidR="00821096" w:rsidRPr="008B7143">
        <w:rPr>
          <w:rFonts w:ascii="Book Antiqua" w:hAnsi="Book Antiqua"/>
          <w:b/>
          <w:bCs/>
          <w:caps/>
          <w:color w:val="000000"/>
          <w:spacing w:val="30"/>
          <w:sz w:val="22"/>
          <w:szCs w:val="22"/>
        </w:rPr>
        <w:lastRenderedPageBreak/>
        <w:t>Doložka</w:t>
      </w:r>
    </w:p>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b/>
          <w:bCs/>
          <w:color w:val="000000"/>
          <w:sz w:val="22"/>
          <w:szCs w:val="22"/>
        </w:rPr>
        <w:t>vybraných vplyvov</w:t>
      </w:r>
    </w:p>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 </w:t>
      </w:r>
    </w:p>
    <w:p w:rsidR="009473E1" w:rsidRPr="008B7143" w:rsidRDefault="00821096" w:rsidP="00E334EB">
      <w:pPr>
        <w:pStyle w:val="Normlnywebov"/>
        <w:spacing w:before="120" w:beforeAutospacing="0" w:after="0" w:afterAutospacing="0" w:line="276" w:lineRule="auto"/>
        <w:jc w:val="both"/>
        <w:rPr>
          <w:rFonts w:ascii="Book Antiqua" w:hAnsi="Book Antiqua"/>
          <w:bCs/>
          <w:color w:val="000000"/>
          <w:sz w:val="22"/>
          <w:szCs w:val="22"/>
        </w:rPr>
      </w:pPr>
      <w:r w:rsidRPr="008B7143">
        <w:rPr>
          <w:rFonts w:ascii="Book Antiqua" w:hAnsi="Book Antiqua"/>
          <w:b/>
          <w:bCs/>
          <w:color w:val="000000"/>
          <w:sz w:val="22"/>
          <w:szCs w:val="22"/>
        </w:rPr>
        <w:t xml:space="preserve">A.1. Názov materiálu: </w:t>
      </w:r>
      <w:r w:rsidR="006974DB" w:rsidRPr="008B7143">
        <w:rPr>
          <w:rFonts w:ascii="Book Antiqua" w:hAnsi="Book Antiqua"/>
          <w:bCs/>
          <w:color w:val="000000"/>
          <w:sz w:val="22"/>
          <w:szCs w:val="22"/>
        </w:rPr>
        <w:t xml:space="preserve">návrh zákona </w:t>
      </w:r>
      <w:r w:rsidR="009473E1" w:rsidRPr="008B7143">
        <w:rPr>
          <w:rFonts w:ascii="Book Antiqua" w:hAnsi="Book Antiqua"/>
          <w:bCs/>
          <w:color w:val="000000"/>
          <w:sz w:val="22"/>
          <w:szCs w:val="22"/>
        </w:rPr>
        <w:t>o zodpovednosti za škodu spôsobenú štátu, uplatnení práva na náhradu škody štátom a treťou osobou v mene štátu a o odmene tretej osobe za uplatnenie tohto práva</w:t>
      </w:r>
    </w:p>
    <w:p w:rsidR="00821096" w:rsidRPr="008B7143" w:rsidRDefault="00821096" w:rsidP="00E334EB">
      <w:pPr>
        <w:pStyle w:val="Normlnywebov"/>
        <w:spacing w:before="120" w:beforeAutospacing="0" w:after="0" w:afterAutospacing="0" w:line="276" w:lineRule="auto"/>
        <w:jc w:val="both"/>
        <w:rPr>
          <w:rFonts w:ascii="Book Antiqua" w:hAnsi="Book Antiqua"/>
          <w:sz w:val="22"/>
          <w:szCs w:val="22"/>
        </w:rPr>
      </w:pPr>
      <w:r w:rsidRPr="008B7143">
        <w:rPr>
          <w:rFonts w:ascii="Book Antiqua" w:hAnsi="Book Antiqua"/>
          <w:b/>
          <w:bCs/>
          <w:color w:val="000000"/>
          <w:sz w:val="22"/>
          <w:szCs w:val="22"/>
        </w:rPr>
        <w:t>        Termín začatia a ukončenia PPK:</w:t>
      </w:r>
      <w:r w:rsidRPr="008B7143">
        <w:rPr>
          <w:rFonts w:ascii="Book Antiqua" w:hAnsi="Book Antiqua"/>
          <w:color w:val="000000"/>
          <w:sz w:val="22"/>
          <w:szCs w:val="22"/>
        </w:rPr>
        <w:t xml:space="preserve"> </w:t>
      </w:r>
      <w:r w:rsidRPr="008B7143">
        <w:rPr>
          <w:rFonts w:ascii="Book Antiqua" w:hAnsi="Book Antiqua"/>
          <w:i/>
          <w:iCs/>
          <w:color w:val="000000"/>
          <w:sz w:val="22"/>
          <w:szCs w:val="22"/>
        </w:rPr>
        <w:t>bezpredmetné</w:t>
      </w:r>
    </w:p>
    <w:p w:rsidR="00F55D35" w:rsidRPr="008B7143" w:rsidRDefault="00F55D35" w:rsidP="00E334EB">
      <w:pPr>
        <w:pStyle w:val="Normlnywebov"/>
        <w:spacing w:before="120" w:beforeAutospacing="0" w:after="0" w:afterAutospacing="0" w:line="276" w:lineRule="auto"/>
        <w:jc w:val="both"/>
        <w:rPr>
          <w:rFonts w:ascii="Book Antiqua" w:hAnsi="Book Antiqua"/>
          <w:sz w:val="22"/>
          <w:szCs w:val="22"/>
        </w:rPr>
      </w:pPr>
    </w:p>
    <w:p w:rsidR="00821096" w:rsidRPr="008B7143" w:rsidRDefault="00821096" w:rsidP="00E334EB">
      <w:pPr>
        <w:pStyle w:val="Normlnywebov"/>
        <w:spacing w:before="120" w:beforeAutospacing="0" w:after="0" w:afterAutospacing="0" w:line="276" w:lineRule="auto"/>
        <w:jc w:val="both"/>
        <w:rPr>
          <w:rFonts w:ascii="Book Antiqua" w:hAnsi="Book Antiqua"/>
          <w:sz w:val="22"/>
          <w:szCs w:val="22"/>
        </w:rPr>
      </w:pPr>
      <w:r w:rsidRPr="008B7143">
        <w:rPr>
          <w:rFonts w:ascii="Book Antiqua" w:hAnsi="Book Antiqua"/>
          <w:b/>
          <w:bCs/>
          <w:color w:val="000000"/>
          <w:sz w:val="22"/>
          <w:szCs w:val="22"/>
        </w:rPr>
        <w:t>A.2. Vplyvy:</w:t>
      </w:r>
    </w:p>
    <w:tbl>
      <w:tblPr>
        <w:tblW w:w="5000" w:type="pct"/>
        <w:tblCellMar>
          <w:left w:w="0" w:type="dxa"/>
          <w:right w:w="0" w:type="dxa"/>
        </w:tblCellMar>
        <w:tblLook w:val="0000" w:firstRow="0" w:lastRow="0" w:firstColumn="0" w:lastColumn="0" w:noHBand="0" w:noVBand="0"/>
      </w:tblPr>
      <w:tblGrid>
        <w:gridCol w:w="5518"/>
        <w:gridCol w:w="1192"/>
        <w:gridCol w:w="1181"/>
        <w:gridCol w:w="1197"/>
      </w:tblGrid>
      <w:tr w:rsidR="00821096" w:rsidRPr="008B7143" w:rsidTr="00AD2755">
        <w:tc>
          <w:tcPr>
            <w:tcW w:w="573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Negatívne </w:t>
            </w:r>
          </w:p>
        </w:tc>
      </w:tr>
      <w:tr w:rsidR="00821096" w:rsidRPr="008B7143" w:rsidTr="00AD2755">
        <w:tc>
          <w:tcPr>
            <w:tcW w:w="573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w:t>
            </w:r>
            <w:r w:rsidR="006974DB" w:rsidRPr="008B7143">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p>
        </w:tc>
      </w:tr>
      <w:tr w:rsidR="00821096" w:rsidRPr="008B7143" w:rsidTr="00AD2755">
        <w:tc>
          <w:tcPr>
            <w:tcW w:w="573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w:t>
            </w:r>
          </w:p>
        </w:tc>
      </w:tr>
      <w:tr w:rsidR="00821096" w:rsidRPr="008B7143" w:rsidTr="00AD2755">
        <w:tc>
          <w:tcPr>
            <w:tcW w:w="573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21096" w:rsidRPr="008B7143" w:rsidRDefault="00342817"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 </w:t>
            </w:r>
          </w:p>
        </w:tc>
      </w:tr>
      <w:tr w:rsidR="00821096" w:rsidRPr="008B7143" w:rsidTr="00AD2755">
        <w:tc>
          <w:tcPr>
            <w:tcW w:w="573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342817"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w:t>
            </w:r>
          </w:p>
        </w:tc>
      </w:tr>
      <w:tr w:rsidR="00821096" w:rsidRPr="008B7143" w:rsidTr="00AD2755">
        <w:tc>
          <w:tcPr>
            <w:tcW w:w="573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w:t>
            </w:r>
          </w:p>
        </w:tc>
      </w:tr>
      <w:tr w:rsidR="00821096" w:rsidRPr="008B7143" w:rsidTr="00AD2755">
        <w:tc>
          <w:tcPr>
            <w:tcW w:w="573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F55EB1"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w:t>
            </w:r>
          </w:p>
        </w:tc>
      </w:tr>
      <w:tr w:rsidR="00821096" w:rsidRPr="008B7143" w:rsidTr="00AD2755">
        <w:tc>
          <w:tcPr>
            <w:tcW w:w="573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w:t>
            </w:r>
          </w:p>
        </w:tc>
      </w:tr>
      <w:tr w:rsidR="00821096" w:rsidRPr="008B7143" w:rsidTr="00AD2755">
        <w:tc>
          <w:tcPr>
            <w:tcW w:w="573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6974DB"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vAlign w:val="center"/>
          </w:tcPr>
          <w:p w:rsidR="00821096" w:rsidRPr="008B7143" w:rsidRDefault="00821096" w:rsidP="00E334EB">
            <w:pPr>
              <w:pStyle w:val="Normlnywebov"/>
              <w:spacing w:before="120" w:beforeAutospacing="0" w:after="0" w:afterAutospacing="0" w:line="276" w:lineRule="auto"/>
              <w:jc w:val="center"/>
              <w:rPr>
                <w:rFonts w:ascii="Book Antiqua" w:hAnsi="Book Antiqua"/>
                <w:sz w:val="22"/>
                <w:szCs w:val="22"/>
              </w:rPr>
            </w:pPr>
            <w:r w:rsidRPr="008B7143">
              <w:rPr>
                <w:rFonts w:ascii="Book Antiqua" w:hAnsi="Book Antiqua"/>
                <w:color w:val="000000"/>
                <w:sz w:val="22"/>
                <w:szCs w:val="22"/>
              </w:rPr>
              <w:t> </w:t>
            </w:r>
          </w:p>
        </w:tc>
      </w:tr>
    </w:tbl>
    <w:p w:rsidR="00821096" w:rsidRPr="008B7143" w:rsidRDefault="00821096" w:rsidP="00E334EB">
      <w:pPr>
        <w:pStyle w:val="Normlnywebov"/>
        <w:spacing w:before="120" w:beforeAutospacing="0" w:after="0" w:afterAutospacing="0" w:line="276" w:lineRule="auto"/>
        <w:rPr>
          <w:rFonts w:ascii="Book Antiqua" w:hAnsi="Book Antiqua"/>
          <w:sz w:val="22"/>
          <w:szCs w:val="22"/>
        </w:rPr>
      </w:pPr>
      <w:r w:rsidRPr="008B7143">
        <w:rPr>
          <w:rFonts w:ascii="Book Antiqua" w:hAnsi="Book Antiqua"/>
          <w:color w:val="000000"/>
          <w:sz w:val="22"/>
          <w:szCs w:val="22"/>
        </w:rPr>
        <w:t> </w:t>
      </w:r>
    </w:p>
    <w:p w:rsidR="00821096" w:rsidRPr="008B7143" w:rsidRDefault="00821096" w:rsidP="00F55EB1">
      <w:pPr>
        <w:pStyle w:val="Normlnywebov"/>
        <w:spacing w:before="0" w:beforeAutospacing="0" w:after="0" w:afterAutospacing="0" w:line="276" w:lineRule="auto"/>
        <w:jc w:val="both"/>
        <w:rPr>
          <w:rFonts w:ascii="Book Antiqua" w:hAnsi="Book Antiqua"/>
          <w:sz w:val="22"/>
          <w:szCs w:val="22"/>
        </w:rPr>
      </w:pPr>
      <w:r w:rsidRPr="008B7143">
        <w:rPr>
          <w:rFonts w:ascii="Book Antiqua" w:hAnsi="Book Antiqua"/>
          <w:b/>
          <w:bCs/>
          <w:color w:val="000000"/>
          <w:sz w:val="22"/>
          <w:szCs w:val="22"/>
        </w:rPr>
        <w:t>A.3. Poznámky</w:t>
      </w:r>
    </w:p>
    <w:p w:rsidR="00DB65B8" w:rsidRDefault="00DB65B8" w:rsidP="00026B92">
      <w:pPr>
        <w:pStyle w:val="Normlnywebov"/>
        <w:spacing w:before="0" w:beforeAutospacing="0" w:after="0" w:afterAutospacing="0" w:line="276" w:lineRule="auto"/>
        <w:jc w:val="both"/>
        <w:rPr>
          <w:rFonts w:ascii="Book Antiqua" w:hAnsi="Book Antiqua"/>
          <w:i/>
          <w:iCs/>
          <w:color w:val="000000"/>
          <w:sz w:val="22"/>
          <w:szCs w:val="22"/>
        </w:rPr>
      </w:pPr>
    </w:p>
    <w:p w:rsidR="00821096" w:rsidRDefault="00AD7EE4" w:rsidP="00026B92">
      <w:pPr>
        <w:pStyle w:val="Normlnywebov"/>
        <w:spacing w:before="0" w:beforeAutospacing="0" w:after="0" w:afterAutospacing="0" w:line="276" w:lineRule="auto"/>
        <w:jc w:val="both"/>
        <w:rPr>
          <w:rFonts w:ascii="Book Antiqua" w:hAnsi="Book Antiqua"/>
          <w:i/>
          <w:iCs/>
          <w:color w:val="000000"/>
          <w:sz w:val="22"/>
          <w:szCs w:val="22"/>
        </w:rPr>
      </w:pPr>
      <w:r w:rsidRPr="008B7143">
        <w:rPr>
          <w:rFonts w:ascii="Book Antiqua" w:hAnsi="Book Antiqua"/>
          <w:i/>
          <w:iCs/>
          <w:color w:val="000000"/>
          <w:sz w:val="22"/>
          <w:szCs w:val="22"/>
        </w:rPr>
        <w:t>Návrh zákona predpokladá prevažne pozití</w:t>
      </w:r>
      <w:r w:rsidR="00026B92">
        <w:rPr>
          <w:rFonts w:ascii="Book Antiqua" w:hAnsi="Book Antiqua"/>
          <w:i/>
          <w:iCs/>
          <w:color w:val="000000"/>
          <w:sz w:val="22"/>
          <w:szCs w:val="22"/>
        </w:rPr>
        <w:t>vny vplyv na rozpočet verejnej správy</w:t>
      </w:r>
      <w:r w:rsidRPr="008B7143">
        <w:rPr>
          <w:rFonts w:ascii="Book Antiqua" w:hAnsi="Book Antiqua"/>
          <w:i/>
          <w:iCs/>
          <w:color w:val="000000"/>
          <w:sz w:val="22"/>
          <w:szCs w:val="22"/>
        </w:rPr>
        <w:t xml:space="preserve">, ktorý </w:t>
      </w:r>
      <w:r w:rsidR="00F55EB1" w:rsidRPr="008B7143">
        <w:rPr>
          <w:rFonts w:ascii="Book Antiqua" w:hAnsi="Book Antiqua"/>
          <w:i/>
          <w:iCs/>
          <w:color w:val="000000"/>
          <w:sz w:val="22"/>
          <w:szCs w:val="22"/>
        </w:rPr>
        <w:t>sa však nedá presne vyčísliť</w:t>
      </w:r>
      <w:r w:rsidRPr="008B7143">
        <w:rPr>
          <w:rFonts w:ascii="Book Antiqua" w:hAnsi="Book Antiqua"/>
          <w:i/>
          <w:iCs/>
          <w:color w:val="000000"/>
          <w:sz w:val="22"/>
          <w:szCs w:val="22"/>
        </w:rPr>
        <w:t xml:space="preserve">. </w:t>
      </w:r>
      <w:r w:rsidR="00DB65B8">
        <w:rPr>
          <w:rFonts w:ascii="Book Antiqua" w:hAnsi="Book Antiqua"/>
          <w:i/>
          <w:iCs/>
          <w:color w:val="000000"/>
          <w:sz w:val="22"/>
          <w:szCs w:val="22"/>
        </w:rPr>
        <w:t>N</w:t>
      </w:r>
      <w:r w:rsidR="00026B92">
        <w:rPr>
          <w:rFonts w:ascii="Book Antiqua" w:hAnsi="Book Antiqua"/>
          <w:i/>
          <w:iCs/>
          <w:color w:val="000000"/>
          <w:sz w:val="22"/>
          <w:szCs w:val="22"/>
        </w:rPr>
        <w:t>apr. v USA tento systém generuje ročne sumu vo výške  4,76 mili</w:t>
      </w:r>
      <w:r w:rsidR="00DB65B8">
        <w:rPr>
          <w:rFonts w:ascii="Book Antiqua" w:hAnsi="Book Antiqua"/>
          <w:i/>
          <w:iCs/>
          <w:color w:val="000000"/>
          <w:sz w:val="22"/>
          <w:szCs w:val="22"/>
        </w:rPr>
        <w:t>ardy dolárov – údaj z roku 2016</w:t>
      </w:r>
      <w:r w:rsidR="00026B92">
        <w:rPr>
          <w:rFonts w:ascii="Book Antiqua" w:hAnsi="Book Antiqua"/>
          <w:i/>
          <w:iCs/>
          <w:color w:val="000000"/>
          <w:sz w:val="22"/>
          <w:szCs w:val="22"/>
        </w:rPr>
        <w:t>.</w:t>
      </w:r>
    </w:p>
    <w:p w:rsidR="00026B92" w:rsidRPr="008B7143" w:rsidRDefault="00026B92" w:rsidP="00026B92">
      <w:pPr>
        <w:pStyle w:val="Normlnywebov"/>
        <w:spacing w:before="0" w:beforeAutospacing="0" w:after="0" w:afterAutospacing="0" w:line="276" w:lineRule="auto"/>
        <w:jc w:val="both"/>
        <w:rPr>
          <w:rFonts w:ascii="Book Antiqua" w:hAnsi="Book Antiqua"/>
          <w:sz w:val="22"/>
          <w:szCs w:val="22"/>
        </w:rPr>
      </w:pPr>
    </w:p>
    <w:p w:rsidR="00DB65B8" w:rsidRDefault="00DB65B8" w:rsidP="00F55EB1">
      <w:pPr>
        <w:pStyle w:val="Normlnywebov"/>
        <w:spacing w:before="0" w:beforeAutospacing="0" w:after="0" w:afterAutospacing="0" w:line="276" w:lineRule="auto"/>
        <w:jc w:val="both"/>
        <w:rPr>
          <w:rFonts w:ascii="Book Antiqua" w:hAnsi="Book Antiqua"/>
          <w:b/>
          <w:bCs/>
          <w:color w:val="000000"/>
          <w:sz w:val="22"/>
          <w:szCs w:val="22"/>
        </w:rPr>
      </w:pPr>
    </w:p>
    <w:p w:rsidR="00821096" w:rsidRPr="008B7143" w:rsidRDefault="00821096" w:rsidP="00F55EB1">
      <w:pPr>
        <w:pStyle w:val="Normlnywebov"/>
        <w:spacing w:before="0" w:beforeAutospacing="0" w:after="0" w:afterAutospacing="0" w:line="276" w:lineRule="auto"/>
        <w:jc w:val="both"/>
        <w:rPr>
          <w:rFonts w:ascii="Book Antiqua" w:hAnsi="Book Antiqua"/>
          <w:sz w:val="22"/>
          <w:szCs w:val="22"/>
        </w:rPr>
      </w:pPr>
      <w:r w:rsidRPr="008B7143">
        <w:rPr>
          <w:rFonts w:ascii="Book Antiqua" w:hAnsi="Book Antiqua"/>
          <w:b/>
          <w:bCs/>
          <w:color w:val="000000"/>
          <w:sz w:val="22"/>
          <w:szCs w:val="22"/>
        </w:rPr>
        <w:t>A.4. Alternatívne riešenia</w:t>
      </w:r>
    </w:p>
    <w:p w:rsidR="00DB65B8" w:rsidRDefault="00DB65B8" w:rsidP="00F55EB1">
      <w:pPr>
        <w:pStyle w:val="Normlnywebov"/>
        <w:spacing w:before="0" w:beforeAutospacing="0" w:after="0" w:afterAutospacing="0" w:line="276" w:lineRule="auto"/>
        <w:jc w:val="both"/>
        <w:rPr>
          <w:rFonts w:ascii="Book Antiqua" w:hAnsi="Book Antiqua"/>
          <w:i/>
          <w:iCs/>
          <w:color w:val="000000"/>
          <w:sz w:val="22"/>
          <w:szCs w:val="22"/>
        </w:rPr>
      </w:pPr>
    </w:p>
    <w:p w:rsidR="00821096" w:rsidRPr="008B7143" w:rsidRDefault="00821096" w:rsidP="00F55EB1">
      <w:pPr>
        <w:pStyle w:val="Normlnywebov"/>
        <w:spacing w:before="0" w:beforeAutospacing="0" w:after="0" w:afterAutospacing="0" w:line="276" w:lineRule="auto"/>
        <w:jc w:val="both"/>
        <w:rPr>
          <w:rFonts w:ascii="Book Antiqua" w:hAnsi="Book Antiqua"/>
          <w:sz w:val="22"/>
          <w:szCs w:val="22"/>
        </w:rPr>
      </w:pPr>
      <w:r w:rsidRPr="008B7143">
        <w:rPr>
          <w:rFonts w:ascii="Book Antiqua" w:hAnsi="Book Antiqua"/>
          <w:i/>
          <w:iCs/>
          <w:color w:val="000000"/>
          <w:sz w:val="22"/>
          <w:szCs w:val="22"/>
        </w:rPr>
        <w:t>bezpredmetné</w:t>
      </w:r>
    </w:p>
    <w:p w:rsidR="00821096" w:rsidRPr="008B7143" w:rsidRDefault="00821096" w:rsidP="00F55EB1">
      <w:pPr>
        <w:pStyle w:val="Normlnywebov"/>
        <w:spacing w:before="0" w:beforeAutospacing="0" w:after="0" w:afterAutospacing="0" w:line="276" w:lineRule="auto"/>
        <w:jc w:val="both"/>
        <w:rPr>
          <w:rFonts w:ascii="Book Antiqua" w:hAnsi="Book Antiqua"/>
          <w:sz w:val="22"/>
          <w:szCs w:val="22"/>
        </w:rPr>
      </w:pPr>
      <w:r w:rsidRPr="008B7143">
        <w:rPr>
          <w:rFonts w:ascii="Book Antiqua" w:hAnsi="Book Antiqua"/>
          <w:b/>
          <w:bCs/>
          <w:color w:val="000000"/>
          <w:sz w:val="22"/>
          <w:szCs w:val="22"/>
        </w:rPr>
        <w:t> </w:t>
      </w:r>
    </w:p>
    <w:p w:rsidR="00DB65B8" w:rsidRDefault="00DB65B8" w:rsidP="00F55EB1">
      <w:pPr>
        <w:pStyle w:val="Normlnywebov"/>
        <w:spacing w:before="0" w:beforeAutospacing="0" w:after="0" w:afterAutospacing="0" w:line="276" w:lineRule="auto"/>
        <w:jc w:val="both"/>
        <w:rPr>
          <w:rFonts w:ascii="Book Antiqua" w:hAnsi="Book Antiqua"/>
          <w:b/>
          <w:bCs/>
          <w:color w:val="000000"/>
          <w:sz w:val="22"/>
          <w:szCs w:val="22"/>
        </w:rPr>
      </w:pPr>
    </w:p>
    <w:p w:rsidR="00821096" w:rsidRPr="008B7143" w:rsidRDefault="00821096" w:rsidP="00F55EB1">
      <w:pPr>
        <w:pStyle w:val="Normlnywebov"/>
        <w:spacing w:before="0" w:beforeAutospacing="0" w:after="0" w:afterAutospacing="0" w:line="276" w:lineRule="auto"/>
        <w:jc w:val="both"/>
        <w:rPr>
          <w:rFonts w:ascii="Book Antiqua" w:hAnsi="Book Antiqua"/>
          <w:sz w:val="22"/>
          <w:szCs w:val="22"/>
        </w:rPr>
      </w:pPr>
      <w:r w:rsidRPr="008B7143">
        <w:rPr>
          <w:rFonts w:ascii="Book Antiqua" w:hAnsi="Book Antiqua"/>
          <w:b/>
          <w:bCs/>
          <w:color w:val="000000"/>
          <w:sz w:val="22"/>
          <w:szCs w:val="22"/>
        </w:rPr>
        <w:t>A.5. Stanovisko gestorov</w:t>
      </w:r>
    </w:p>
    <w:p w:rsidR="00DB65B8" w:rsidRDefault="00DB65B8" w:rsidP="00F55EB1">
      <w:pPr>
        <w:pStyle w:val="Normlnywebov"/>
        <w:spacing w:before="0" w:beforeAutospacing="0" w:after="0" w:afterAutospacing="0" w:line="276" w:lineRule="auto"/>
        <w:jc w:val="both"/>
        <w:rPr>
          <w:rFonts w:ascii="Book Antiqua" w:hAnsi="Book Antiqua"/>
          <w:i/>
          <w:iCs/>
          <w:color w:val="000000"/>
          <w:sz w:val="22"/>
          <w:szCs w:val="22"/>
        </w:rPr>
      </w:pPr>
    </w:p>
    <w:p w:rsidR="00933B46" w:rsidRPr="008B7143" w:rsidRDefault="00821096" w:rsidP="00F55EB1">
      <w:pPr>
        <w:pStyle w:val="Normlnywebov"/>
        <w:spacing w:before="0" w:beforeAutospacing="0" w:after="0" w:afterAutospacing="0" w:line="276" w:lineRule="auto"/>
        <w:jc w:val="both"/>
        <w:rPr>
          <w:rFonts w:ascii="Book Antiqua" w:hAnsi="Book Antiqua"/>
          <w:sz w:val="22"/>
          <w:szCs w:val="22"/>
        </w:rPr>
      </w:pPr>
      <w:r w:rsidRPr="008B7143">
        <w:rPr>
          <w:rFonts w:ascii="Book Antiqua" w:hAnsi="Book Antiqua"/>
          <w:i/>
          <w:iCs/>
          <w:color w:val="000000"/>
          <w:sz w:val="22"/>
          <w:szCs w:val="22"/>
        </w:rPr>
        <w:t>Návrh zákona bol zaslaný na vyjadrenie Ministerstvu financií SR a stanovisko tohto ministerstva tvorí súčasť predkladaného materiálu.</w:t>
      </w:r>
    </w:p>
    <w:sectPr w:rsidR="00933B46" w:rsidRPr="008B7143" w:rsidSect="00041CFF">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9FA" w:rsidRDefault="001A49FA">
      <w:r>
        <w:separator/>
      </w:r>
    </w:p>
  </w:endnote>
  <w:endnote w:type="continuationSeparator" w:id="0">
    <w:p w:rsidR="001A49FA" w:rsidRDefault="001A4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w:altName w:val="Times New Roman"/>
    <w:panose1 w:val="020B0604020202020204"/>
    <w:charset w:val="EE"/>
    <w:family w:val="swiss"/>
    <w:pitch w:val="variable"/>
    <w:sig w:usb0="E0002EFF" w:usb1="C000785B" w:usb2="00000009" w:usb3="00000000" w:csb0="000001FF" w:csb1="00000000"/>
  </w:font>
  <w:font w:name="Book Antiqua">
    <w:altName w:val="Palatino"/>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F" w:rsidRDefault="00797D6F" w:rsidP="00E130D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797D6F" w:rsidRDefault="00797D6F" w:rsidP="0071457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D6F" w:rsidRDefault="00797D6F" w:rsidP="00E130D0">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6861CD">
      <w:rPr>
        <w:rStyle w:val="slostrany"/>
        <w:noProof/>
      </w:rPr>
      <w:t>2</w:t>
    </w:r>
    <w:r>
      <w:rPr>
        <w:rStyle w:val="slostrany"/>
      </w:rPr>
      <w:fldChar w:fldCharType="end"/>
    </w:r>
  </w:p>
  <w:p w:rsidR="00797D6F" w:rsidRDefault="00797D6F" w:rsidP="0071457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9FA" w:rsidRDefault="001A49FA">
      <w:r>
        <w:separator/>
      </w:r>
    </w:p>
  </w:footnote>
  <w:footnote w:type="continuationSeparator" w:id="0">
    <w:p w:rsidR="001A49FA" w:rsidRDefault="001A4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55B"/>
    <w:multiLevelType w:val="hybridMultilevel"/>
    <w:tmpl w:val="245AF3EE"/>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12EB6909"/>
    <w:multiLevelType w:val="hybridMultilevel"/>
    <w:tmpl w:val="1A5CAEE0"/>
    <w:lvl w:ilvl="0" w:tplc="841804EC">
      <w:start w:val="1"/>
      <w:numFmt w:val="lowerLetter"/>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9517605"/>
    <w:multiLevelType w:val="hybridMultilevel"/>
    <w:tmpl w:val="356255AE"/>
    <w:lvl w:ilvl="0" w:tplc="A1EEB890">
      <w:start w:val="1"/>
      <w:numFmt w:val="lowerLetter"/>
      <w:lvlText w:val="%1)"/>
      <w:lvlJc w:val="left"/>
      <w:pPr>
        <w:tabs>
          <w:tab w:val="num" w:pos="420"/>
        </w:tabs>
        <w:ind w:left="420" w:hanging="360"/>
      </w:pPr>
      <w:rPr>
        <w:rFonts w:cs="Times New Roman"/>
        <w:i w:val="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 w15:restartNumberingAfterBreak="0">
    <w:nsid w:val="204832E8"/>
    <w:multiLevelType w:val="hybridMultilevel"/>
    <w:tmpl w:val="3A426296"/>
    <w:lvl w:ilvl="0" w:tplc="0CD80C74">
      <w:start w:val="1"/>
      <w:numFmt w:val="lowerLetter"/>
      <w:lvlText w:val="%1)"/>
      <w:lvlJc w:val="left"/>
      <w:pPr>
        <w:ind w:left="1068" w:hanging="360"/>
      </w:pPr>
      <w:rPr>
        <w:rFonts w:cs="Times New Roman" w:hint="default"/>
        <w:color w:val="000000"/>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4" w15:restartNumberingAfterBreak="0">
    <w:nsid w:val="21114DE3"/>
    <w:multiLevelType w:val="hybridMultilevel"/>
    <w:tmpl w:val="818C58F8"/>
    <w:lvl w:ilvl="0" w:tplc="B76897D0">
      <w:start w:val="3"/>
      <w:numFmt w:val="bullet"/>
      <w:lvlText w:val="-"/>
      <w:lvlJc w:val="left"/>
      <w:pPr>
        <w:ind w:left="1080" w:hanging="360"/>
      </w:pPr>
      <w:rPr>
        <w:rFonts w:ascii="Times New Roman" w:eastAsia="Times New Roman" w:hAnsi="Times New Roman" w:hint="default"/>
      </w:rPr>
    </w:lvl>
    <w:lvl w:ilvl="1" w:tplc="041B0003">
      <w:start w:val="1"/>
      <w:numFmt w:val="bullet"/>
      <w:lvlText w:val="o"/>
      <w:lvlJc w:val="left"/>
      <w:pPr>
        <w:ind w:left="1800" w:hanging="360"/>
      </w:pPr>
      <w:rPr>
        <w:rFonts w:ascii="Courier New" w:hAnsi="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hint="default"/>
      </w:rPr>
    </w:lvl>
    <w:lvl w:ilvl="8" w:tplc="041B0005">
      <w:start w:val="1"/>
      <w:numFmt w:val="bullet"/>
      <w:lvlText w:val=""/>
      <w:lvlJc w:val="left"/>
      <w:pPr>
        <w:ind w:left="6840" w:hanging="360"/>
      </w:pPr>
      <w:rPr>
        <w:rFonts w:ascii="Wingdings" w:hAnsi="Wingdings" w:hint="default"/>
      </w:rPr>
    </w:lvl>
  </w:abstractNum>
  <w:abstractNum w:abstractNumId="5" w15:restartNumberingAfterBreak="0">
    <w:nsid w:val="24F4578E"/>
    <w:multiLevelType w:val="hybridMultilevel"/>
    <w:tmpl w:val="BA7E25DA"/>
    <w:lvl w:ilvl="0" w:tplc="6AE2DC16">
      <w:start w:val="1"/>
      <w:numFmt w:val="decimal"/>
      <w:lvlText w:val="%1."/>
      <w:lvlJc w:val="left"/>
      <w:pPr>
        <w:tabs>
          <w:tab w:val="num" w:pos="0"/>
        </w:tabs>
        <w:ind w:hanging="360"/>
      </w:pPr>
      <w:rPr>
        <w:rFonts w:cs="Times New Roman" w:hint="default"/>
        <w:b/>
      </w:rPr>
    </w:lvl>
    <w:lvl w:ilvl="1" w:tplc="041B0019" w:tentative="1">
      <w:start w:val="1"/>
      <w:numFmt w:val="lowerLetter"/>
      <w:lvlText w:val="%2."/>
      <w:lvlJc w:val="left"/>
      <w:pPr>
        <w:tabs>
          <w:tab w:val="num" w:pos="720"/>
        </w:tabs>
        <w:ind w:left="720" w:hanging="360"/>
      </w:pPr>
      <w:rPr>
        <w:rFonts w:cs="Times New Roman"/>
      </w:rPr>
    </w:lvl>
    <w:lvl w:ilvl="2" w:tplc="041B001B" w:tentative="1">
      <w:start w:val="1"/>
      <w:numFmt w:val="lowerRoman"/>
      <w:lvlText w:val="%3."/>
      <w:lvlJc w:val="right"/>
      <w:pPr>
        <w:tabs>
          <w:tab w:val="num" w:pos="1440"/>
        </w:tabs>
        <w:ind w:left="1440" w:hanging="180"/>
      </w:pPr>
      <w:rPr>
        <w:rFonts w:cs="Times New Roman"/>
      </w:rPr>
    </w:lvl>
    <w:lvl w:ilvl="3" w:tplc="041B000F" w:tentative="1">
      <w:start w:val="1"/>
      <w:numFmt w:val="decimal"/>
      <w:lvlText w:val="%4."/>
      <w:lvlJc w:val="left"/>
      <w:pPr>
        <w:tabs>
          <w:tab w:val="num" w:pos="2160"/>
        </w:tabs>
        <w:ind w:left="2160" w:hanging="360"/>
      </w:pPr>
      <w:rPr>
        <w:rFonts w:cs="Times New Roman"/>
      </w:rPr>
    </w:lvl>
    <w:lvl w:ilvl="4" w:tplc="041B0019" w:tentative="1">
      <w:start w:val="1"/>
      <w:numFmt w:val="lowerLetter"/>
      <w:lvlText w:val="%5."/>
      <w:lvlJc w:val="left"/>
      <w:pPr>
        <w:tabs>
          <w:tab w:val="num" w:pos="2880"/>
        </w:tabs>
        <w:ind w:left="2880" w:hanging="360"/>
      </w:pPr>
      <w:rPr>
        <w:rFonts w:cs="Times New Roman"/>
      </w:rPr>
    </w:lvl>
    <w:lvl w:ilvl="5" w:tplc="041B001B" w:tentative="1">
      <w:start w:val="1"/>
      <w:numFmt w:val="lowerRoman"/>
      <w:lvlText w:val="%6."/>
      <w:lvlJc w:val="right"/>
      <w:pPr>
        <w:tabs>
          <w:tab w:val="num" w:pos="3600"/>
        </w:tabs>
        <w:ind w:left="3600" w:hanging="180"/>
      </w:pPr>
      <w:rPr>
        <w:rFonts w:cs="Times New Roman"/>
      </w:rPr>
    </w:lvl>
    <w:lvl w:ilvl="6" w:tplc="041B000F" w:tentative="1">
      <w:start w:val="1"/>
      <w:numFmt w:val="decimal"/>
      <w:lvlText w:val="%7."/>
      <w:lvlJc w:val="left"/>
      <w:pPr>
        <w:tabs>
          <w:tab w:val="num" w:pos="4320"/>
        </w:tabs>
        <w:ind w:left="4320" w:hanging="360"/>
      </w:pPr>
      <w:rPr>
        <w:rFonts w:cs="Times New Roman"/>
      </w:rPr>
    </w:lvl>
    <w:lvl w:ilvl="7" w:tplc="041B0019" w:tentative="1">
      <w:start w:val="1"/>
      <w:numFmt w:val="lowerLetter"/>
      <w:lvlText w:val="%8."/>
      <w:lvlJc w:val="left"/>
      <w:pPr>
        <w:tabs>
          <w:tab w:val="num" w:pos="5040"/>
        </w:tabs>
        <w:ind w:left="5040" w:hanging="360"/>
      </w:pPr>
      <w:rPr>
        <w:rFonts w:cs="Times New Roman"/>
      </w:rPr>
    </w:lvl>
    <w:lvl w:ilvl="8" w:tplc="041B001B" w:tentative="1">
      <w:start w:val="1"/>
      <w:numFmt w:val="lowerRoman"/>
      <w:lvlText w:val="%9."/>
      <w:lvlJc w:val="right"/>
      <w:pPr>
        <w:tabs>
          <w:tab w:val="num" w:pos="5760"/>
        </w:tabs>
        <w:ind w:left="5760" w:hanging="180"/>
      </w:pPr>
      <w:rPr>
        <w:rFonts w:cs="Times New Roman"/>
      </w:rPr>
    </w:lvl>
  </w:abstractNum>
  <w:abstractNum w:abstractNumId="6" w15:restartNumberingAfterBreak="0">
    <w:nsid w:val="2CA45916"/>
    <w:multiLevelType w:val="hybridMultilevel"/>
    <w:tmpl w:val="311C7530"/>
    <w:lvl w:ilvl="0" w:tplc="37900FA2">
      <w:start w:val="1"/>
      <w:numFmt w:val="lowerLetter"/>
      <w:lvlText w:val="%1)"/>
      <w:lvlJc w:val="left"/>
      <w:pPr>
        <w:ind w:left="360" w:hanging="360"/>
      </w:pPr>
      <w:rPr>
        <w:rFonts w:cs="Times New Roman" w:hint="default"/>
        <w:i w:val="0"/>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2F7F45AB"/>
    <w:multiLevelType w:val="hybridMultilevel"/>
    <w:tmpl w:val="1354DBE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3440678"/>
    <w:multiLevelType w:val="hybridMultilevel"/>
    <w:tmpl w:val="1A50C50E"/>
    <w:lvl w:ilvl="0" w:tplc="E3746076">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55639C9"/>
    <w:multiLevelType w:val="hybridMultilevel"/>
    <w:tmpl w:val="38F69CA4"/>
    <w:lvl w:ilvl="0" w:tplc="00000000">
      <w:start w:val="5"/>
      <w:numFmt w:val="decimal"/>
      <w:lvlText w:val="%1."/>
      <w:lvlJc w:val="left"/>
      <w:pPr>
        <w:tabs>
          <w:tab w:val="num" w:pos="341"/>
        </w:tabs>
        <w:ind w:left="341" w:hanging="284"/>
      </w:pPr>
      <w:rPr>
        <w:rFonts w:cs="Times New Roman"/>
        <w:b/>
        <w:i w:val="0"/>
      </w:rPr>
    </w:lvl>
    <w:lvl w:ilvl="1" w:tplc="00000001">
      <w:start w:val="6"/>
      <w:numFmt w:val="decimal"/>
      <w:lvlText w:val="%2."/>
      <w:lvlJc w:val="left"/>
      <w:pPr>
        <w:tabs>
          <w:tab w:val="num" w:pos="284"/>
        </w:tabs>
        <w:ind w:left="284" w:hanging="284"/>
      </w:pPr>
      <w:rPr>
        <w:rFonts w:cs="Times New Roman"/>
        <w:b/>
        <w:i w:val="0"/>
      </w:rPr>
    </w:lvl>
    <w:lvl w:ilvl="2" w:tplc="00000002">
      <w:start w:val="1"/>
      <w:numFmt w:val="lowerRoman"/>
      <w:lvlText w:val="%3."/>
      <w:lvlJc w:val="right"/>
      <w:pPr>
        <w:tabs>
          <w:tab w:val="num" w:pos="2160"/>
        </w:tabs>
        <w:ind w:left="2160" w:hanging="180"/>
      </w:pPr>
      <w:rPr>
        <w:rFonts w:cs="Times New Roman"/>
      </w:rPr>
    </w:lvl>
    <w:lvl w:ilvl="3" w:tplc="00000003">
      <w:start w:val="1"/>
      <w:numFmt w:val="decimal"/>
      <w:lvlText w:val="%4."/>
      <w:lvlJc w:val="left"/>
      <w:pPr>
        <w:tabs>
          <w:tab w:val="num" w:pos="2880"/>
        </w:tabs>
        <w:ind w:left="2880" w:hanging="360"/>
      </w:pPr>
      <w:rPr>
        <w:rFonts w:cs="Times New Roman"/>
      </w:rPr>
    </w:lvl>
    <w:lvl w:ilvl="4" w:tplc="00000004">
      <w:start w:val="1"/>
      <w:numFmt w:val="lowerLetter"/>
      <w:lvlText w:val="%5."/>
      <w:lvlJc w:val="left"/>
      <w:pPr>
        <w:tabs>
          <w:tab w:val="num" w:pos="3600"/>
        </w:tabs>
        <w:ind w:left="3600" w:hanging="360"/>
      </w:pPr>
      <w:rPr>
        <w:rFonts w:cs="Times New Roman"/>
      </w:rPr>
    </w:lvl>
    <w:lvl w:ilvl="5" w:tplc="00000005">
      <w:start w:val="1"/>
      <w:numFmt w:val="lowerRoman"/>
      <w:lvlText w:val="%6."/>
      <w:lvlJc w:val="right"/>
      <w:pPr>
        <w:tabs>
          <w:tab w:val="num" w:pos="4320"/>
        </w:tabs>
        <w:ind w:left="4320" w:hanging="180"/>
      </w:pPr>
      <w:rPr>
        <w:rFonts w:cs="Times New Roman"/>
      </w:rPr>
    </w:lvl>
    <w:lvl w:ilvl="6" w:tplc="00000006">
      <w:start w:val="1"/>
      <w:numFmt w:val="decimal"/>
      <w:lvlText w:val="%7."/>
      <w:lvlJc w:val="left"/>
      <w:pPr>
        <w:tabs>
          <w:tab w:val="num" w:pos="5040"/>
        </w:tabs>
        <w:ind w:left="5040" w:hanging="360"/>
      </w:pPr>
      <w:rPr>
        <w:rFonts w:cs="Times New Roman"/>
      </w:rPr>
    </w:lvl>
    <w:lvl w:ilvl="7" w:tplc="00000007">
      <w:start w:val="1"/>
      <w:numFmt w:val="lowerLetter"/>
      <w:lvlText w:val="%8."/>
      <w:lvlJc w:val="left"/>
      <w:pPr>
        <w:tabs>
          <w:tab w:val="num" w:pos="5760"/>
        </w:tabs>
        <w:ind w:left="5760" w:hanging="360"/>
      </w:pPr>
      <w:rPr>
        <w:rFonts w:cs="Times New Roman"/>
      </w:rPr>
    </w:lvl>
    <w:lvl w:ilvl="8" w:tplc="00000008">
      <w:start w:val="1"/>
      <w:numFmt w:val="lowerRoman"/>
      <w:lvlText w:val="%9."/>
      <w:lvlJc w:val="right"/>
      <w:pPr>
        <w:tabs>
          <w:tab w:val="num" w:pos="6480"/>
        </w:tabs>
        <w:ind w:left="6480" w:hanging="180"/>
      </w:pPr>
      <w:rPr>
        <w:rFonts w:cs="Times New Roman"/>
      </w:rPr>
    </w:lvl>
  </w:abstractNum>
  <w:abstractNum w:abstractNumId="10" w15:restartNumberingAfterBreak="0">
    <w:nsid w:val="463519FC"/>
    <w:multiLevelType w:val="hybridMultilevel"/>
    <w:tmpl w:val="323EC2FA"/>
    <w:lvl w:ilvl="0" w:tplc="B802C496">
      <w:start w:val="1"/>
      <w:numFmt w:val="lowerLetter"/>
      <w:lvlText w:val="%1)"/>
      <w:lvlJc w:val="left"/>
      <w:pPr>
        <w:ind w:left="1068" w:hanging="360"/>
      </w:pPr>
      <w:rPr>
        <w:rFonts w:cs="Times New Roman" w:hint="default"/>
        <w:color w:val="000000"/>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1" w15:restartNumberingAfterBreak="0">
    <w:nsid w:val="547269E0"/>
    <w:multiLevelType w:val="hybridMultilevel"/>
    <w:tmpl w:val="5C2A36A8"/>
    <w:lvl w:ilvl="0" w:tplc="041B0015">
      <w:start w:val="1"/>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88E77C9"/>
    <w:multiLevelType w:val="hybridMultilevel"/>
    <w:tmpl w:val="AB14BEFC"/>
    <w:lvl w:ilvl="0" w:tplc="041B0017">
      <w:start w:val="2"/>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0060C7F"/>
    <w:multiLevelType w:val="hybridMultilevel"/>
    <w:tmpl w:val="3DAEB0CE"/>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B2C530F"/>
    <w:multiLevelType w:val="hybridMultilevel"/>
    <w:tmpl w:val="62D4DC4E"/>
    <w:lvl w:ilvl="0" w:tplc="00000000">
      <w:start w:val="1"/>
      <w:numFmt w:val="bullet"/>
      <w:lvlText w:val=""/>
      <w:lvlJc w:val="left"/>
      <w:pPr>
        <w:tabs>
          <w:tab w:val="num" w:pos="567"/>
        </w:tabs>
        <w:ind w:left="567" w:hanging="397"/>
      </w:pPr>
      <w:rPr>
        <w:rFonts w:ascii="Symbol" w:hAnsi="Symbol"/>
      </w:rPr>
    </w:lvl>
    <w:lvl w:ilvl="1" w:tplc="00000001">
      <w:start w:val="1"/>
      <w:numFmt w:val="bullet"/>
      <w:lvlText w:val="o"/>
      <w:lvlJc w:val="left"/>
      <w:pPr>
        <w:tabs>
          <w:tab w:val="num" w:pos="1440"/>
        </w:tabs>
        <w:ind w:left="1440" w:hanging="360"/>
      </w:pPr>
      <w:rPr>
        <w:rFonts w:ascii="Courier New" w:hAnsi="Courier New"/>
      </w:rPr>
    </w:lvl>
    <w:lvl w:ilvl="2" w:tplc="00000002">
      <w:start w:val="2"/>
      <w:numFmt w:val="lowerLetter"/>
      <w:lvlText w:val="%3)"/>
      <w:lvlJc w:val="left"/>
      <w:pPr>
        <w:tabs>
          <w:tab w:val="num" w:pos="510"/>
        </w:tabs>
        <w:ind w:left="567" w:hanging="510"/>
      </w:pPr>
      <w:rPr>
        <w:rFonts w:cs="Times New Roman"/>
        <w:b w:val="0"/>
        <w:i w:val="0"/>
      </w:rPr>
    </w:lvl>
    <w:lvl w:ilvl="3" w:tplc="00000003">
      <w:start w:val="4"/>
      <w:numFmt w:val="decimal"/>
      <w:lvlText w:val="%4."/>
      <w:lvlJc w:val="left"/>
      <w:pPr>
        <w:tabs>
          <w:tab w:val="num" w:pos="284"/>
        </w:tabs>
        <w:ind w:left="284" w:hanging="284"/>
      </w:pPr>
      <w:rPr>
        <w:rFonts w:cs="Times New Roman"/>
        <w:b/>
        <w:i w:val="0"/>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5" w15:restartNumberingAfterBreak="0">
    <w:nsid w:val="6CF42B97"/>
    <w:multiLevelType w:val="hybridMultilevel"/>
    <w:tmpl w:val="F1528B66"/>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40D689F"/>
    <w:multiLevelType w:val="hybridMultilevel"/>
    <w:tmpl w:val="0986CC38"/>
    <w:lvl w:ilvl="0" w:tplc="00000000">
      <w:start w:val="1"/>
      <w:numFmt w:val="lowerLetter"/>
      <w:lvlText w:val="%1)"/>
      <w:lvlJc w:val="left"/>
      <w:pPr>
        <w:tabs>
          <w:tab w:val="num" w:pos="720"/>
        </w:tabs>
        <w:ind w:left="720" w:hanging="360"/>
      </w:pPr>
      <w:rPr>
        <w:rFonts w:ascii="Times New Roman" w:hAnsi="Times New Roman" w:cs="Times New Roman"/>
      </w:rPr>
    </w:lvl>
    <w:lvl w:ilvl="1" w:tplc="00000001">
      <w:start w:val="1"/>
      <w:numFmt w:val="decimal"/>
      <w:lvlText w:val="%2."/>
      <w:lvlJc w:val="left"/>
      <w:pPr>
        <w:tabs>
          <w:tab w:val="num" w:pos="1440"/>
        </w:tabs>
        <w:ind w:left="1440" w:hanging="360"/>
      </w:pPr>
      <w:rPr>
        <w:rFonts w:ascii="Times New Roman" w:hAnsi="Times New Roman" w:cs="Times New Roman"/>
      </w:rPr>
    </w:lvl>
    <w:lvl w:ilvl="2" w:tplc="00000002">
      <w:start w:val="1"/>
      <w:numFmt w:val="lowerRoman"/>
      <w:lvlText w:val="%3."/>
      <w:lvlJc w:val="right"/>
      <w:pPr>
        <w:tabs>
          <w:tab w:val="num" w:pos="2160"/>
        </w:tabs>
        <w:ind w:left="2160" w:hanging="180"/>
      </w:pPr>
      <w:rPr>
        <w:rFonts w:ascii="Times New Roman" w:hAnsi="Times New Roman" w:cs="Times New Roman"/>
      </w:rPr>
    </w:lvl>
    <w:lvl w:ilvl="3" w:tplc="00000003">
      <w:start w:val="1"/>
      <w:numFmt w:val="decimal"/>
      <w:lvlText w:val="%4."/>
      <w:lvlJc w:val="left"/>
      <w:pPr>
        <w:tabs>
          <w:tab w:val="num" w:pos="2880"/>
        </w:tabs>
        <w:ind w:left="2880" w:hanging="360"/>
      </w:pPr>
      <w:rPr>
        <w:rFonts w:ascii="Times New Roman" w:hAnsi="Times New Roman" w:cs="Times New Roman"/>
      </w:rPr>
    </w:lvl>
    <w:lvl w:ilvl="4" w:tplc="00000004">
      <w:start w:val="1"/>
      <w:numFmt w:val="lowerLetter"/>
      <w:lvlText w:val="%5."/>
      <w:lvlJc w:val="left"/>
      <w:pPr>
        <w:tabs>
          <w:tab w:val="num" w:pos="3600"/>
        </w:tabs>
        <w:ind w:left="3600" w:hanging="360"/>
      </w:pPr>
      <w:rPr>
        <w:rFonts w:ascii="Times New Roman" w:hAnsi="Times New Roman" w:cs="Times New Roman"/>
      </w:rPr>
    </w:lvl>
    <w:lvl w:ilvl="5" w:tplc="00000005">
      <w:start w:val="1"/>
      <w:numFmt w:val="lowerRoman"/>
      <w:lvlText w:val="%6."/>
      <w:lvlJc w:val="right"/>
      <w:pPr>
        <w:tabs>
          <w:tab w:val="num" w:pos="4320"/>
        </w:tabs>
        <w:ind w:left="4320" w:hanging="180"/>
      </w:pPr>
      <w:rPr>
        <w:rFonts w:ascii="Times New Roman" w:hAnsi="Times New Roman" w:cs="Times New Roman"/>
      </w:rPr>
    </w:lvl>
    <w:lvl w:ilvl="6" w:tplc="00000006">
      <w:start w:val="1"/>
      <w:numFmt w:val="decimal"/>
      <w:lvlText w:val="%7."/>
      <w:lvlJc w:val="left"/>
      <w:pPr>
        <w:tabs>
          <w:tab w:val="num" w:pos="5040"/>
        </w:tabs>
        <w:ind w:left="5040" w:hanging="360"/>
      </w:pPr>
      <w:rPr>
        <w:rFonts w:ascii="Times New Roman" w:hAnsi="Times New Roman" w:cs="Times New Roman"/>
      </w:rPr>
    </w:lvl>
    <w:lvl w:ilvl="7" w:tplc="00000007">
      <w:start w:val="1"/>
      <w:numFmt w:val="lowerLetter"/>
      <w:lvlText w:val="%8."/>
      <w:lvlJc w:val="left"/>
      <w:pPr>
        <w:tabs>
          <w:tab w:val="num" w:pos="5760"/>
        </w:tabs>
        <w:ind w:left="5760" w:hanging="360"/>
      </w:pPr>
      <w:rPr>
        <w:rFonts w:ascii="Times New Roman" w:hAnsi="Times New Roman" w:cs="Times New Roman"/>
      </w:rPr>
    </w:lvl>
    <w:lvl w:ilvl="8" w:tplc="00000008">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BD205F2"/>
    <w:multiLevelType w:val="hybridMultilevel"/>
    <w:tmpl w:val="98DEE74A"/>
    <w:lvl w:ilvl="0" w:tplc="6C5ED18C">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18" w15:restartNumberingAfterBreak="0">
    <w:nsid w:val="7F22163F"/>
    <w:multiLevelType w:val="hybridMultilevel"/>
    <w:tmpl w:val="BCE08776"/>
    <w:lvl w:ilvl="0" w:tplc="90D01750">
      <w:start w:val="1"/>
      <w:numFmt w:val="low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15"/>
  </w:num>
  <w:num w:numId="2">
    <w:abstractNumId w:val="8"/>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5"/>
  </w:num>
  <w:num w:numId="9">
    <w:abstractNumId w:val="6"/>
  </w:num>
  <w:num w:numId="10">
    <w:abstractNumId w:val="11"/>
  </w:num>
  <w:num w:numId="11">
    <w:abstractNumId w:val="0"/>
  </w:num>
  <w:num w:numId="12">
    <w:abstractNumId w:val="13"/>
  </w:num>
  <w:num w:numId="13">
    <w:abstractNumId w:val="10"/>
  </w:num>
  <w:num w:numId="14">
    <w:abstractNumId w:val="3"/>
  </w:num>
  <w:num w:numId="15">
    <w:abstractNumId w:val="18"/>
  </w:num>
  <w:num w:numId="16">
    <w:abstractNumId w:val="1"/>
  </w:num>
  <w:num w:numId="17">
    <w:abstractNumId w:val="14"/>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CB"/>
    <w:rsid w:val="000007E9"/>
    <w:rsid w:val="0000268E"/>
    <w:rsid w:val="000037B6"/>
    <w:rsid w:val="00004F66"/>
    <w:rsid w:val="00006E0B"/>
    <w:rsid w:val="00007596"/>
    <w:rsid w:val="00007DC8"/>
    <w:rsid w:val="00011D16"/>
    <w:rsid w:val="00012F57"/>
    <w:rsid w:val="00012FDB"/>
    <w:rsid w:val="00016083"/>
    <w:rsid w:val="00016D42"/>
    <w:rsid w:val="000175B8"/>
    <w:rsid w:val="00021F4A"/>
    <w:rsid w:val="0002213A"/>
    <w:rsid w:val="00024AFB"/>
    <w:rsid w:val="00026966"/>
    <w:rsid w:val="00026B92"/>
    <w:rsid w:val="00027AD6"/>
    <w:rsid w:val="00030B47"/>
    <w:rsid w:val="00030F61"/>
    <w:rsid w:val="00032906"/>
    <w:rsid w:val="000336B4"/>
    <w:rsid w:val="0003739D"/>
    <w:rsid w:val="00041CFF"/>
    <w:rsid w:val="000424F6"/>
    <w:rsid w:val="00044C49"/>
    <w:rsid w:val="000464C8"/>
    <w:rsid w:val="00046A4F"/>
    <w:rsid w:val="00047B6C"/>
    <w:rsid w:val="0005071E"/>
    <w:rsid w:val="00051E09"/>
    <w:rsid w:val="00053359"/>
    <w:rsid w:val="000533A0"/>
    <w:rsid w:val="0005359A"/>
    <w:rsid w:val="00053BE5"/>
    <w:rsid w:val="0005472A"/>
    <w:rsid w:val="00054F60"/>
    <w:rsid w:val="00056D9D"/>
    <w:rsid w:val="00057F7B"/>
    <w:rsid w:val="0006094B"/>
    <w:rsid w:val="00060E68"/>
    <w:rsid w:val="00061778"/>
    <w:rsid w:val="00063EEF"/>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214F"/>
    <w:rsid w:val="000829E5"/>
    <w:rsid w:val="00082FF8"/>
    <w:rsid w:val="00083166"/>
    <w:rsid w:val="00084078"/>
    <w:rsid w:val="000844AA"/>
    <w:rsid w:val="00085F9C"/>
    <w:rsid w:val="00086F06"/>
    <w:rsid w:val="00087697"/>
    <w:rsid w:val="0009204C"/>
    <w:rsid w:val="00092621"/>
    <w:rsid w:val="0009371B"/>
    <w:rsid w:val="00093E3D"/>
    <w:rsid w:val="0009481E"/>
    <w:rsid w:val="0009621A"/>
    <w:rsid w:val="00096313"/>
    <w:rsid w:val="00096944"/>
    <w:rsid w:val="000A6224"/>
    <w:rsid w:val="000A696D"/>
    <w:rsid w:val="000A78A2"/>
    <w:rsid w:val="000B0848"/>
    <w:rsid w:val="000B1F82"/>
    <w:rsid w:val="000B1F8C"/>
    <w:rsid w:val="000B321B"/>
    <w:rsid w:val="000B32C0"/>
    <w:rsid w:val="000B56E6"/>
    <w:rsid w:val="000B593D"/>
    <w:rsid w:val="000B6CE4"/>
    <w:rsid w:val="000C0083"/>
    <w:rsid w:val="000C0119"/>
    <w:rsid w:val="000C02B9"/>
    <w:rsid w:val="000C13B7"/>
    <w:rsid w:val="000C2091"/>
    <w:rsid w:val="000C322E"/>
    <w:rsid w:val="000C3685"/>
    <w:rsid w:val="000C3D29"/>
    <w:rsid w:val="000C4608"/>
    <w:rsid w:val="000C4AE3"/>
    <w:rsid w:val="000D121E"/>
    <w:rsid w:val="000D3088"/>
    <w:rsid w:val="000D34B3"/>
    <w:rsid w:val="000D3AAF"/>
    <w:rsid w:val="000D44CB"/>
    <w:rsid w:val="000D4782"/>
    <w:rsid w:val="000D48C0"/>
    <w:rsid w:val="000D5A45"/>
    <w:rsid w:val="000D76DB"/>
    <w:rsid w:val="000E16DB"/>
    <w:rsid w:val="000E45B0"/>
    <w:rsid w:val="000E59B4"/>
    <w:rsid w:val="000E69F1"/>
    <w:rsid w:val="000E7383"/>
    <w:rsid w:val="000F2D2E"/>
    <w:rsid w:val="000F3077"/>
    <w:rsid w:val="000F3991"/>
    <w:rsid w:val="000F7968"/>
    <w:rsid w:val="00102BFD"/>
    <w:rsid w:val="00102CAF"/>
    <w:rsid w:val="00103D4C"/>
    <w:rsid w:val="00106800"/>
    <w:rsid w:val="001068D4"/>
    <w:rsid w:val="00106C80"/>
    <w:rsid w:val="001114DA"/>
    <w:rsid w:val="001139FB"/>
    <w:rsid w:val="001167A5"/>
    <w:rsid w:val="00117635"/>
    <w:rsid w:val="0012197D"/>
    <w:rsid w:val="001243A6"/>
    <w:rsid w:val="00125137"/>
    <w:rsid w:val="00125D8B"/>
    <w:rsid w:val="001311D0"/>
    <w:rsid w:val="00135B00"/>
    <w:rsid w:val="001370E7"/>
    <w:rsid w:val="001373C0"/>
    <w:rsid w:val="001409E3"/>
    <w:rsid w:val="00140DD9"/>
    <w:rsid w:val="00141C50"/>
    <w:rsid w:val="00141E77"/>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65CB"/>
    <w:rsid w:val="00157609"/>
    <w:rsid w:val="00160E88"/>
    <w:rsid w:val="0016193D"/>
    <w:rsid w:val="001630CE"/>
    <w:rsid w:val="00163198"/>
    <w:rsid w:val="00165307"/>
    <w:rsid w:val="00170F6A"/>
    <w:rsid w:val="001733E7"/>
    <w:rsid w:val="0017396E"/>
    <w:rsid w:val="001752F0"/>
    <w:rsid w:val="001756DF"/>
    <w:rsid w:val="0017583D"/>
    <w:rsid w:val="0017615E"/>
    <w:rsid w:val="00176733"/>
    <w:rsid w:val="00176947"/>
    <w:rsid w:val="00181BDB"/>
    <w:rsid w:val="001822C2"/>
    <w:rsid w:val="001825C7"/>
    <w:rsid w:val="001847BD"/>
    <w:rsid w:val="00184AD1"/>
    <w:rsid w:val="00186F91"/>
    <w:rsid w:val="00186F98"/>
    <w:rsid w:val="00187D59"/>
    <w:rsid w:val="0019026A"/>
    <w:rsid w:val="001939DC"/>
    <w:rsid w:val="00195450"/>
    <w:rsid w:val="0019554A"/>
    <w:rsid w:val="00195B0C"/>
    <w:rsid w:val="001963B3"/>
    <w:rsid w:val="001A0177"/>
    <w:rsid w:val="001A0454"/>
    <w:rsid w:val="001A05DC"/>
    <w:rsid w:val="001A0BE2"/>
    <w:rsid w:val="001A22C4"/>
    <w:rsid w:val="001A49FA"/>
    <w:rsid w:val="001A4D93"/>
    <w:rsid w:val="001A5515"/>
    <w:rsid w:val="001A70B0"/>
    <w:rsid w:val="001A7533"/>
    <w:rsid w:val="001B1585"/>
    <w:rsid w:val="001B171F"/>
    <w:rsid w:val="001B254C"/>
    <w:rsid w:val="001B264C"/>
    <w:rsid w:val="001B2AF7"/>
    <w:rsid w:val="001B4854"/>
    <w:rsid w:val="001B71F3"/>
    <w:rsid w:val="001B72AE"/>
    <w:rsid w:val="001C0218"/>
    <w:rsid w:val="001C0543"/>
    <w:rsid w:val="001C0E63"/>
    <w:rsid w:val="001C214D"/>
    <w:rsid w:val="001C3DC6"/>
    <w:rsid w:val="001C4D24"/>
    <w:rsid w:val="001C6D8B"/>
    <w:rsid w:val="001C71FC"/>
    <w:rsid w:val="001C738C"/>
    <w:rsid w:val="001D3276"/>
    <w:rsid w:val="001D3F46"/>
    <w:rsid w:val="001D58FE"/>
    <w:rsid w:val="001D6094"/>
    <w:rsid w:val="001D6B9A"/>
    <w:rsid w:val="001D6F64"/>
    <w:rsid w:val="001D70F9"/>
    <w:rsid w:val="001E0241"/>
    <w:rsid w:val="001E228B"/>
    <w:rsid w:val="001E5516"/>
    <w:rsid w:val="001E5AD1"/>
    <w:rsid w:val="001E5F4A"/>
    <w:rsid w:val="001F155C"/>
    <w:rsid w:val="001F4A40"/>
    <w:rsid w:val="001F63A9"/>
    <w:rsid w:val="002008E3"/>
    <w:rsid w:val="00203B8C"/>
    <w:rsid w:val="002045C2"/>
    <w:rsid w:val="00205456"/>
    <w:rsid w:val="00205BD8"/>
    <w:rsid w:val="00212D14"/>
    <w:rsid w:val="002147AA"/>
    <w:rsid w:val="00214A76"/>
    <w:rsid w:val="002158F9"/>
    <w:rsid w:val="00215D24"/>
    <w:rsid w:val="002171D3"/>
    <w:rsid w:val="0022314A"/>
    <w:rsid w:val="00223CE0"/>
    <w:rsid w:val="00224801"/>
    <w:rsid w:val="002267F3"/>
    <w:rsid w:val="00226E94"/>
    <w:rsid w:val="00227A3D"/>
    <w:rsid w:val="00227BF7"/>
    <w:rsid w:val="00230052"/>
    <w:rsid w:val="00231C2F"/>
    <w:rsid w:val="00231E87"/>
    <w:rsid w:val="002327D5"/>
    <w:rsid w:val="002334DD"/>
    <w:rsid w:val="00233BCE"/>
    <w:rsid w:val="00234331"/>
    <w:rsid w:val="00240DC2"/>
    <w:rsid w:val="002415D2"/>
    <w:rsid w:val="002441C1"/>
    <w:rsid w:val="0024548A"/>
    <w:rsid w:val="00246E89"/>
    <w:rsid w:val="00250AF0"/>
    <w:rsid w:val="00250F4C"/>
    <w:rsid w:val="00253581"/>
    <w:rsid w:val="002538F4"/>
    <w:rsid w:val="00254AFE"/>
    <w:rsid w:val="002555BD"/>
    <w:rsid w:val="00257D64"/>
    <w:rsid w:val="00262A97"/>
    <w:rsid w:val="00262B16"/>
    <w:rsid w:val="00263477"/>
    <w:rsid w:val="00265977"/>
    <w:rsid w:val="00265ABF"/>
    <w:rsid w:val="0026622E"/>
    <w:rsid w:val="002663C4"/>
    <w:rsid w:val="0026684C"/>
    <w:rsid w:val="00270FC9"/>
    <w:rsid w:val="00271074"/>
    <w:rsid w:val="00273351"/>
    <w:rsid w:val="002738F0"/>
    <w:rsid w:val="00274E25"/>
    <w:rsid w:val="002750CD"/>
    <w:rsid w:val="00275177"/>
    <w:rsid w:val="002774B3"/>
    <w:rsid w:val="00282F64"/>
    <w:rsid w:val="0028345D"/>
    <w:rsid w:val="00284095"/>
    <w:rsid w:val="00284DEC"/>
    <w:rsid w:val="00286535"/>
    <w:rsid w:val="00286D66"/>
    <w:rsid w:val="002903A3"/>
    <w:rsid w:val="00292267"/>
    <w:rsid w:val="00293E0C"/>
    <w:rsid w:val="00294871"/>
    <w:rsid w:val="00296BCC"/>
    <w:rsid w:val="00296F76"/>
    <w:rsid w:val="002975FA"/>
    <w:rsid w:val="002A0310"/>
    <w:rsid w:val="002A1A69"/>
    <w:rsid w:val="002A2F1D"/>
    <w:rsid w:val="002A522B"/>
    <w:rsid w:val="002A59B0"/>
    <w:rsid w:val="002B0950"/>
    <w:rsid w:val="002B1F28"/>
    <w:rsid w:val="002B50BE"/>
    <w:rsid w:val="002B6975"/>
    <w:rsid w:val="002B6C2A"/>
    <w:rsid w:val="002B70C8"/>
    <w:rsid w:val="002C1C9C"/>
    <w:rsid w:val="002C428D"/>
    <w:rsid w:val="002C5D31"/>
    <w:rsid w:val="002C5FA3"/>
    <w:rsid w:val="002C613E"/>
    <w:rsid w:val="002C61B0"/>
    <w:rsid w:val="002D2423"/>
    <w:rsid w:val="002D3EF8"/>
    <w:rsid w:val="002D44BF"/>
    <w:rsid w:val="002D4709"/>
    <w:rsid w:val="002D5316"/>
    <w:rsid w:val="002E23B3"/>
    <w:rsid w:val="002E58CC"/>
    <w:rsid w:val="002E7492"/>
    <w:rsid w:val="002F0DCE"/>
    <w:rsid w:val="002F18FE"/>
    <w:rsid w:val="002F1E2D"/>
    <w:rsid w:val="002F22CB"/>
    <w:rsid w:val="002F3602"/>
    <w:rsid w:val="002F5AD1"/>
    <w:rsid w:val="002F5F0C"/>
    <w:rsid w:val="002F6D80"/>
    <w:rsid w:val="003017FB"/>
    <w:rsid w:val="00301828"/>
    <w:rsid w:val="00303D37"/>
    <w:rsid w:val="00307ED8"/>
    <w:rsid w:val="003122D2"/>
    <w:rsid w:val="00314D7B"/>
    <w:rsid w:val="00314E97"/>
    <w:rsid w:val="003150C6"/>
    <w:rsid w:val="0031512B"/>
    <w:rsid w:val="003159B0"/>
    <w:rsid w:val="003161F2"/>
    <w:rsid w:val="00317D9A"/>
    <w:rsid w:val="00321029"/>
    <w:rsid w:val="0032144D"/>
    <w:rsid w:val="00322E35"/>
    <w:rsid w:val="0032340A"/>
    <w:rsid w:val="003275C4"/>
    <w:rsid w:val="00327AC2"/>
    <w:rsid w:val="00330208"/>
    <w:rsid w:val="00330F0A"/>
    <w:rsid w:val="00330F99"/>
    <w:rsid w:val="00333A25"/>
    <w:rsid w:val="00337296"/>
    <w:rsid w:val="00337FC0"/>
    <w:rsid w:val="00342817"/>
    <w:rsid w:val="00343F24"/>
    <w:rsid w:val="003449B3"/>
    <w:rsid w:val="003452A8"/>
    <w:rsid w:val="0034726E"/>
    <w:rsid w:val="003511E9"/>
    <w:rsid w:val="00352E10"/>
    <w:rsid w:val="00353A05"/>
    <w:rsid w:val="00354CE4"/>
    <w:rsid w:val="00354D5E"/>
    <w:rsid w:val="00357882"/>
    <w:rsid w:val="003604B7"/>
    <w:rsid w:val="0036171B"/>
    <w:rsid w:val="003619C5"/>
    <w:rsid w:val="00363774"/>
    <w:rsid w:val="00364763"/>
    <w:rsid w:val="003650A9"/>
    <w:rsid w:val="003725AB"/>
    <w:rsid w:val="00373CE6"/>
    <w:rsid w:val="0037558D"/>
    <w:rsid w:val="003772B5"/>
    <w:rsid w:val="00377EEE"/>
    <w:rsid w:val="00380562"/>
    <w:rsid w:val="0038342B"/>
    <w:rsid w:val="0038430E"/>
    <w:rsid w:val="003852DC"/>
    <w:rsid w:val="003866A3"/>
    <w:rsid w:val="00390172"/>
    <w:rsid w:val="003906C1"/>
    <w:rsid w:val="00391795"/>
    <w:rsid w:val="00391A7C"/>
    <w:rsid w:val="00393261"/>
    <w:rsid w:val="003940FC"/>
    <w:rsid w:val="00395B4F"/>
    <w:rsid w:val="00395FEB"/>
    <w:rsid w:val="003969F6"/>
    <w:rsid w:val="003A09A3"/>
    <w:rsid w:val="003A0A1B"/>
    <w:rsid w:val="003A265F"/>
    <w:rsid w:val="003A2BF8"/>
    <w:rsid w:val="003A5AE9"/>
    <w:rsid w:val="003A7BD9"/>
    <w:rsid w:val="003A7C2D"/>
    <w:rsid w:val="003B03A1"/>
    <w:rsid w:val="003B1A35"/>
    <w:rsid w:val="003B28C4"/>
    <w:rsid w:val="003B61F2"/>
    <w:rsid w:val="003B6A09"/>
    <w:rsid w:val="003C05F0"/>
    <w:rsid w:val="003C1DCB"/>
    <w:rsid w:val="003C2EAF"/>
    <w:rsid w:val="003C38F7"/>
    <w:rsid w:val="003C4A46"/>
    <w:rsid w:val="003C5F42"/>
    <w:rsid w:val="003D0C29"/>
    <w:rsid w:val="003D402D"/>
    <w:rsid w:val="003D43D9"/>
    <w:rsid w:val="003D57A6"/>
    <w:rsid w:val="003D623A"/>
    <w:rsid w:val="003D6A85"/>
    <w:rsid w:val="003D77CE"/>
    <w:rsid w:val="003E0FD0"/>
    <w:rsid w:val="003E3D06"/>
    <w:rsid w:val="003E42E2"/>
    <w:rsid w:val="003E43DA"/>
    <w:rsid w:val="003E7598"/>
    <w:rsid w:val="003F0570"/>
    <w:rsid w:val="003F0C3D"/>
    <w:rsid w:val="003F17EF"/>
    <w:rsid w:val="003F29CB"/>
    <w:rsid w:val="003F2BE1"/>
    <w:rsid w:val="003F325A"/>
    <w:rsid w:val="003F4175"/>
    <w:rsid w:val="0040045B"/>
    <w:rsid w:val="00400C4C"/>
    <w:rsid w:val="004019AE"/>
    <w:rsid w:val="004051F9"/>
    <w:rsid w:val="00414F00"/>
    <w:rsid w:val="0041513D"/>
    <w:rsid w:val="004154D1"/>
    <w:rsid w:val="004166B7"/>
    <w:rsid w:val="00416BF3"/>
    <w:rsid w:val="004175F3"/>
    <w:rsid w:val="004179AD"/>
    <w:rsid w:val="0042038C"/>
    <w:rsid w:val="004207D0"/>
    <w:rsid w:val="004212CF"/>
    <w:rsid w:val="00422AB0"/>
    <w:rsid w:val="00423520"/>
    <w:rsid w:val="004237E0"/>
    <w:rsid w:val="00424404"/>
    <w:rsid w:val="00424EB8"/>
    <w:rsid w:val="0042515A"/>
    <w:rsid w:val="00426013"/>
    <w:rsid w:val="00426311"/>
    <w:rsid w:val="00427138"/>
    <w:rsid w:val="00427480"/>
    <w:rsid w:val="00427715"/>
    <w:rsid w:val="004315DC"/>
    <w:rsid w:val="0043363E"/>
    <w:rsid w:val="00433CB3"/>
    <w:rsid w:val="00434223"/>
    <w:rsid w:val="00437E14"/>
    <w:rsid w:val="00443FD9"/>
    <w:rsid w:val="004447BE"/>
    <w:rsid w:val="00444D84"/>
    <w:rsid w:val="00445779"/>
    <w:rsid w:val="00445E80"/>
    <w:rsid w:val="0044689A"/>
    <w:rsid w:val="00446F01"/>
    <w:rsid w:val="004502C9"/>
    <w:rsid w:val="00450442"/>
    <w:rsid w:val="00451A6A"/>
    <w:rsid w:val="0045279D"/>
    <w:rsid w:val="00453175"/>
    <w:rsid w:val="004539DB"/>
    <w:rsid w:val="00454A93"/>
    <w:rsid w:val="00454DA0"/>
    <w:rsid w:val="00460718"/>
    <w:rsid w:val="00460E86"/>
    <w:rsid w:val="0046123B"/>
    <w:rsid w:val="00461E07"/>
    <w:rsid w:val="00462AF9"/>
    <w:rsid w:val="0046475D"/>
    <w:rsid w:val="00465DB5"/>
    <w:rsid w:val="004667D4"/>
    <w:rsid w:val="004672E5"/>
    <w:rsid w:val="00467B73"/>
    <w:rsid w:val="0047195D"/>
    <w:rsid w:val="00471D39"/>
    <w:rsid w:val="00473756"/>
    <w:rsid w:val="00473F90"/>
    <w:rsid w:val="00475E32"/>
    <w:rsid w:val="00476B31"/>
    <w:rsid w:val="004771BB"/>
    <w:rsid w:val="00477800"/>
    <w:rsid w:val="004813B1"/>
    <w:rsid w:val="004829D4"/>
    <w:rsid w:val="004834A5"/>
    <w:rsid w:val="00483515"/>
    <w:rsid w:val="00483544"/>
    <w:rsid w:val="00483C52"/>
    <w:rsid w:val="00484F8F"/>
    <w:rsid w:val="0048765A"/>
    <w:rsid w:val="0049214B"/>
    <w:rsid w:val="00494987"/>
    <w:rsid w:val="0049570C"/>
    <w:rsid w:val="00495BA0"/>
    <w:rsid w:val="004A10A0"/>
    <w:rsid w:val="004A1F78"/>
    <w:rsid w:val="004A5E06"/>
    <w:rsid w:val="004A5E43"/>
    <w:rsid w:val="004A7809"/>
    <w:rsid w:val="004B31C7"/>
    <w:rsid w:val="004B39F8"/>
    <w:rsid w:val="004B4740"/>
    <w:rsid w:val="004B47EF"/>
    <w:rsid w:val="004B50C4"/>
    <w:rsid w:val="004B5174"/>
    <w:rsid w:val="004B52C0"/>
    <w:rsid w:val="004B5F5F"/>
    <w:rsid w:val="004B6B70"/>
    <w:rsid w:val="004B7FE1"/>
    <w:rsid w:val="004C0721"/>
    <w:rsid w:val="004C1E67"/>
    <w:rsid w:val="004C455E"/>
    <w:rsid w:val="004C5FFF"/>
    <w:rsid w:val="004D1049"/>
    <w:rsid w:val="004D1A3C"/>
    <w:rsid w:val="004D1F0B"/>
    <w:rsid w:val="004D2A2C"/>
    <w:rsid w:val="004D3BAC"/>
    <w:rsid w:val="004D40FA"/>
    <w:rsid w:val="004D6098"/>
    <w:rsid w:val="004D660D"/>
    <w:rsid w:val="004D71C9"/>
    <w:rsid w:val="004D7819"/>
    <w:rsid w:val="004E1CAD"/>
    <w:rsid w:val="004E361C"/>
    <w:rsid w:val="004E42BE"/>
    <w:rsid w:val="004E45AF"/>
    <w:rsid w:val="004E5504"/>
    <w:rsid w:val="004E55FB"/>
    <w:rsid w:val="004E5720"/>
    <w:rsid w:val="004E67D5"/>
    <w:rsid w:val="004E7CC6"/>
    <w:rsid w:val="004F2E15"/>
    <w:rsid w:val="004F3C5A"/>
    <w:rsid w:val="004F3FA4"/>
    <w:rsid w:val="004F4A2D"/>
    <w:rsid w:val="004F6B99"/>
    <w:rsid w:val="00502742"/>
    <w:rsid w:val="00502EAA"/>
    <w:rsid w:val="005031E4"/>
    <w:rsid w:val="005043E9"/>
    <w:rsid w:val="00504BC8"/>
    <w:rsid w:val="00506310"/>
    <w:rsid w:val="00507794"/>
    <w:rsid w:val="0050793D"/>
    <w:rsid w:val="005128AA"/>
    <w:rsid w:val="00512DBE"/>
    <w:rsid w:val="005131C1"/>
    <w:rsid w:val="00513E26"/>
    <w:rsid w:val="00515137"/>
    <w:rsid w:val="00515BEF"/>
    <w:rsid w:val="0051753F"/>
    <w:rsid w:val="00520223"/>
    <w:rsid w:val="00521F2F"/>
    <w:rsid w:val="00523734"/>
    <w:rsid w:val="00524A12"/>
    <w:rsid w:val="00525EA8"/>
    <w:rsid w:val="00526FDE"/>
    <w:rsid w:val="00526FEE"/>
    <w:rsid w:val="0052752B"/>
    <w:rsid w:val="00531BD1"/>
    <w:rsid w:val="0053418B"/>
    <w:rsid w:val="005360F6"/>
    <w:rsid w:val="005364C2"/>
    <w:rsid w:val="00536ABC"/>
    <w:rsid w:val="00537526"/>
    <w:rsid w:val="005378B1"/>
    <w:rsid w:val="0054007A"/>
    <w:rsid w:val="005412CE"/>
    <w:rsid w:val="00541924"/>
    <w:rsid w:val="00542CFE"/>
    <w:rsid w:val="00543D31"/>
    <w:rsid w:val="00544AEB"/>
    <w:rsid w:val="00544ECE"/>
    <w:rsid w:val="00544F39"/>
    <w:rsid w:val="0054574B"/>
    <w:rsid w:val="005459BD"/>
    <w:rsid w:val="0054754A"/>
    <w:rsid w:val="0055153A"/>
    <w:rsid w:val="005515DC"/>
    <w:rsid w:val="00551E49"/>
    <w:rsid w:val="00552119"/>
    <w:rsid w:val="005534F2"/>
    <w:rsid w:val="00554528"/>
    <w:rsid w:val="00555214"/>
    <w:rsid w:val="00555DF5"/>
    <w:rsid w:val="005560DA"/>
    <w:rsid w:val="005572DF"/>
    <w:rsid w:val="005574BE"/>
    <w:rsid w:val="00557CD3"/>
    <w:rsid w:val="005603C6"/>
    <w:rsid w:val="00561D27"/>
    <w:rsid w:val="0056201F"/>
    <w:rsid w:val="0056237D"/>
    <w:rsid w:val="00565AC9"/>
    <w:rsid w:val="005678E8"/>
    <w:rsid w:val="005715EE"/>
    <w:rsid w:val="005716F5"/>
    <w:rsid w:val="00572AC4"/>
    <w:rsid w:val="0057446E"/>
    <w:rsid w:val="00575595"/>
    <w:rsid w:val="00576A47"/>
    <w:rsid w:val="0057750D"/>
    <w:rsid w:val="00583B5B"/>
    <w:rsid w:val="00583FB4"/>
    <w:rsid w:val="00584B07"/>
    <w:rsid w:val="0058581B"/>
    <w:rsid w:val="00585FCF"/>
    <w:rsid w:val="005860A3"/>
    <w:rsid w:val="00586D79"/>
    <w:rsid w:val="00587634"/>
    <w:rsid w:val="00590B63"/>
    <w:rsid w:val="005920E7"/>
    <w:rsid w:val="00592746"/>
    <w:rsid w:val="00593ACB"/>
    <w:rsid w:val="0059514D"/>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793"/>
    <w:rsid w:val="005B3126"/>
    <w:rsid w:val="005B3475"/>
    <w:rsid w:val="005B4AFB"/>
    <w:rsid w:val="005B6F8D"/>
    <w:rsid w:val="005B747C"/>
    <w:rsid w:val="005C06E5"/>
    <w:rsid w:val="005C0C33"/>
    <w:rsid w:val="005C34AD"/>
    <w:rsid w:val="005C508B"/>
    <w:rsid w:val="005C53D0"/>
    <w:rsid w:val="005C53E8"/>
    <w:rsid w:val="005C6368"/>
    <w:rsid w:val="005C6565"/>
    <w:rsid w:val="005C6B0C"/>
    <w:rsid w:val="005D0843"/>
    <w:rsid w:val="005D2FD7"/>
    <w:rsid w:val="005D3A7F"/>
    <w:rsid w:val="005D4908"/>
    <w:rsid w:val="005D55DC"/>
    <w:rsid w:val="005D6C75"/>
    <w:rsid w:val="005D7E10"/>
    <w:rsid w:val="005E2EBE"/>
    <w:rsid w:val="005E382C"/>
    <w:rsid w:val="005E3C49"/>
    <w:rsid w:val="005E4212"/>
    <w:rsid w:val="005E4567"/>
    <w:rsid w:val="005E4897"/>
    <w:rsid w:val="005E4B4D"/>
    <w:rsid w:val="005E7B0E"/>
    <w:rsid w:val="005F332C"/>
    <w:rsid w:val="005F752B"/>
    <w:rsid w:val="005F79E1"/>
    <w:rsid w:val="00601126"/>
    <w:rsid w:val="006016ED"/>
    <w:rsid w:val="00602063"/>
    <w:rsid w:val="006032D5"/>
    <w:rsid w:val="006046D2"/>
    <w:rsid w:val="00605536"/>
    <w:rsid w:val="006074F6"/>
    <w:rsid w:val="00607830"/>
    <w:rsid w:val="006079C2"/>
    <w:rsid w:val="00610414"/>
    <w:rsid w:val="00610505"/>
    <w:rsid w:val="006105CA"/>
    <w:rsid w:val="00610BAE"/>
    <w:rsid w:val="00610E13"/>
    <w:rsid w:val="00612415"/>
    <w:rsid w:val="00612CAC"/>
    <w:rsid w:val="00620F4E"/>
    <w:rsid w:val="00622FD9"/>
    <w:rsid w:val="00623471"/>
    <w:rsid w:val="00624779"/>
    <w:rsid w:val="00624E1E"/>
    <w:rsid w:val="006253DD"/>
    <w:rsid w:val="006269ED"/>
    <w:rsid w:val="006275FB"/>
    <w:rsid w:val="00630BFE"/>
    <w:rsid w:val="00630D9A"/>
    <w:rsid w:val="006317A5"/>
    <w:rsid w:val="00632CF6"/>
    <w:rsid w:val="006343F2"/>
    <w:rsid w:val="006344CA"/>
    <w:rsid w:val="00635BFB"/>
    <w:rsid w:val="00635EB2"/>
    <w:rsid w:val="00636686"/>
    <w:rsid w:val="00636EEB"/>
    <w:rsid w:val="00640402"/>
    <w:rsid w:val="00641670"/>
    <w:rsid w:val="0064179F"/>
    <w:rsid w:val="00641CE2"/>
    <w:rsid w:val="00644CAD"/>
    <w:rsid w:val="00646CBD"/>
    <w:rsid w:val="00646D34"/>
    <w:rsid w:val="00646D7A"/>
    <w:rsid w:val="006478B7"/>
    <w:rsid w:val="00650DD4"/>
    <w:rsid w:val="0065102C"/>
    <w:rsid w:val="00651039"/>
    <w:rsid w:val="0065139B"/>
    <w:rsid w:val="006516B4"/>
    <w:rsid w:val="0065392B"/>
    <w:rsid w:val="006541C3"/>
    <w:rsid w:val="00655C22"/>
    <w:rsid w:val="00655F70"/>
    <w:rsid w:val="00656944"/>
    <w:rsid w:val="00656A8F"/>
    <w:rsid w:val="00660430"/>
    <w:rsid w:val="006611D9"/>
    <w:rsid w:val="00661736"/>
    <w:rsid w:val="00661910"/>
    <w:rsid w:val="00661A73"/>
    <w:rsid w:val="00663010"/>
    <w:rsid w:val="00663515"/>
    <w:rsid w:val="0067021C"/>
    <w:rsid w:val="00671866"/>
    <w:rsid w:val="0067195B"/>
    <w:rsid w:val="0067301B"/>
    <w:rsid w:val="006745E7"/>
    <w:rsid w:val="0067688E"/>
    <w:rsid w:val="00676D48"/>
    <w:rsid w:val="006808BB"/>
    <w:rsid w:val="0068091D"/>
    <w:rsid w:val="00680D3A"/>
    <w:rsid w:val="00681281"/>
    <w:rsid w:val="00681395"/>
    <w:rsid w:val="0068185D"/>
    <w:rsid w:val="00683810"/>
    <w:rsid w:val="0068454E"/>
    <w:rsid w:val="00685520"/>
    <w:rsid w:val="006858A3"/>
    <w:rsid w:val="00685903"/>
    <w:rsid w:val="006861CD"/>
    <w:rsid w:val="00690BC5"/>
    <w:rsid w:val="006910CB"/>
    <w:rsid w:val="00693BCE"/>
    <w:rsid w:val="00695295"/>
    <w:rsid w:val="00695978"/>
    <w:rsid w:val="006974DB"/>
    <w:rsid w:val="006A44CF"/>
    <w:rsid w:val="006A524F"/>
    <w:rsid w:val="006A52CC"/>
    <w:rsid w:val="006A6D98"/>
    <w:rsid w:val="006A7D20"/>
    <w:rsid w:val="006B2456"/>
    <w:rsid w:val="006B42EB"/>
    <w:rsid w:val="006B730D"/>
    <w:rsid w:val="006B7C31"/>
    <w:rsid w:val="006C095F"/>
    <w:rsid w:val="006C0D30"/>
    <w:rsid w:val="006C0E63"/>
    <w:rsid w:val="006C2689"/>
    <w:rsid w:val="006C3E74"/>
    <w:rsid w:val="006C45C0"/>
    <w:rsid w:val="006C5629"/>
    <w:rsid w:val="006C6062"/>
    <w:rsid w:val="006C6671"/>
    <w:rsid w:val="006C727A"/>
    <w:rsid w:val="006C75CF"/>
    <w:rsid w:val="006D469F"/>
    <w:rsid w:val="006D4907"/>
    <w:rsid w:val="006D52F7"/>
    <w:rsid w:val="006D53E9"/>
    <w:rsid w:val="006E0301"/>
    <w:rsid w:val="006E04BC"/>
    <w:rsid w:val="006E2D3D"/>
    <w:rsid w:val="006E2F08"/>
    <w:rsid w:val="006E3F6A"/>
    <w:rsid w:val="006E63F4"/>
    <w:rsid w:val="006E6AB2"/>
    <w:rsid w:val="006F004E"/>
    <w:rsid w:val="006F141E"/>
    <w:rsid w:val="006F1945"/>
    <w:rsid w:val="006F3C78"/>
    <w:rsid w:val="006F6B7A"/>
    <w:rsid w:val="006F6C38"/>
    <w:rsid w:val="006F7B2E"/>
    <w:rsid w:val="0070243C"/>
    <w:rsid w:val="00702A1A"/>
    <w:rsid w:val="0070347D"/>
    <w:rsid w:val="007059E0"/>
    <w:rsid w:val="007062AB"/>
    <w:rsid w:val="00706F6F"/>
    <w:rsid w:val="0070712E"/>
    <w:rsid w:val="0070771B"/>
    <w:rsid w:val="00710BE2"/>
    <w:rsid w:val="00712363"/>
    <w:rsid w:val="0071295A"/>
    <w:rsid w:val="00713302"/>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954"/>
    <w:rsid w:val="00737DAE"/>
    <w:rsid w:val="00740C32"/>
    <w:rsid w:val="0074100F"/>
    <w:rsid w:val="00741448"/>
    <w:rsid w:val="00743A58"/>
    <w:rsid w:val="00745C3A"/>
    <w:rsid w:val="00746ED9"/>
    <w:rsid w:val="007475C2"/>
    <w:rsid w:val="00747A64"/>
    <w:rsid w:val="00750128"/>
    <w:rsid w:val="00753A96"/>
    <w:rsid w:val="0075552C"/>
    <w:rsid w:val="00755704"/>
    <w:rsid w:val="0075615E"/>
    <w:rsid w:val="00764C18"/>
    <w:rsid w:val="00765FF4"/>
    <w:rsid w:val="00766085"/>
    <w:rsid w:val="00771DA0"/>
    <w:rsid w:val="00776A54"/>
    <w:rsid w:val="00776F49"/>
    <w:rsid w:val="0077789F"/>
    <w:rsid w:val="007814D5"/>
    <w:rsid w:val="00783A2B"/>
    <w:rsid w:val="00783C72"/>
    <w:rsid w:val="0079342A"/>
    <w:rsid w:val="00797C22"/>
    <w:rsid w:val="00797D6F"/>
    <w:rsid w:val="007A211F"/>
    <w:rsid w:val="007A22A8"/>
    <w:rsid w:val="007A31E2"/>
    <w:rsid w:val="007A4097"/>
    <w:rsid w:val="007A4561"/>
    <w:rsid w:val="007A5D79"/>
    <w:rsid w:val="007A78BB"/>
    <w:rsid w:val="007A7E8F"/>
    <w:rsid w:val="007B03DB"/>
    <w:rsid w:val="007B1A49"/>
    <w:rsid w:val="007B254D"/>
    <w:rsid w:val="007B369C"/>
    <w:rsid w:val="007B40DF"/>
    <w:rsid w:val="007B5138"/>
    <w:rsid w:val="007B51B7"/>
    <w:rsid w:val="007B58AA"/>
    <w:rsid w:val="007B7B9B"/>
    <w:rsid w:val="007C0DDE"/>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40E5"/>
    <w:rsid w:val="007E4223"/>
    <w:rsid w:val="007E5961"/>
    <w:rsid w:val="007E5F24"/>
    <w:rsid w:val="007F0325"/>
    <w:rsid w:val="007F1CA4"/>
    <w:rsid w:val="007F31DE"/>
    <w:rsid w:val="007F5FB7"/>
    <w:rsid w:val="007F6EE8"/>
    <w:rsid w:val="007F7C34"/>
    <w:rsid w:val="007F7E13"/>
    <w:rsid w:val="008003FB"/>
    <w:rsid w:val="008032BA"/>
    <w:rsid w:val="00805F7F"/>
    <w:rsid w:val="008074AF"/>
    <w:rsid w:val="008074EE"/>
    <w:rsid w:val="00813E24"/>
    <w:rsid w:val="00814D4B"/>
    <w:rsid w:val="008155A2"/>
    <w:rsid w:val="0081581B"/>
    <w:rsid w:val="00816D7A"/>
    <w:rsid w:val="0081704E"/>
    <w:rsid w:val="00817AD5"/>
    <w:rsid w:val="00820D8B"/>
    <w:rsid w:val="00821096"/>
    <w:rsid w:val="008244CA"/>
    <w:rsid w:val="008248EB"/>
    <w:rsid w:val="00824CDE"/>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77C"/>
    <w:rsid w:val="008623FA"/>
    <w:rsid w:val="008636DD"/>
    <w:rsid w:val="00864651"/>
    <w:rsid w:val="0086475C"/>
    <w:rsid w:val="00864DED"/>
    <w:rsid w:val="008659F3"/>
    <w:rsid w:val="00865FAE"/>
    <w:rsid w:val="008669A3"/>
    <w:rsid w:val="00866E6E"/>
    <w:rsid w:val="008674FB"/>
    <w:rsid w:val="008703C0"/>
    <w:rsid w:val="0087061A"/>
    <w:rsid w:val="00871ACF"/>
    <w:rsid w:val="00873413"/>
    <w:rsid w:val="00873A66"/>
    <w:rsid w:val="00873C73"/>
    <w:rsid w:val="00875907"/>
    <w:rsid w:val="00877E09"/>
    <w:rsid w:val="008802A3"/>
    <w:rsid w:val="008806CA"/>
    <w:rsid w:val="00881703"/>
    <w:rsid w:val="008818EB"/>
    <w:rsid w:val="00882ABA"/>
    <w:rsid w:val="00882EE0"/>
    <w:rsid w:val="008831D5"/>
    <w:rsid w:val="00883DAE"/>
    <w:rsid w:val="0088411C"/>
    <w:rsid w:val="008850A4"/>
    <w:rsid w:val="00885D25"/>
    <w:rsid w:val="0088611C"/>
    <w:rsid w:val="00886203"/>
    <w:rsid w:val="0088657F"/>
    <w:rsid w:val="008866E7"/>
    <w:rsid w:val="0088691C"/>
    <w:rsid w:val="0088755F"/>
    <w:rsid w:val="008876F4"/>
    <w:rsid w:val="00891C39"/>
    <w:rsid w:val="00891D52"/>
    <w:rsid w:val="00891EE0"/>
    <w:rsid w:val="0089236B"/>
    <w:rsid w:val="00893394"/>
    <w:rsid w:val="00895823"/>
    <w:rsid w:val="00895D56"/>
    <w:rsid w:val="00896DB0"/>
    <w:rsid w:val="00897118"/>
    <w:rsid w:val="008972CB"/>
    <w:rsid w:val="008976A1"/>
    <w:rsid w:val="008A3F53"/>
    <w:rsid w:val="008A4136"/>
    <w:rsid w:val="008A43CC"/>
    <w:rsid w:val="008A4E63"/>
    <w:rsid w:val="008A4F82"/>
    <w:rsid w:val="008A6525"/>
    <w:rsid w:val="008A68C0"/>
    <w:rsid w:val="008B0214"/>
    <w:rsid w:val="008B4208"/>
    <w:rsid w:val="008B4BC7"/>
    <w:rsid w:val="008B542F"/>
    <w:rsid w:val="008B6EE7"/>
    <w:rsid w:val="008B6FC6"/>
    <w:rsid w:val="008B7143"/>
    <w:rsid w:val="008C0A79"/>
    <w:rsid w:val="008C1183"/>
    <w:rsid w:val="008C26AC"/>
    <w:rsid w:val="008C2975"/>
    <w:rsid w:val="008C4328"/>
    <w:rsid w:val="008C470D"/>
    <w:rsid w:val="008C5AAB"/>
    <w:rsid w:val="008C66E9"/>
    <w:rsid w:val="008C6850"/>
    <w:rsid w:val="008C7116"/>
    <w:rsid w:val="008D0170"/>
    <w:rsid w:val="008D0798"/>
    <w:rsid w:val="008D1164"/>
    <w:rsid w:val="008D1208"/>
    <w:rsid w:val="008D142F"/>
    <w:rsid w:val="008D1D0F"/>
    <w:rsid w:val="008D25F6"/>
    <w:rsid w:val="008D26E4"/>
    <w:rsid w:val="008D3C3B"/>
    <w:rsid w:val="008D4CA4"/>
    <w:rsid w:val="008D52BD"/>
    <w:rsid w:val="008D68DF"/>
    <w:rsid w:val="008E3343"/>
    <w:rsid w:val="008E377F"/>
    <w:rsid w:val="008E38CD"/>
    <w:rsid w:val="008E57C4"/>
    <w:rsid w:val="008F0292"/>
    <w:rsid w:val="008F1083"/>
    <w:rsid w:val="008F2C3E"/>
    <w:rsid w:val="008F3A31"/>
    <w:rsid w:val="008F59AB"/>
    <w:rsid w:val="008F65C0"/>
    <w:rsid w:val="008F7EFA"/>
    <w:rsid w:val="00903F5C"/>
    <w:rsid w:val="0090461D"/>
    <w:rsid w:val="00905314"/>
    <w:rsid w:val="00905488"/>
    <w:rsid w:val="009063D9"/>
    <w:rsid w:val="009065B3"/>
    <w:rsid w:val="00911293"/>
    <w:rsid w:val="009115A2"/>
    <w:rsid w:val="00911C8A"/>
    <w:rsid w:val="00912096"/>
    <w:rsid w:val="0091353D"/>
    <w:rsid w:val="009138C1"/>
    <w:rsid w:val="009144C0"/>
    <w:rsid w:val="009149BF"/>
    <w:rsid w:val="009176CC"/>
    <w:rsid w:val="0092234C"/>
    <w:rsid w:val="00924270"/>
    <w:rsid w:val="00926BFC"/>
    <w:rsid w:val="00932363"/>
    <w:rsid w:val="0093249A"/>
    <w:rsid w:val="009328E4"/>
    <w:rsid w:val="00933B46"/>
    <w:rsid w:val="00934407"/>
    <w:rsid w:val="00934ADD"/>
    <w:rsid w:val="00935C75"/>
    <w:rsid w:val="00936381"/>
    <w:rsid w:val="009366FE"/>
    <w:rsid w:val="00936DD0"/>
    <w:rsid w:val="00936F20"/>
    <w:rsid w:val="00940AAD"/>
    <w:rsid w:val="0094153F"/>
    <w:rsid w:val="00941E5C"/>
    <w:rsid w:val="00942D4D"/>
    <w:rsid w:val="00944487"/>
    <w:rsid w:val="009444A7"/>
    <w:rsid w:val="009448E4"/>
    <w:rsid w:val="009473E1"/>
    <w:rsid w:val="00951574"/>
    <w:rsid w:val="009536D1"/>
    <w:rsid w:val="00953DF0"/>
    <w:rsid w:val="00955A9B"/>
    <w:rsid w:val="00956DD3"/>
    <w:rsid w:val="00957498"/>
    <w:rsid w:val="00957CD1"/>
    <w:rsid w:val="009609DD"/>
    <w:rsid w:val="00961044"/>
    <w:rsid w:val="00961A9A"/>
    <w:rsid w:val="009623B9"/>
    <w:rsid w:val="0096399A"/>
    <w:rsid w:val="00965CEC"/>
    <w:rsid w:val="009662F8"/>
    <w:rsid w:val="00966775"/>
    <w:rsid w:val="00967517"/>
    <w:rsid w:val="00967C00"/>
    <w:rsid w:val="0097120B"/>
    <w:rsid w:val="009721C9"/>
    <w:rsid w:val="00972F0F"/>
    <w:rsid w:val="00973D12"/>
    <w:rsid w:val="009740B8"/>
    <w:rsid w:val="00976931"/>
    <w:rsid w:val="0098100A"/>
    <w:rsid w:val="00981839"/>
    <w:rsid w:val="009826D7"/>
    <w:rsid w:val="00986F6B"/>
    <w:rsid w:val="00991DAF"/>
    <w:rsid w:val="009925F9"/>
    <w:rsid w:val="00993183"/>
    <w:rsid w:val="0099330E"/>
    <w:rsid w:val="009953AB"/>
    <w:rsid w:val="00995988"/>
    <w:rsid w:val="00995E4B"/>
    <w:rsid w:val="009974B0"/>
    <w:rsid w:val="009A052E"/>
    <w:rsid w:val="009A0EC5"/>
    <w:rsid w:val="009A0F77"/>
    <w:rsid w:val="009A1682"/>
    <w:rsid w:val="009A26B7"/>
    <w:rsid w:val="009A3942"/>
    <w:rsid w:val="009A6B49"/>
    <w:rsid w:val="009A7AA8"/>
    <w:rsid w:val="009B10B6"/>
    <w:rsid w:val="009B150A"/>
    <w:rsid w:val="009B1F2C"/>
    <w:rsid w:val="009B403A"/>
    <w:rsid w:val="009B4243"/>
    <w:rsid w:val="009B4C71"/>
    <w:rsid w:val="009B5CA8"/>
    <w:rsid w:val="009B6B87"/>
    <w:rsid w:val="009C253D"/>
    <w:rsid w:val="009C60ED"/>
    <w:rsid w:val="009C6182"/>
    <w:rsid w:val="009D0801"/>
    <w:rsid w:val="009D1A1A"/>
    <w:rsid w:val="009D43E0"/>
    <w:rsid w:val="009D680E"/>
    <w:rsid w:val="009E083C"/>
    <w:rsid w:val="009E2142"/>
    <w:rsid w:val="009E2565"/>
    <w:rsid w:val="009E2586"/>
    <w:rsid w:val="009E4218"/>
    <w:rsid w:val="009E4354"/>
    <w:rsid w:val="009E4364"/>
    <w:rsid w:val="009E74EC"/>
    <w:rsid w:val="009E76D4"/>
    <w:rsid w:val="009E7809"/>
    <w:rsid w:val="009E795E"/>
    <w:rsid w:val="009F0DA4"/>
    <w:rsid w:val="009F0E2E"/>
    <w:rsid w:val="009F1208"/>
    <w:rsid w:val="009F154D"/>
    <w:rsid w:val="009F2719"/>
    <w:rsid w:val="009F6C84"/>
    <w:rsid w:val="009F7095"/>
    <w:rsid w:val="00A013BF"/>
    <w:rsid w:val="00A025C6"/>
    <w:rsid w:val="00A02746"/>
    <w:rsid w:val="00A04A33"/>
    <w:rsid w:val="00A10B7E"/>
    <w:rsid w:val="00A10EAB"/>
    <w:rsid w:val="00A11E56"/>
    <w:rsid w:val="00A12B8E"/>
    <w:rsid w:val="00A14597"/>
    <w:rsid w:val="00A147D6"/>
    <w:rsid w:val="00A16725"/>
    <w:rsid w:val="00A1741B"/>
    <w:rsid w:val="00A23817"/>
    <w:rsid w:val="00A244DF"/>
    <w:rsid w:val="00A25FA0"/>
    <w:rsid w:val="00A26E34"/>
    <w:rsid w:val="00A277F7"/>
    <w:rsid w:val="00A27C77"/>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62BD0"/>
    <w:rsid w:val="00A63155"/>
    <w:rsid w:val="00A6529E"/>
    <w:rsid w:val="00A7048D"/>
    <w:rsid w:val="00A71176"/>
    <w:rsid w:val="00A7418C"/>
    <w:rsid w:val="00A74FF0"/>
    <w:rsid w:val="00A75DF6"/>
    <w:rsid w:val="00A77C87"/>
    <w:rsid w:val="00A77E5F"/>
    <w:rsid w:val="00A805E1"/>
    <w:rsid w:val="00A81F36"/>
    <w:rsid w:val="00A81F6D"/>
    <w:rsid w:val="00A82CC8"/>
    <w:rsid w:val="00A8311D"/>
    <w:rsid w:val="00A855BE"/>
    <w:rsid w:val="00A85F1C"/>
    <w:rsid w:val="00A8661E"/>
    <w:rsid w:val="00A867F3"/>
    <w:rsid w:val="00A90049"/>
    <w:rsid w:val="00A90855"/>
    <w:rsid w:val="00A9234A"/>
    <w:rsid w:val="00A92C52"/>
    <w:rsid w:val="00A94050"/>
    <w:rsid w:val="00AA15FF"/>
    <w:rsid w:val="00AA67A7"/>
    <w:rsid w:val="00AA7D17"/>
    <w:rsid w:val="00AA7D40"/>
    <w:rsid w:val="00AB1638"/>
    <w:rsid w:val="00AB2209"/>
    <w:rsid w:val="00AB2B5D"/>
    <w:rsid w:val="00AB2CE9"/>
    <w:rsid w:val="00AB50B0"/>
    <w:rsid w:val="00AB618C"/>
    <w:rsid w:val="00AB69F8"/>
    <w:rsid w:val="00AB7A5E"/>
    <w:rsid w:val="00AC0097"/>
    <w:rsid w:val="00AC4222"/>
    <w:rsid w:val="00AC5D33"/>
    <w:rsid w:val="00AC7F0F"/>
    <w:rsid w:val="00AD2755"/>
    <w:rsid w:val="00AD2C6F"/>
    <w:rsid w:val="00AD302E"/>
    <w:rsid w:val="00AD355A"/>
    <w:rsid w:val="00AD3A20"/>
    <w:rsid w:val="00AD4529"/>
    <w:rsid w:val="00AD6349"/>
    <w:rsid w:val="00AD6527"/>
    <w:rsid w:val="00AD6A69"/>
    <w:rsid w:val="00AD6F5F"/>
    <w:rsid w:val="00AD761B"/>
    <w:rsid w:val="00AD7E2A"/>
    <w:rsid w:val="00AD7EE4"/>
    <w:rsid w:val="00AE0BB8"/>
    <w:rsid w:val="00AE205E"/>
    <w:rsid w:val="00AE31C5"/>
    <w:rsid w:val="00AE3263"/>
    <w:rsid w:val="00AE3441"/>
    <w:rsid w:val="00AF4299"/>
    <w:rsid w:val="00AF4ED0"/>
    <w:rsid w:val="00AF5106"/>
    <w:rsid w:val="00AF62B6"/>
    <w:rsid w:val="00AF770A"/>
    <w:rsid w:val="00B01CDE"/>
    <w:rsid w:val="00B03FDD"/>
    <w:rsid w:val="00B05944"/>
    <w:rsid w:val="00B061DA"/>
    <w:rsid w:val="00B0731A"/>
    <w:rsid w:val="00B10A4F"/>
    <w:rsid w:val="00B10F64"/>
    <w:rsid w:val="00B11F00"/>
    <w:rsid w:val="00B169E7"/>
    <w:rsid w:val="00B2088B"/>
    <w:rsid w:val="00B20B31"/>
    <w:rsid w:val="00B233CA"/>
    <w:rsid w:val="00B23C49"/>
    <w:rsid w:val="00B243B6"/>
    <w:rsid w:val="00B253E5"/>
    <w:rsid w:val="00B279FD"/>
    <w:rsid w:val="00B30359"/>
    <w:rsid w:val="00B30C7A"/>
    <w:rsid w:val="00B30F8C"/>
    <w:rsid w:val="00B32F4A"/>
    <w:rsid w:val="00B33230"/>
    <w:rsid w:val="00B342ED"/>
    <w:rsid w:val="00B37CE5"/>
    <w:rsid w:val="00B41113"/>
    <w:rsid w:val="00B42008"/>
    <w:rsid w:val="00B4213B"/>
    <w:rsid w:val="00B42E83"/>
    <w:rsid w:val="00B42FEF"/>
    <w:rsid w:val="00B43290"/>
    <w:rsid w:val="00B44FEE"/>
    <w:rsid w:val="00B457DD"/>
    <w:rsid w:val="00B45E48"/>
    <w:rsid w:val="00B4676C"/>
    <w:rsid w:val="00B46BF8"/>
    <w:rsid w:val="00B47790"/>
    <w:rsid w:val="00B50097"/>
    <w:rsid w:val="00B51975"/>
    <w:rsid w:val="00B51B3C"/>
    <w:rsid w:val="00B52162"/>
    <w:rsid w:val="00B53209"/>
    <w:rsid w:val="00B53FD4"/>
    <w:rsid w:val="00B54338"/>
    <w:rsid w:val="00B56F18"/>
    <w:rsid w:val="00B612F4"/>
    <w:rsid w:val="00B624F6"/>
    <w:rsid w:val="00B63A66"/>
    <w:rsid w:val="00B64106"/>
    <w:rsid w:val="00B64C34"/>
    <w:rsid w:val="00B709FE"/>
    <w:rsid w:val="00B733AD"/>
    <w:rsid w:val="00B734FE"/>
    <w:rsid w:val="00B73769"/>
    <w:rsid w:val="00B743F4"/>
    <w:rsid w:val="00B77055"/>
    <w:rsid w:val="00B776BE"/>
    <w:rsid w:val="00B80237"/>
    <w:rsid w:val="00B818F4"/>
    <w:rsid w:val="00B822D3"/>
    <w:rsid w:val="00B837BD"/>
    <w:rsid w:val="00B863AD"/>
    <w:rsid w:val="00B8735C"/>
    <w:rsid w:val="00B916BB"/>
    <w:rsid w:val="00B92F4F"/>
    <w:rsid w:val="00B94328"/>
    <w:rsid w:val="00B96853"/>
    <w:rsid w:val="00B96BDF"/>
    <w:rsid w:val="00BA0C6E"/>
    <w:rsid w:val="00BA1B5E"/>
    <w:rsid w:val="00BA2038"/>
    <w:rsid w:val="00BA647A"/>
    <w:rsid w:val="00BA68CD"/>
    <w:rsid w:val="00BA7502"/>
    <w:rsid w:val="00BA7977"/>
    <w:rsid w:val="00BB0433"/>
    <w:rsid w:val="00BB2F0B"/>
    <w:rsid w:val="00BB3DE4"/>
    <w:rsid w:val="00BB5A22"/>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34E1"/>
    <w:rsid w:val="00BD6BEE"/>
    <w:rsid w:val="00BE121F"/>
    <w:rsid w:val="00BE161C"/>
    <w:rsid w:val="00BE3BDF"/>
    <w:rsid w:val="00BE3F07"/>
    <w:rsid w:val="00BE582E"/>
    <w:rsid w:val="00BE5A2B"/>
    <w:rsid w:val="00BE5B80"/>
    <w:rsid w:val="00BE5F23"/>
    <w:rsid w:val="00BF0990"/>
    <w:rsid w:val="00BF3D47"/>
    <w:rsid w:val="00BF7BF6"/>
    <w:rsid w:val="00C001E1"/>
    <w:rsid w:val="00C012F5"/>
    <w:rsid w:val="00C03CD3"/>
    <w:rsid w:val="00C04229"/>
    <w:rsid w:val="00C04B46"/>
    <w:rsid w:val="00C05AAD"/>
    <w:rsid w:val="00C05F0A"/>
    <w:rsid w:val="00C06457"/>
    <w:rsid w:val="00C079BF"/>
    <w:rsid w:val="00C107C3"/>
    <w:rsid w:val="00C120C8"/>
    <w:rsid w:val="00C14E40"/>
    <w:rsid w:val="00C159B2"/>
    <w:rsid w:val="00C15D73"/>
    <w:rsid w:val="00C15DEE"/>
    <w:rsid w:val="00C20809"/>
    <w:rsid w:val="00C213BF"/>
    <w:rsid w:val="00C21C54"/>
    <w:rsid w:val="00C2223D"/>
    <w:rsid w:val="00C2265F"/>
    <w:rsid w:val="00C25213"/>
    <w:rsid w:val="00C25299"/>
    <w:rsid w:val="00C256D4"/>
    <w:rsid w:val="00C26E3B"/>
    <w:rsid w:val="00C276F3"/>
    <w:rsid w:val="00C27B1A"/>
    <w:rsid w:val="00C3109E"/>
    <w:rsid w:val="00C315B4"/>
    <w:rsid w:val="00C32E71"/>
    <w:rsid w:val="00C33456"/>
    <w:rsid w:val="00C34510"/>
    <w:rsid w:val="00C34F6A"/>
    <w:rsid w:val="00C3502C"/>
    <w:rsid w:val="00C354B0"/>
    <w:rsid w:val="00C35B90"/>
    <w:rsid w:val="00C35E27"/>
    <w:rsid w:val="00C370E4"/>
    <w:rsid w:val="00C37E13"/>
    <w:rsid w:val="00C4095B"/>
    <w:rsid w:val="00C4110F"/>
    <w:rsid w:val="00C43515"/>
    <w:rsid w:val="00C437E2"/>
    <w:rsid w:val="00C43B39"/>
    <w:rsid w:val="00C45EE8"/>
    <w:rsid w:val="00C46F55"/>
    <w:rsid w:val="00C511BE"/>
    <w:rsid w:val="00C52D0E"/>
    <w:rsid w:val="00C53E6C"/>
    <w:rsid w:val="00C54E99"/>
    <w:rsid w:val="00C555CE"/>
    <w:rsid w:val="00C559B0"/>
    <w:rsid w:val="00C57EF1"/>
    <w:rsid w:val="00C62806"/>
    <w:rsid w:val="00C64C8C"/>
    <w:rsid w:val="00C65170"/>
    <w:rsid w:val="00C67D8E"/>
    <w:rsid w:val="00C70646"/>
    <w:rsid w:val="00C70E00"/>
    <w:rsid w:val="00C735E6"/>
    <w:rsid w:val="00C74ACA"/>
    <w:rsid w:val="00C75513"/>
    <w:rsid w:val="00C76E82"/>
    <w:rsid w:val="00C77008"/>
    <w:rsid w:val="00C80106"/>
    <w:rsid w:val="00C80372"/>
    <w:rsid w:val="00C81D85"/>
    <w:rsid w:val="00C827FE"/>
    <w:rsid w:val="00C83EDD"/>
    <w:rsid w:val="00C8415D"/>
    <w:rsid w:val="00C84CE7"/>
    <w:rsid w:val="00C852AB"/>
    <w:rsid w:val="00C868BE"/>
    <w:rsid w:val="00C87E10"/>
    <w:rsid w:val="00C90D93"/>
    <w:rsid w:val="00C92063"/>
    <w:rsid w:val="00C92462"/>
    <w:rsid w:val="00C93079"/>
    <w:rsid w:val="00C93180"/>
    <w:rsid w:val="00C93760"/>
    <w:rsid w:val="00C9389B"/>
    <w:rsid w:val="00C950F1"/>
    <w:rsid w:val="00C9660D"/>
    <w:rsid w:val="00C969DF"/>
    <w:rsid w:val="00C96B00"/>
    <w:rsid w:val="00C96D60"/>
    <w:rsid w:val="00C97BA1"/>
    <w:rsid w:val="00CA0215"/>
    <w:rsid w:val="00CA0962"/>
    <w:rsid w:val="00CA0E02"/>
    <w:rsid w:val="00CA0F59"/>
    <w:rsid w:val="00CA2960"/>
    <w:rsid w:val="00CA2ECB"/>
    <w:rsid w:val="00CA2F0A"/>
    <w:rsid w:val="00CA69DF"/>
    <w:rsid w:val="00CB024A"/>
    <w:rsid w:val="00CB077C"/>
    <w:rsid w:val="00CB1744"/>
    <w:rsid w:val="00CB585E"/>
    <w:rsid w:val="00CB6F5D"/>
    <w:rsid w:val="00CC00B4"/>
    <w:rsid w:val="00CC0D7B"/>
    <w:rsid w:val="00CC0E0E"/>
    <w:rsid w:val="00CC1FCD"/>
    <w:rsid w:val="00CC2D5D"/>
    <w:rsid w:val="00CC3316"/>
    <w:rsid w:val="00CC6863"/>
    <w:rsid w:val="00CC735A"/>
    <w:rsid w:val="00CD1B83"/>
    <w:rsid w:val="00CD2FEE"/>
    <w:rsid w:val="00CD399C"/>
    <w:rsid w:val="00CD412A"/>
    <w:rsid w:val="00CD4C5B"/>
    <w:rsid w:val="00CD62AA"/>
    <w:rsid w:val="00CD6657"/>
    <w:rsid w:val="00CD6EBA"/>
    <w:rsid w:val="00CD6EE2"/>
    <w:rsid w:val="00CE06DD"/>
    <w:rsid w:val="00CE1050"/>
    <w:rsid w:val="00CE1B51"/>
    <w:rsid w:val="00CE2127"/>
    <w:rsid w:val="00CE3FFE"/>
    <w:rsid w:val="00CE4F0C"/>
    <w:rsid w:val="00CE6029"/>
    <w:rsid w:val="00CE62DD"/>
    <w:rsid w:val="00CE7D86"/>
    <w:rsid w:val="00CF2B4F"/>
    <w:rsid w:val="00CF3D65"/>
    <w:rsid w:val="00CF5853"/>
    <w:rsid w:val="00CF60E9"/>
    <w:rsid w:val="00CF6102"/>
    <w:rsid w:val="00D00CE1"/>
    <w:rsid w:val="00D016F8"/>
    <w:rsid w:val="00D01F45"/>
    <w:rsid w:val="00D04796"/>
    <w:rsid w:val="00D05E61"/>
    <w:rsid w:val="00D11E3B"/>
    <w:rsid w:val="00D12543"/>
    <w:rsid w:val="00D12910"/>
    <w:rsid w:val="00D12C8C"/>
    <w:rsid w:val="00D20DCB"/>
    <w:rsid w:val="00D21962"/>
    <w:rsid w:val="00D21B08"/>
    <w:rsid w:val="00D2405A"/>
    <w:rsid w:val="00D2477E"/>
    <w:rsid w:val="00D24AEE"/>
    <w:rsid w:val="00D254B5"/>
    <w:rsid w:val="00D25A2D"/>
    <w:rsid w:val="00D263D5"/>
    <w:rsid w:val="00D2692F"/>
    <w:rsid w:val="00D26DC4"/>
    <w:rsid w:val="00D27375"/>
    <w:rsid w:val="00D3073F"/>
    <w:rsid w:val="00D30C76"/>
    <w:rsid w:val="00D30EDF"/>
    <w:rsid w:val="00D317C2"/>
    <w:rsid w:val="00D3391B"/>
    <w:rsid w:val="00D37007"/>
    <w:rsid w:val="00D40418"/>
    <w:rsid w:val="00D41F4F"/>
    <w:rsid w:val="00D42166"/>
    <w:rsid w:val="00D434FA"/>
    <w:rsid w:val="00D434FC"/>
    <w:rsid w:val="00D439B9"/>
    <w:rsid w:val="00D4702C"/>
    <w:rsid w:val="00D4718B"/>
    <w:rsid w:val="00D47F00"/>
    <w:rsid w:val="00D50E13"/>
    <w:rsid w:val="00D54961"/>
    <w:rsid w:val="00D554ED"/>
    <w:rsid w:val="00D56269"/>
    <w:rsid w:val="00D5665D"/>
    <w:rsid w:val="00D57408"/>
    <w:rsid w:val="00D61A44"/>
    <w:rsid w:val="00D61DA3"/>
    <w:rsid w:val="00D62430"/>
    <w:rsid w:val="00D64891"/>
    <w:rsid w:val="00D70424"/>
    <w:rsid w:val="00D70C48"/>
    <w:rsid w:val="00D71A76"/>
    <w:rsid w:val="00D7261A"/>
    <w:rsid w:val="00D72DDE"/>
    <w:rsid w:val="00D73D57"/>
    <w:rsid w:val="00D75EB4"/>
    <w:rsid w:val="00D76741"/>
    <w:rsid w:val="00D7747C"/>
    <w:rsid w:val="00D811E6"/>
    <w:rsid w:val="00D8161C"/>
    <w:rsid w:val="00D829D3"/>
    <w:rsid w:val="00D84A3D"/>
    <w:rsid w:val="00D86DEC"/>
    <w:rsid w:val="00D90685"/>
    <w:rsid w:val="00D9166F"/>
    <w:rsid w:val="00D9177D"/>
    <w:rsid w:val="00D92FB0"/>
    <w:rsid w:val="00D9399E"/>
    <w:rsid w:val="00D95122"/>
    <w:rsid w:val="00D96E95"/>
    <w:rsid w:val="00D975DB"/>
    <w:rsid w:val="00DA0276"/>
    <w:rsid w:val="00DA0771"/>
    <w:rsid w:val="00DA09C1"/>
    <w:rsid w:val="00DA2A51"/>
    <w:rsid w:val="00DA37CD"/>
    <w:rsid w:val="00DA57D9"/>
    <w:rsid w:val="00DA736C"/>
    <w:rsid w:val="00DB0311"/>
    <w:rsid w:val="00DB127C"/>
    <w:rsid w:val="00DB1BB9"/>
    <w:rsid w:val="00DB333B"/>
    <w:rsid w:val="00DB3BBD"/>
    <w:rsid w:val="00DB4363"/>
    <w:rsid w:val="00DB65B8"/>
    <w:rsid w:val="00DB7715"/>
    <w:rsid w:val="00DC1927"/>
    <w:rsid w:val="00DC236A"/>
    <w:rsid w:val="00DC4300"/>
    <w:rsid w:val="00DC4B40"/>
    <w:rsid w:val="00DC4CB0"/>
    <w:rsid w:val="00DC71B2"/>
    <w:rsid w:val="00DD05EB"/>
    <w:rsid w:val="00DD0D65"/>
    <w:rsid w:val="00DD28D5"/>
    <w:rsid w:val="00DD2C96"/>
    <w:rsid w:val="00DD4060"/>
    <w:rsid w:val="00DD4679"/>
    <w:rsid w:val="00DD6031"/>
    <w:rsid w:val="00DD62C9"/>
    <w:rsid w:val="00DD6C0F"/>
    <w:rsid w:val="00DE0A25"/>
    <w:rsid w:val="00DE168D"/>
    <w:rsid w:val="00DE1FE5"/>
    <w:rsid w:val="00DE4357"/>
    <w:rsid w:val="00DE492B"/>
    <w:rsid w:val="00DE5572"/>
    <w:rsid w:val="00DE58BF"/>
    <w:rsid w:val="00DE7480"/>
    <w:rsid w:val="00DF0E11"/>
    <w:rsid w:val="00DF5492"/>
    <w:rsid w:val="00DF70B3"/>
    <w:rsid w:val="00DF7F99"/>
    <w:rsid w:val="00E0158E"/>
    <w:rsid w:val="00E03837"/>
    <w:rsid w:val="00E043E7"/>
    <w:rsid w:val="00E0473A"/>
    <w:rsid w:val="00E048B9"/>
    <w:rsid w:val="00E05442"/>
    <w:rsid w:val="00E05F57"/>
    <w:rsid w:val="00E06299"/>
    <w:rsid w:val="00E07659"/>
    <w:rsid w:val="00E12365"/>
    <w:rsid w:val="00E130D0"/>
    <w:rsid w:val="00E135DC"/>
    <w:rsid w:val="00E222A9"/>
    <w:rsid w:val="00E23067"/>
    <w:rsid w:val="00E24A1B"/>
    <w:rsid w:val="00E27C04"/>
    <w:rsid w:val="00E27D03"/>
    <w:rsid w:val="00E27EDD"/>
    <w:rsid w:val="00E304B6"/>
    <w:rsid w:val="00E31B44"/>
    <w:rsid w:val="00E32A70"/>
    <w:rsid w:val="00E32D61"/>
    <w:rsid w:val="00E334EB"/>
    <w:rsid w:val="00E3390D"/>
    <w:rsid w:val="00E33D82"/>
    <w:rsid w:val="00E3622E"/>
    <w:rsid w:val="00E37458"/>
    <w:rsid w:val="00E4215F"/>
    <w:rsid w:val="00E435E6"/>
    <w:rsid w:val="00E45287"/>
    <w:rsid w:val="00E45D57"/>
    <w:rsid w:val="00E466CA"/>
    <w:rsid w:val="00E46742"/>
    <w:rsid w:val="00E5078E"/>
    <w:rsid w:val="00E51970"/>
    <w:rsid w:val="00E534C6"/>
    <w:rsid w:val="00E53BDE"/>
    <w:rsid w:val="00E54100"/>
    <w:rsid w:val="00E55F1A"/>
    <w:rsid w:val="00E57699"/>
    <w:rsid w:val="00E576F3"/>
    <w:rsid w:val="00E57E5A"/>
    <w:rsid w:val="00E60DE8"/>
    <w:rsid w:val="00E64D2E"/>
    <w:rsid w:val="00E66877"/>
    <w:rsid w:val="00E67611"/>
    <w:rsid w:val="00E677D1"/>
    <w:rsid w:val="00E67EF1"/>
    <w:rsid w:val="00E71757"/>
    <w:rsid w:val="00E740D1"/>
    <w:rsid w:val="00E81B85"/>
    <w:rsid w:val="00E83C0B"/>
    <w:rsid w:val="00E84337"/>
    <w:rsid w:val="00E84A28"/>
    <w:rsid w:val="00E85BCA"/>
    <w:rsid w:val="00E85C76"/>
    <w:rsid w:val="00E93779"/>
    <w:rsid w:val="00E93938"/>
    <w:rsid w:val="00E94DB9"/>
    <w:rsid w:val="00E94E2B"/>
    <w:rsid w:val="00E95858"/>
    <w:rsid w:val="00E97825"/>
    <w:rsid w:val="00EA0496"/>
    <w:rsid w:val="00EA0CD5"/>
    <w:rsid w:val="00EA25E9"/>
    <w:rsid w:val="00EA29BB"/>
    <w:rsid w:val="00EA313B"/>
    <w:rsid w:val="00EA3348"/>
    <w:rsid w:val="00EA3F26"/>
    <w:rsid w:val="00EA42B7"/>
    <w:rsid w:val="00EA5631"/>
    <w:rsid w:val="00EA6791"/>
    <w:rsid w:val="00EA70B3"/>
    <w:rsid w:val="00EB0720"/>
    <w:rsid w:val="00EB0A1B"/>
    <w:rsid w:val="00EB12EA"/>
    <w:rsid w:val="00EB19CA"/>
    <w:rsid w:val="00EB28C6"/>
    <w:rsid w:val="00EB3F26"/>
    <w:rsid w:val="00EB4BB6"/>
    <w:rsid w:val="00EB70DA"/>
    <w:rsid w:val="00EC09FB"/>
    <w:rsid w:val="00EC440F"/>
    <w:rsid w:val="00EC4BA1"/>
    <w:rsid w:val="00EC686F"/>
    <w:rsid w:val="00EC74EF"/>
    <w:rsid w:val="00ED043C"/>
    <w:rsid w:val="00ED0698"/>
    <w:rsid w:val="00ED1B02"/>
    <w:rsid w:val="00ED2C1C"/>
    <w:rsid w:val="00ED3CD5"/>
    <w:rsid w:val="00ED62C9"/>
    <w:rsid w:val="00ED6D58"/>
    <w:rsid w:val="00ED7834"/>
    <w:rsid w:val="00ED7CE3"/>
    <w:rsid w:val="00ED7EC9"/>
    <w:rsid w:val="00EE1412"/>
    <w:rsid w:val="00EE1B53"/>
    <w:rsid w:val="00EE3A48"/>
    <w:rsid w:val="00EE5B13"/>
    <w:rsid w:val="00EF310B"/>
    <w:rsid w:val="00EF5009"/>
    <w:rsid w:val="00EF50C1"/>
    <w:rsid w:val="00EF51B4"/>
    <w:rsid w:val="00EF591D"/>
    <w:rsid w:val="00EF6D20"/>
    <w:rsid w:val="00F029A8"/>
    <w:rsid w:val="00F03135"/>
    <w:rsid w:val="00F04375"/>
    <w:rsid w:val="00F0472C"/>
    <w:rsid w:val="00F0612E"/>
    <w:rsid w:val="00F07223"/>
    <w:rsid w:val="00F13052"/>
    <w:rsid w:val="00F17EB0"/>
    <w:rsid w:val="00F20D09"/>
    <w:rsid w:val="00F21CD8"/>
    <w:rsid w:val="00F2481E"/>
    <w:rsid w:val="00F2647D"/>
    <w:rsid w:val="00F30DEC"/>
    <w:rsid w:val="00F31275"/>
    <w:rsid w:val="00F3143D"/>
    <w:rsid w:val="00F31E02"/>
    <w:rsid w:val="00F34617"/>
    <w:rsid w:val="00F3516D"/>
    <w:rsid w:val="00F3599C"/>
    <w:rsid w:val="00F37BA3"/>
    <w:rsid w:val="00F421CE"/>
    <w:rsid w:val="00F42A56"/>
    <w:rsid w:val="00F460BE"/>
    <w:rsid w:val="00F524B1"/>
    <w:rsid w:val="00F54317"/>
    <w:rsid w:val="00F54328"/>
    <w:rsid w:val="00F5573E"/>
    <w:rsid w:val="00F55D35"/>
    <w:rsid w:val="00F55EB1"/>
    <w:rsid w:val="00F562AF"/>
    <w:rsid w:val="00F56C4C"/>
    <w:rsid w:val="00F56C92"/>
    <w:rsid w:val="00F576A8"/>
    <w:rsid w:val="00F57AC7"/>
    <w:rsid w:val="00F6231A"/>
    <w:rsid w:val="00F62868"/>
    <w:rsid w:val="00F63701"/>
    <w:rsid w:val="00F63A01"/>
    <w:rsid w:val="00F64B90"/>
    <w:rsid w:val="00F65907"/>
    <w:rsid w:val="00F65FDD"/>
    <w:rsid w:val="00F665B4"/>
    <w:rsid w:val="00F67BFF"/>
    <w:rsid w:val="00F701CF"/>
    <w:rsid w:val="00F72740"/>
    <w:rsid w:val="00F7287E"/>
    <w:rsid w:val="00F72CE4"/>
    <w:rsid w:val="00F7544D"/>
    <w:rsid w:val="00F75FE0"/>
    <w:rsid w:val="00F75FF8"/>
    <w:rsid w:val="00F775E2"/>
    <w:rsid w:val="00F82B39"/>
    <w:rsid w:val="00F8546B"/>
    <w:rsid w:val="00F87049"/>
    <w:rsid w:val="00F9160D"/>
    <w:rsid w:val="00F946BB"/>
    <w:rsid w:val="00F958A6"/>
    <w:rsid w:val="00F96C4F"/>
    <w:rsid w:val="00F96D82"/>
    <w:rsid w:val="00F97000"/>
    <w:rsid w:val="00F9729A"/>
    <w:rsid w:val="00F97544"/>
    <w:rsid w:val="00FA18BD"/>
    <w:rsid w:val="00FA3E18"/>
    <w:rsid w:val="00FA404C"/>
    <w:rsid w:val="00FA4EA1"/>
    <w:rsid w:val="00FA5D0D"/>
    <w:rsid w:val="00FA5F42"/>
    <w:rsid w:val="00FA7743"/>
    <w:rsid w:val="00FB2426"/>
    <w:rsid w:val="00FB2504"/>
    <w:rsid w:val="00FB2C11"/>
    <w:rsid w:val="00FB2D5E"/>
    <w:rsid w:val="00FB4E4C"/>
    <w:rsid w:val="00FB5E8E"/>
    <w:rsid w:val="00FB73A5"/>
    <w:rsid w:val="00FC12A8"/>
    <w:rsid w:val="00FC1794"/>
    <w:rsid w:val="00FC2777"/>
    <w:rsid w:val="00FC7A66"/>
    <w:rsid w:val="00FD053A"/>
    <w:rsid w:val="00FD0964"/>
    <w:rsid w:val="00FD1A91"/>
    <w:rsid w:val="00FD1F74"/>
    <w:rsid w:val="00FD1FBC"/>
    <w:rsid w:val="00FD5AE5"/>
    <w:rsid w:val="00FE191B"/>
    <w:rsid w:val="00FE2E7F"/>
    <w:rsid w:val="00FE331F"/>
    <w:rsid w:val="00FE4FEA"/>
    <w:rsid w:val="00FF0A67"/>
    <w:rsid w:val="00FF15C7"/>
    <w:rsid w:val="00FF1DB5"/>
    <w:rsid w:val="00FF3335"/>
    <w:rsid w:val="00FF41AD"/>
    <w:rsid w:val="00FF6DA9"/>
    <w:rsid w:val="00FF7075"/>
    <w:rsid w:val="00FF7968"/>
    <w:rsid w:val="00FF7C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5DCA2A-71B2-47F5-B33F-E28540AF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333B"/>
    <w:rPr>
      <w:sz w:val="24"/>
      <w:szCs w:val="24"/>
    </w:rPr>
  </w:style>
  <w:style w:type="paragraph" w:styleId="Nadpis1">
    <w:name w:val="heading 1"/>
    <w:basedOn w:val="Normlny"/>
    <w:next w:val="Normlny"/>
    <w:link w:val="Nadpis1Char"/>
    <w:uiPriority w:val="9"/>
    <w:qFormat/>
    <w:rsid w:val="00373CE6"/>
    <w:pPr>
      <w:keepNext/>
      <w:autoSpaceDE w:val="0"/>
      <w:autoSpaceDN w:val="0"/>
      <w:adjustRightInd w:val="0"/>
      <w:jc w:val="center"/>
      <w:outlineLvl w:val="0"/>
    </w:pPr>
    <w:rPr>
      <w:rFonts w:ascii="Cambria" w:hAnsi="Cambria"/>
      <w:b/>
      <w:bCs/>
      <w:kern w:val="32"/>
      <w:sz w:val="32"/>
      <w:szCs w:val="32"/>
      <w:lang w:eastAsia="en-US"/>
    </w:rPr>
  </w:style>
  <w:style w:type="paragraph" w:styleId="Nadpis3">
    <w:name w:val="heading 3"/>
    <w:basedOn w:val="Normlny"/>
    <w:next w:val="Normlny"/>
    <w:link w:val="Nadpis3Char"/>
    <w:uiPriority w:val="9"/>
    <w:qFormat/>
    <w:rsid w:val="00DB333B"/>
    <w:pPr>
      <w:keepNext/>
      <w:spacing w:before="240" w:after="60"/>
      <w:outlineLvl w:val="2"/>
    </w:pPr>
    <w:rPr>
      <w:rFonts w:ascii="Cambria" w:hAnsi="Cambria"/>
      <w:b/>
      <w:bCs/>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41CFF"/>
    <w:rPr>
      <w:rFonts w:ascii="Cambria" w:hAnsi="Cambria" w:cs="Times New Roman"/>
      <w:b/>
      <w:kern w:val="32"/>
      <w:sz w:val="32"/>
    </w:rPr>
  </w:style>
  <w:style w:type="character" w:customStyle="1" w:styleId="Nadpis3Char">
    <w:name w:val="Nadpis 3 Char"/>
    <w:basedOn w:val="Predvolenpsmoodseku"/>
    <w:link w:val="Nadpis3"/>
    <w:uiPriority w:val="9"/>
    <w:semiHidden/>
    <w:locked/>
    <w:rsid w:val="00041CFF"/>
    <w:rPr>
      <w:rFonts w:ascii="Cambria" w:hAnsi="Cambria" w:cs="Times New Roman"/>
      <w:b/>
      <w:sz w:val="26"/>
    </w:rPr>
  </w:style>
  <w:style w:type="paragraph" w:styleId="Pta">
    <w:name w:val="footer"/>
    <w:basedOn w:val="Normlny"/>
    <w:link w:val="PtaChar"/>
    <w:uiPriority w:val="99"/>
    <w:rsid w:val="00714570"/>
    <w:pPr>
      <w:tabs>
        <w:tab w:val="center" w:pos="4536"/>
        <w:tab w:val="right" w:pos="9072"/>
      </w:tabs>
    </w:pPr>
    <w:rPr>
      <w:lang w:eastAsia="en-US"/>
    </w:rPr>
  </w:style>
  <w:style w:type="character" w:customStyle="1" w:styleId="PtaChar">
    <w:name w:val="Päta Char"/>
    <w:basedOn w:val="Predvolenpsmoodseku"/>
    <w:link w:val="Pta"/>
    <w:uiPriority w:val="99"/>
    <w:semiHidden/>
    <w:locked/>
    <w:rsid w:val="00041CFF"/>
    <w:rPr>
      <w:rFonts w:cs="Times New Roman"/>
      <w:sz w:val="24"/>
    </w:rPr>
  </w:style>
  <w:style w:type="paragraph" w:styleId="Textbubliny">
    <w:name w:val="Balloon Text"/>
    <w:basedOn w:val="Normlny"/>
    <w:link w:val="TextbublinyChar"/>
    <w:uiPriority w:val="99"/>
    <w:semiHidden/>
    <w:rsid w:val="00E95858"/>
    <w:rPr>
      <w:rFonts w:ascii="Tahoma" w:hAnsi="Tahoma"/>
      <w:sz w:val="16"/>
      <w:szCs w:val="16"/>
      <w:lang w:eastAsia="en-US"/>
    </w:rPr>
  </w:style>
  <w:style w:type="character" w:customStyle="1" w:styleId="TextbublinyChar">
    <w:name w:val="Text bubliny Char"/>
    <w:basedOn w:val="Predvolenpsmoodseku"/>
    <w:link w:val="Textbubliny"/>
    <w:uiPriority w:val="99"/>
    <w:semiHidden/>
    <w:locked/>
    <w:rsid w:val="00041CFF"/>
    <w:rPr>
      <w:rFonts w:ascii="Tahoma" w:hAnsi="Tahoma" w:cs="Times New Roman"/>
      <w:sz w:val="16"/>
    </w:rPr>
  </w:style>
  <w:style w:type="character" w:styleId="slostrany">
    <w:name w:val="page number"/>
    <w:basedOn w:val="Predvolenpsmoodseku"/>
    <w:uiPriority w:val="99"/>
    <w:rsid w:val="00714570"/>
    <w:rPr>
      <w:rFonts w:cs="Times New Roman"/>
    </w:rPr>
  </w:style>
  <w:style w:type="paragraph" w:customStyle="1" w:styleId="titulok">
    <w:name w:val="titulok"/>
    <w:basedOn w:val="Normlny"/>
    <w:rsid w:val="00641CE2"/>
    <w:pPr>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DB333B"/>
    <w:pPr>
      <w:spacing w:before="100" w:beforeAutospacing="1" w:after="100" w:afterAutospacing="1"/>
    </w:pPr>
  </w:style>
  <w:style w:type="character" w:styleId="Hypertextovprepojenie">
    <w:name w:val="Hyperlink"/>
    <w:basedOn w:val="Predvolenpsmoodseku"/>
    <w:uiPriority w:val="99"/>
    <w:unhideWhenUsed/>
    <w:rsid w:val="00434223"/>
    <w:rPr>
      <w:rFonts w:cs="Times New Roman"/>
      <w:color w:val="0000FF"/>
      <w:u w:val="single"/>
    </w:rPr>
  </w:style>
  <w:style w:type="character" w:customStyle="1" w:styleId="apple-converted-space">
    <w:name w:val="apple-converted-space"/>
    <w:rsid w:val="00DB3BBD"/>
  </w:style>
  <w:style w:type="paragraph" w:styleId="Hlavika">
    <w:name w:val="header"/>
    <w:basedOn w:val="Normlny"/>
    <w:link w:val="HlavikaChar"/>
    <w:uiPriority w:val="99"/>
    <w:rsid w:val="007C0DDE"/>
    <w:pPr>
      <w:tabs>
        <w:tab w:val="center" w:pos="4536"/>
        <w:tab w:val="right" w:pos="9072"/>
      </w:tabs>
    </w:pPr>
    <w:rPr>
      <w:lang w:eastAsia="en-US"/>
    </w:rPr>
  </w:style>
  <w:style w:type="character" w:customStyle="1" w:styleId="HlavikaChar">
    <w:name w:val="Hlavička Char"/>
    <w:basedOn w:val="Predvolenpsmoodseku"/>
    <w:link w:val="Hlavika"/>
    <w:uiPriority w:val="99"/>
    <w:locked/>
    <w:rsid w:val="007C0DDE"/>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952807">
      <w:marLeft w:val="0"/>
      <w:marRight w:val="0"/>
      <w:marTop w:val="0"/>
      <w:marBottom w:val="0"/>
      <w:divBdr>
        <w:top w:val="none" w:sz="0" w:space="0" w:color="auto"/>
        <w:left w:val="none" w:sz="0" w:space="0" w:color="auto"/>
        <w:bottom w:val="none" w:sz="0" w:space="0" w:color="auto"/>
        <w:right w:val="none" w:sz="0" w:space="0" w:color="auto"/>
      </w:divBdr>
    </w:div>
    <w:div w:id="2071952808">
      <w:marLeft w:val="0"/>
      <w:marRight w:val="0"/>
      <w:marTop w:val="0"/>
      <w:marBottom w:val="0"/>
      <w:divBdr>
        <w:top w:val="none" w:sz="0" w:space="0" w:color="auto"/>
        <w:left w:val="none" w:sz="0" w:space="0" w:color="auto"/>
        <w:bottom w:val="none" w:sz="0" w:space="0" w:color="auto"/>
        <w:right w:val="none" w:sz="0" w:space="0" w:color="auto"/>
      </w:divBdr>
    </w:div>
    <w:div w:id="2071952809">
      <w:marLeft w:val="0"/>
      <w:marRight w:val="0"/>
      <w:marTop w:val="0"/>
      <w:marBottom w:val="0"/>
      <w:divBdr>
        <w:top w:val="none" w:sz="0" w:space="0" w:color="auto"/>
        <w:left w:val="none" w:sz="0" w:space="0" w:color="auto"/>
        <w:bottom w:val="none" w:sz="0" w:space="0" w:color="auto"/>
        <w:right w:val="none" w:sz="0" w:space="0" w:color="auto"/>
      </w:divBdr>
    </w:div>
    <w:div w:id="2071952810">
      <w:marLeft w:val="0"/>
      <w:marRight w:val="0"/>
      <w:marTop w:val="0"/>
      <w:marBottom w:val="0"/>
      <w:divBdr>
        <w:top w:val="none" w:sz="0" w:space="0" w:color="auto"/>
        <w:left w:val="none" w:sz="0" w:space="0" w:color="auto"/>
        <w:bottom w:val="none" w:sz="0" w:space="0" w:color="auto"/>
        <w:right w:val="none" w:sz="0" w:space="0" w:color="auto"/>
      </w:divBdr>
    </w:div>
    <w:div w:id="20719528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3845</Words>
  <Characters>21920</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Dôvodová správa</vt:lpstr>
    </vt:vector>
  </TitlesOfParts>
  <Company>UVSR</Company>
  <LinksUpToDate>false</LinksUpToDate>
  <CharactersWithSpaces>25714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Tomá_ Mészáros</dc:creator>
  <cp:keywords/>
  <dc:description/>
  <cp:lastModifiedBy>Vetrák, Milan</cp:lastModifiedBy>
  <cp:revision>2</cp:revision>
  <cp:lastPrinted>2014-06-05T21:44:00Z</cp:lastPrinted>
  <dcterms:created xsi:type="dcterms:W3CDTF">2023-04-14T13:52:00Z</dcterms:created>
  <dcterms:modified xsi:type="dcterms:W3CDTF">2023-04-14T13:52:00Z</dcterms:modified>
</cp:coreProperties>
</file>