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78427" w14:textId="61438B8A" w:rsidR="00EA0073" w:rsidRPr="00F7434F" w:rsidRDefault="002F76CE" w:rsidP="00F7434F">
      <w:pPr>
        <w:pStyle w:val="Default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  <w:r w:rsidRPr="00F7434F">
        <w:rPr>
          <w:rStyle w:val="awspan1"/>
          <w:rFonts w:ascii="Book Antiqua" w:hAnsi="Book Antiqua"/>
          <w:b/>
          <w:sz w:val="22"/>
          <w:szCs w:val="22"/>
        </w:rPr>
        <w:t>D Ô V O D O V</w:t>
      </w:r>
      <w:r w:rsidR="0097552A" w:rsidRPr="00F7434F">
        <w:rPr>
          <w:rStyle w:val="awspan1"/>
          <w:rFonts w:ascii="Book Antiqua" w:hAnsi="Book Antiqua"/>
          <w:b/>
          <w:sz w:val="22"/>
          <w:szCs w:val="22"/>
        </w:rPr>
        <w:t> </w:t>
      </w:r>
      <w:r w:rsidRPr="00F7434F">
        <w:rPr>
          <w:rStyle w:val="awspan1"/>
          <w:rFonts w:ascii="Book Antiqua" w:hAnsi="Book Antiqua"/>
          <w:b/>
          <w:sz w:val="22"/>
          <w:szCs w:val="22"/>
        </w:rPr>
        <w:t>Á</w:t>
      </w:r>
      <w:r w:rsidR="0097552A" w:rsidRPr="00F7434F">
        <w:rPr>
          <w:rStyle w:val="awspan1"/>
          <w:rFonts w:ascii="Book Antiqua" w:hAnsi="Book Antiqua"/>
          <w:b/>
          <w:sz w:val="22"/>
          <w:szCs w:val="22"/>
        </w:rPr>
        <w:t xml:space="preserve"> </w:t>
      </w:r>
      <w:r w:rsidRPr="00F7434F">
        <w:rPr>
          <w:rStyle w:val="awspan1"/>
          <w:rFonts w:ascii="Book Antiqua" w:hAnsi="Book Antiqua"/>
          <w:b/>
          <w:sz w:val="22"/>
          <w:szCs w:val="22"/>
        </w:rPr>
        <w:t xml:space="preserve"> S P R Á V A</w:t>
      </w:r>
    </w:p>
    <w:p w14:paraId="288588B7" w14:textId="77777777" w:rsidR="00EA0073" w:rsidRPr="00F7434F" w:rsidRDefault="00EA0073" w:rsidP="00F7434F">
      <w:pPr>
        <w:pStyle w:val="Default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4BFEDF58" w14:textId="7DA61600" w:rsidR="00D13439" w:rsidRPr="00F7434F" w:rsidRDefault="00D13439" w:rsidP="00F7434F">
      <w:pPr>
        <w:pStyle w:val="Default"/>
        <w:numPr>
          <w:ilvl w:val="0"/>
          <w:numId w:val="2"/>
        </w:numPr>
        <w:spacing w:before="120" w:line="276" w:lineRule="auto"/>
        <w:ind w:left="426" w:hanging="426"/>
        <w:rPr>
          <w:rFonts w:ascii="Book Antiqua" w:hAnsi="Book Antiqua"/>
          <w:b/>
          <w:sz w:val="22"/>
          <w:szCs w:val="22"/>
        </w:rPr>
      </w:pPr>
      <w:r w:rsidRPr="00F7434F">
        <w:rPr>
          <w:rFonts w:ascii="Book Antiqua" w:hAnsi="Book Antiqua"/>
          <w:b/>
          <w:bCs/>
          <w:sz w:val="22"/>
          <w:szCs w:val="22"/>
        </w:rPr>
        <w:t>Všeobecná časť</w:t>
      </w:r>
    </w:p>
    <w:p w14:paraId="47524BCF" w14:textId="28BB628B" w:rsidR="00A65843" w:rsidRPr="00F7434F" w:rsidRDefault="00F7434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  <w:bookmarkStart w:id="1" w:name="_Hlk127446710"/>
      <w:r w:rsidRPr="003D5907">
        <w:rPr>
          <w:rFonts w:ascii="Book Antiqua" w:hAnsi="Book Antiqua" w:cs="Times New Roman"/>
        </w:rPr>
        <w:t xml:space="preserve">Návrh zákona, ktorým sa mení a dopĺňa zákon č. 368/2021 Z. z. o mechanizme na podporu obnovy a odolnosti a o zmene a doplnení niektorých zákonov v znení neskorších predpisov </w:t>
      </w:r>
      <w:bookmarkEnd w:id="1"/>
      <w:r w:rsidRPr="003D5907">
        <w:rPr>
          <w:rFonts w:ascii="Book Antiqua" w:hAnsi="Book Antiqua" w:cs="Times New Roman"/>
        </w:rPr>
        <w:t xml:space="preserve">predkladá na rokovanie Národnej rady </w:t>
      </w:r>
      <w:bookmarkStart w:id="2" w:name="_Hlk127865084"/>
      <w:r w:rsidRPr="003D5907">
        <w:rPr>
          <w:rFonts w:ascii="Book Antiqua" w:hAnsi="Book Antiqua" w:cs="Times New Roman"/>
        </w:rPr>
        <w:t xml:space="preserve">Slovenskej republiky </w:t>
      </w:r>
      <w:bookmarkEnd w:id="2"/>
      <w:r>
        <w:rPr>
          <w:rFonts w:ascii="Book Antiqua" w:hAnsi="Book Antiqua" w:cs="Times New Roman"/>
        </w:rPr>
        <w:t>poslanec Národnej rady Slovenskej republiky Milan Vetrák.</w:t>
      </w:r>
    </w:p>
    <w:p w14:paraId="04948ABA" w14:textId="32B5D3BD" w:rsidR="00C21CD1" w:rsidRPr="00F7434F" w:rsidRDefault="00F7434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  <w:b/>
        </w:rPr>
      </w:pPr>
      <w:bookmarkStart w:id="3" w:name="_Hlk126915155"/>
      <w:r w:rsidRPr="00F7434F">
        <w:rPr>
          <w:rFonts w:ascii="Book Antiqua" w:hAnsi="Book Antiqua" w:cs="Times New Roman"/>
          <w:b/>
        </w:rPr>
        <w:t>Návrh zákona spresňuje</w:t>
      </w:r>
      <w:r w:rsidR="00912BB7" w:rsidRPr="00F7434F">
        <w:rPr>
          <w:rFonts w:ascii="Book Antiqua" w:hAnsi="Book Antiqua" w:cs="Times New Roman"/>
          <w:b/>
        </w:rPr>
        <w:t xml:space="preserve"> ustanovenia </w:t>
      </w:r>
      <w:r w:rsidR="006D62C4" w:rsidRPr="00F7434F">
        <w:rPr>
          <w:rFonts w:ascii="Book Antiqua" w:hAnsi="Book Antiqua" w:cs="Times New Roman"/>
          <w:b/>
        </w:rPr>
        <w:t xml:space="preserve">upravujúce </w:t>
      </w:r>
      <w:r w:rsidRPr="00F7434F">
        <w:rPr>
          <w:rFonts w:ascii="Book Antiqua" w:hAnsi="Book Antiqua" w:cs="Times New Roman"/>
          <w:b/>
        </w:rPr>
        <w:t xml:space="preserve">spracúvanie osobných údajov </w:t>
      </w:r>
      <w:r w:rsidR="008D1AAF" w:rsidRPr="00F7434F">
        <w:rPr>
          <w:rFonts w:ascii="Book Antiqua" w:hAnsi="Book Antiqua" w:cs="Times New Roman"/>
          <w:b/>
        </w:rPr>
        <w:t xml:space="preserve">pri </w:t>
      </w:r>
      <w:r w:rsidR="00794C3B" w:rsidRPr="00F7434F">
        <w:rPr>
          <w:rFonts w:ascii="Book Antiqua" w:hAnsi="Book Antiqua" w:cs="Times New Roman"/>
          <w:b/>
        </w:rPr>
        <w:t>vykonávaní mechanizmu na podporu obnovy a odolnosti</w:t>
      </w:r>
      <w:r w:rsidR="006D62C4" w:rsidRPr="00F7434F">
        <w:rPr>
          <w:rFonts w:ascii="Book Antiqua" w:hAnsi="Book Antiqua" w:cs="Times New Roman"/>
          <w:b/>
        </w:rPr>
        <w:t xml:space="preserve"> a vychádza </w:t>
      </w:r>
      <w:r w:rsidR="00912BB7" w:rsidRPr="00F7434F">
        <w:rPr>
          <w:rFonts w:ascii="Book Antiqua" w:hAnsi="Book Antiqua" w:cs="Times New Roman"/>
          <w:b/>
        </w:rPr>
        <w:t>z</w:t>
      </w:r>
      <w:r w:rsidR="006D62C4" w:rsidRPr="00F7434F">
        <w:rPr>
          <w:rFonts w:ascii="Book Antiqua" w:hAnsi="Book Antiqua" w:cs="Times New Roman"/>
          <w:b/>
        </w:rPr>
        <w:t xml:space="preserve"> požiadaviek </w:t>
      </w:r>
      <w:r w:rsidR="00912BB7" w:rsidRPr="00F7434F">
        <w:rPr>
          <w:rFonts w:ascii="Book Antiqua" w:hAnsi="Book Antiqua" w:cs="Times New Roman"/>
          <w:b/>
        </w:rPr>
        <w:t xml:space="preserve">aplikačnej praxe. </w:t>
      </w:r>
    </w:p>
    <w:bookmarkEnd w:id="3"/>
    <w:p w14:paraId="723B916A" w14:textId="26F25C19" w:rsidR="00D13439" w:rsidRPr="00F7434F" w:rsidRDefault="00A475E2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  <w:r w:rsidRPr="00F7434F">
        <w:rPr>
          <w:rFonts w:ascii="Book Antiqua" w:hAnsi="Book Antiqua" w:cs="Times New Roman"/>
        </w:rPr>
        <w:t>Návrh zákona nemá vplyv na rozpočet verejnej správy, sociálne vplyvy, vplyvy na životné prostredie,</w:t>
      </w:r>
      <w:r w:rsidR="005B2B63" w:rsidRPr="00F7434F">
        <w:rPr>
          <w:rFonts w:ascii="Book Antiqua" w:hAnsi="Book Antiqua" w:cs="Times New Roman"/>
        </w:rPr>
        <w:t xml:space="preserve"> </w:t>
      </w:r>
      <w:r w:rsidRPr="00F7434F">
        <w:rPr>
          <w:rFonts w:ascii="Book Antiqua" w:hAnsi="Book Antiqua" w:cs="Times New Roman"/>
        </w:rPr>
        <w:t>vplyvy na manželstvo, rodičovstvo a</w:t>
      </w:r>
      <w:r w:rsidR="0097552A" w:rsidRPr="00F7434F">
        <w:rPr>
          <w:rFonts w:ascii="Book Antiqua" w:hAnsi="Book Antiqua" w:cs="Times New Roman"/>
        </w:rPr>
        <w:t> </w:t>
      </w:r>
      <w:r w:rsidRPr="00F7434F">
        <w:rPr>
          <w:rFonts w:ascii="Book Antiqua" w:hAnsi="Book Antiqua" w:cs="Times New Roman"/>
        </w:rPr>
        <w:t>rodinu</w:t>
      </w:r>
      <w:r w:rsidR="0097552A" w:rsidRPr="00F7434F">
        <w:rPr>
          <w:rFonts w:ascii="Book Antiqua" w:hAnsi="Book Antiqua" w:cs="Times New Roman"/>
        </w:rPr>
        <w:t>,</w:t>
      </w:r>
      <w:r w:rsidRPr="00F7434F">
        <w:rPr>
          <w:rFonts w:ascii="Book Antiqua" w:hAnsi="Book Antiqua" w:cs="Times New Roman"/>
        </w:rPr>
        <w:t xml:space="preserve"> na informatizáciu spoločnosti, ani na služby verejnej správy pre občana</w:t>
      </w:r>
      <w:r w:rsidR="0097552A" w:rsidRPr="00F7434F">
        <w:rPr>
          <w:rFonts w:ascii="Book Antiqua" w:hAnsi="Book Antiqua" w:cs="Times New Roman"/>
        </w:rPr>
        <w:t xml:space="preserve"> a</w:t>
      </w:r>
      <w:r w:rsidRPr="00F7434F">
        <w:rPr>
          <w:rFonts w:ascii="Book Antiqua" w:hAnsi="Book Antiqua" w:cs="Times New Roman"/>
        </w:rPr>
        <w:t xml:space="preserve"> </w:t>
      </w:r>
      <w:r w:rsidR="00794C3B" w:rsidRPr="00F7434F">
        <w:rPr>
          <w:rFonts w:ascii="Book Antiqua" w:hAnsi="Book Antiqua" w:cs="Times New Roman"/>
        </w:rPr>
        <w:t>ne</w:t>
      </w:r>
      <w:r w:rsidRPr="00F7434F">
        <w:rPr>
          <w:rFonts w:ascii="Book Antiqua" w:hAnsi="Book Antiqua" w:cs="Times New Roman"/>
        </w:rPr>
        <w:t>má vplyv</w:t>
      </w:r>
      <w:r w:rsidR="00794C3B" w:rsidRPr="00F7434F">
        <w:rPr>
          <w:rFonts w:ascii="Book Antiqua" w:hAnsi="Book Antiqua" w:cs="Times New Roman"/>
        </w:rPr>
        <w:t>y</w:t>
      </w:r>
      <w:r w:rsidRPr="00F7434F">
        <w:rPr>
          <w:rFonts w:ascii="Book Antiqua" w:hAnsi="Book Antiqua" w:cs="Times New Roman"/>
        </w:rPr>
        <w:t xml:space="preserve"> na podnikateľské prostredie. </w:t>
      </w:r>
    </w:p>
    <w:p w14:paraId="7DB9C276" w14:textId="5A6625D9" w:rsidR="00F7434F" w:rsidRPr="00F7434F" w:rsidRDefault="00F7434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  <w:r w:rsidRPr="00F7434F">
        <w:rPr>
          <w:rFonts w:ascii="Book Antiqua" w:hAnsi="Book Antiqua" w:cs="Times New Roman"/>
        </w:rPr>
        <w:t>Predkladaný návrh zákona je v súlade s Ústavou Slovenskej republiky, ústavnými zákonmi, s nálezmi Ústavného súdu Slovenskej republiky, inými právnymi predpismi Slovenskej republiky, medzinárodnými zmluvami, inými medzinárodnými dokumentmi, ktorými je Slovenská republika viazaná a s právom Európskej únie.</w:t>
      </w:r>
    </w:p>
    <w:p w14:paraId="7F31CE28" w14:textId="77777777" w:rsidR="005B2B63" w:rsidRPr="00F7434F" w:rsidRDefault="005B2B63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197DD041" w14:textId="77777777" w:rsidR="005B2B63" w:rsidRPr="00F7434F" w:rsidRDefault="005B2B63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0E342B04" w14:textId="77777777" w:rsidR="00FE2AB5" w:rsidRPr="00F7434F" w:rsidRDefault="00FE2AB5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4F75F462" w14:textId="77777777" w:rsidR="008D1AAF" w:rsidRPr="00F7434F" w:rsidRDefault="008D1AA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0FA534AF" w14:textId="77777777" w:rsidR="008D1AAF" w:rsidRPr="00F7434F" w:rsidRDefault="008D1AA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4A557E96" w14:textId="77777777" w:rsidR="008D1AAF" w:rsidRPr="00F7434F" w:rsidRDefault="008D1AA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323C842C" w14:textId="77777777" w:rsidR="008D1AAF" w:rsidRPr="00F7434F" w:rsidRDefault="008D1AA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6EF46195" w14:textId="77777777" w:rsidR="008D1AAF" w:rsidRPr="00F7434F" w:rsidRDefault="008D1AA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194F7065" w14:textId="77777777" w:rsidR="008D1AAF" w:rsidRPr="00F7434F" w:rsidRDefault="008D1AA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2B00116D" w14:textId="77777777" w:rsidR="008D1AAF" w:rsidRPr="00F7434F" w:rsidRDefault="008D1AA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4319223D" w14:textId="77777777" w:rsidR="008D1AAF" w:rsidRPr="00F7434F" w:rsidRDefault="008D1AA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4EFE7BE8" w14:textId="77777777" w:rsidR="008D1AAF" w:rsidRPr="00F7434F" w:rsidRDefault="008D1AA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3935C703" w14:textId="77777777" w:rsidR="008D1AAF" w:rsidRPr="00F7434F" w:rsidRDefault="008D1AA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7E019331" w14:textId="77777777" w:rsidR="008D1AAF" w:rsidRPr="00F7434F" w:rsidRDefault="008D1AAF" w:rsidP="00F7434F">
      <w:pPr>
        <w:spacing w:before="120" w:after="0" w:line="276" w:lineRule="auto"/>
        <w:ind w:firstLine="580"/>
        <w:jc w:val="both"/>
        <w:rPr>
          <w:rFonts w:ascii="Book Antiqua" w:hAnsi="Book Antiqua" w:cs="Times New Roman"/>
        </w:rPr>
      </w:pPr>
    </w:p>
    <w:p w14:paraId="2B35819E" w14:textId="77777777" w:rsidR="008D1AAF" w:rsidRDefault="008D1AAF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37C02652" w14:textId="77777777" w:rsidR="00F7434F" w:rsidRDefault="00F7434F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618AD7A0" w14:textId="77777777" w:rsidR="00F7434F" w:rsidRDefault="00F7434F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267F0C0A" w14:textId="77777777" w:rsidR="00F7434F" w:rsidRPr="00F7434F" w:rsidRDefault="00F7434F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72467808" w14:textId="08E364B7" w:rsidR="00D13439" w:rsidRPr="00F7434F" w:rsidRDefault="00D13439" w:rsidP="00F7434F">
      <w:pPr>
        <w:pStyle w:val="Default"/>
        <w:numPr>
          <w:ilvl w:val="0"/>
          <w:numId w:val="2"/>
        </w:numPr>
        <w:spacing w:before="120" w:line="276" w:lineRule="auto"/>
        <w:ind w:left="426" w:hanging="426"/>
        <w:rPr>
          <w:rFonts w:ascii="Book Antiqua" w:hAnsi="Book Antiqua"/>
          <w:b/>
          <w:bCs/>
          <w:sz w:val="22"/>
          <w:szCs w:val="22"/>
        </w:rPr>
      </w:pPr>
      <w:r w:rsidRPr="00F7434F">
        <w:rPr>
          <w:rFonts w:ascii="Book Antiqua" w:hAnsi="Book Antiqua"/>
          <w:b/>
          <w:bCs/>
          <w:sz w:val="22"/>
          <w:szCs w:val="22"/>
        </w:rPr>
        <w:t>Osobitná časť</w:t>
      </w:r>
    </w:p>
    <w:p w14:paraId="1477B3BC" w14:textId="77777777" w:rsidR="00D13439" w:rsidRPr="00F7434F" w:rsidRDefault="00D13439" w:rsidP="00F7434F">
      <w:pPr>
        <w:pStyle w:val="Default"/>
        <w:spacing w:before="120" w:line="276" w:lineRule="auto"/>
        <w:ind w:left="426"/>
        <w:rPr>
          <w:rFonts w:ascii="Book Antiqua" w:hAnsi="Book Antiqua"/>
          <w:b/>
          <w:bCs/>
          <w:sz w:val="22"/>
          <w:szCs w:val="22"/>
        </w:rPr>
      </w:pPr>
    </w:p>
    <w:p w14:paraId="4F36EB45" w14:textId="77777777" w:rsidR="00D13439" w:rsidRPr="00F7434F" w:rsidRDefault="00D13439" w:rsidP="00F7434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F7434F">
        <w:rPr>
          <w:rFonts w:ascii="Book Antiqua" w:hAnsi="Book Antiqua" w:cs="Times New Roman"/>
          <w:b/>
        </w:rPr>
        <w:t>Čl. I</w:t>
      </w:r>
    </w:p>
    <w:p w14:paraId="25D551F5" w14:textId="41B67182" w:rsidR="008B68B3" w:rsidRPr="00F7434F" w:rsidRDefault="00F7434F" w:rsidP="00F7434F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>Návrhom zákona sa spresňuje</w:t>
      </w:r>
      <w:r w:rsidR="008B68B3" w:rsidRPr="00F7434F">
        <w:rPr>
          <w:rFonts w:ascii="Book Antiqua" w:hAnsi="Book Antiqua" w:cs="Times New Roman"/>
          <w:bCs/>
        </w:rPr>
        <w:t xml:space="preserve"> ustanoveni</w:t>
      </w:r>
      <w:r w:rsidR="00DF79DC" w:rsidRPr="00F7434F">
        <w:rPr>
          <w:rFonts w:ascii="Book Antiqua" w:hAnsi="Book Antiqua" w:cs="Times New Roman"/>
          <w:bCs/>
        </w:rPr>
        <w:t>e</w:t>
      </w:r>
      <w:r w:rsidR="008B68B3" w:rsidRPr="00F7434F">
        <w:rPr>
          <w:rFonts w:ascii="Book Antiqua" w:hAnsi="Book Antiqua" w:cs="Times New Roman"/>
          <w:bCs/>
        </w:rPr>
        <w:t xml:space="preserve"> o spracúvaní osobných údajov, pričom sa kladie dôraz na </w:t>
      </w:r>
      <w:r w:rsidR="00BC2A4D" w:rsidRPr="00F7434F">
        <w:rPr>
          <w:rFonts w:ascii="Book Antiqua" w:hAnsi="Book Antiqua" w:cs="Times New Roman"/>
          <w:bCs/>
        </w:rPr>
        <w:t>s</w:t>
      </w:r>
      <w:r w:rsidR="008B68B3" w:rsidRPr="00F7434F">
        <w:rPr>
          <w:rFonts w:ascii="Book Antiqua" w:hAnsi="Book Antiqua" w:cs="Times New Roman"/>
          <w:bCs/>
        </w:rPr>
        <w:t>presnenie kategórií fyzických osôb, ktorých osobné údaje sa spracúvajú</w:t>
      </w:r>
      <w:r w:rsidR="00DF79DC" w:rsidRPr="00F7434F">
        <w:rPr>
          <w:rFonts w:ascii="Book Antiqua" w:hAnsi="Book Antiqua" w:cs="Times New Roman"/>
          <w:bCs/>
        </w:rPr>
        <w:t xml:space="preserve">. Oprávnenie spracúvať osobné údaje je už v súčasnosti limitované na prípady, </w:t>
      </w:r>
      <w:r w:rsidR="008B68B3" w:rsidRPr="00F7434F">
        <w:rPr>
          <w:rFonts w:ascii="Book Antiqua" w:hAnsi="Book Antiqua" w:cs="Times New Roman"/>
          <w:bCs/>
        </w:rPr>
        <w:t>ak je to potrebné na plnenie úloh podľa zákona č. 368/2021 Z. z. o mechanizme na podporu obnovy a odolnosti a o zmene a doplnení niektorých zákonov v znení neskorších predpisov</w:t>
      </w:r>
      <w:r>
        <w:rPr>
          <w:rFonts w:ascii="Book Antiqua" w:hAnsi="Book Antiqua" w:cs="Times New Roman"/>
          <w:bCs/>
        </w:rPr>
        <w:t xml:space="preserve"> </w:t>
      </w:r>
      <w:r w:rsidR="00DF79DC" w:rsidRPr="00F7434F">
        <w:rPr>
          <w:rFonts w:ascii="Book Antiqua" w:hAnsi="Book Antiqua" w:cs="Times New Roman"/>
          <w:bCs/>
        </w:rPr>
        <w:t>alebo osobitných predpisov</w:t>
      </w:r>
      <w:r w:rsidR="008B68B3" w:rsidRPr="00F7434F">
        <w:rPr>
          <w:rFonts w:ascii="Book Antiqua" w:hAnsi="Book Antiqua" w:cs="Times New Roman"/>
          <w:bCs/>
        </w:rPr>
        <w:t>.</w:t>
      </w:r>
    </w:p>
    <w:p w14:paraId="0F2D67EA" w14:textId="77777777" w:rsidR="00F7434F" w:rsidRDefault="00F7434F" w:rsidP="00F7434F">
      <w:pPr>
        <w:spacing w:before="120" w:after="0" w:line="276" w:lineRule="auto"/>
        <w:rPr>
          <w:rFonts w:ascii="Book Antiqua" w:hAnsi="Book Antiqua" w:cs="Times New Roman"/>
          <w:bCs/>
        </w:rPr>
      </w:pPr>
    </w:p>
    <w:p w14:paraId="47CDDAE8" w14:textId="3F3CC134" w:rsidR="009C4C39" w:rsidRPr="00F7434F" w:rsidRDefault="009C4C39" w:rsidP="00F7434F">
      <w:pPr>
        <w:spacing w:before="120" w:after="0" w:line="276" w:lineRule="auto"/>
        <w:rPr>
          <w:rFonts w:ascii="Book Antiqua" w:hAnsi="Book Antiqua" w:cs="Times New Roman"/>
          <w:b/>
        </w:rPr>
      </w:pPr>
      <w:r w:rsidRPr="00F7434F">
        <w:rPr>
          <w:rFonts w:ascii="Book Antiqua" w:hAnsi="Book Antiqua" w:cs="Times New Roman"/>
          <w:b/>
        </w:rPr>
        <w:t>Čl. II</w:t>
      </w:r>
    </w:p>
    <w:p w14:paraId="0F3E5FAC" w14:textId="7A84798E" w:rsidR="00727972" w:rsidRPr="00F7434F" w:rsidRDefault="00F7434F" w:rsidP="00F7434F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F7434F">
        <w:rPr>
          <w:rFonts w:ascii="Book Antiqua" w:hAnsi="Book Antiqua" w:cs="Times New Roman"/>
        </w:rPr>
        <w:t>S prihliadnutím na primeranú legisvakančnú dobu sa navrhuje účinnosť zákona na 15. júla 2023</w:t>
      </w:r>
      <w:r w:rsidR="0007646A" w:rsidRPr="00F7434F">
        <w:rPr>
          <w:rFonts w:ascii="Book Antiqua" w:hAnsi="Book Antiqua" w:cs="Times New Roman"/>
        </w:rPr>
        <w:t>.</w:t>
      </w:r>
    </w:p>
    <w:p w14:paraId="57D309E5" w14:textId="562F71FA" w:rsidR="00052C4D" w:rsidRPr="00F7434F" w:rsidRDefault="00052C4D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20F8D11B" w14:textId="047ABCC6" w:rsidR="00052C4D" w:rsidRPr="00F7434F" w:rsidRDefault="00052C4D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73A8A1BD" w14:textId="2751B723" w:rsidR="00052C4D" w:rsidRPr="00F7434F" w:rsidRDefault="00052C4D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04EB8DB7" w14:textId="5BA84A58" w:rsidR="00052C4D" w:rsidRPr="00F7434F" w:rsidRDefault="00052C4D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6238F9E4" w14:textId="3ED79D8F" w:rsidR="00052C4D" w:rsidRPr="00F7434F" w:rsidRDefault="00052C4D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70C448D8" w14:textId="352B74C4" w:rsidR="00052C4D" w:rsidRPr="00F7434F" w:rsidRDefault="00052C4D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5F2B4510" w14:textId="1A056A0E" w:rsidR="00052C4D" w:rsidRPr="00F7434F" w:rsidRDefault="00052C4D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5CC25C7F" w14:textId="276363EE" w:rsidR="00052C4D" w:rsidRPr="00F7434F" w:rsidRDefault="00052C4D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2AFD7B9A" w14:textId="27542A83" w:rsidR="00052C4D" w:rsidRPr="00F7434F" w:rsidRDefault="00052C4D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62EFAD18" w14:textId="1FD069D5" w:rsidR="009E1100" w:rsidRPr="00F7434F" w:rsidRDefault="009E1100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1978CA60" w14:textId="49F88EFB" w:rsidR="009E1100" w:rsidRPr="00F7434F" w:rsidRDefault="009E1100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5F91FF4F" w14:textId="7EFC6884" w:rsidR="009E1100" w:rsidRPr="00F7434F" w:rsidRDefault="009E1100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34428298" w14:textId="7698D7C2" w:rsidR="009E1100" w:rsidRPr="00F7434F" w:rsidRDefault="009E1100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609A25CF" w14:textId="14A96B9D" w:rsidR="009E1100" w:rsidRPr="00F7434F" w:rsidRDefault="009E1100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429231B7" w14:textId="7D89FE7C" w:rsidR="009E1100" w:rsidRPr="00F7434F" w:rsidRDefault="009E1100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31F4E66A" w14:textId="1B3844A8" w:rsidR="009E1100" w:rsidRPr="00F7434F" w:rsidRDefault="009E1100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58AE93D5" w14:textId="77777777" w:rsidR="009E1100" w:rsidRPr="00F7434F" w:rsidRDefault="009E1100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736EDCE4" w14:textId="7F1D0CE9" w:rsidR="00052C4D" w:rsidRPr="00F7434F" w:rsidRDefault="00052C4D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645C9BF3" w14:textId="77777777" w:rsidR="00D617E7" w:rsidRPr="00F7434F" w:rsidRDefault="00D617E7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1885510A" w14:textId="4D82B2FD" w:rsidR="00052C4D" w:rsidRPr="00F7434F" w:rsidRDefault="00052C4D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4F6EDA5F" w14:textId="6ABC49EC" w:rsidR="00052C4D" w:rsidRPr="00F7434F" w:rsidRDefault="00052C4D" w:rsidP="00F7434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4E1B0AD8" w14:textId="77777777" w:rsidR="00052C4D" w:rsidRPr="00F7434F" w:rsidRDefault="00052C4D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caps/>
          <w:spacing w:val="30"/>
          <w:lang w:eastAsia="sk-SK"/>
        </w:rPr>
        <w:t>DOLOŽKA ZLUČITEĽNOSTI</w:t>
      </w:r>
    </w:p>
    <w:p w14:paraId="7E7BE0AC" w14:textId="77777777" w:rsidR="00052C4D" w:rsidRPr="00F7434F" w:rsidRDefault="00052C4D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lang w:eastAsia="sk-SK"/>
        </w:rPr>
        <w:t>návrhu zákona</w:t>
      </w:r>
      <w:r w:rsidRPr="00F7434F">
        <w:rPr>
          <w:rFonts w:ascii="Book Antiqua" w:eastAsia="Times New Roman" w:hAnsi="Book Antiqua" w:cs="Times New Roman"/>
          <w:lang w:eastAsia="sk-SK"/>
        </w:rPr>
        <w:t xml:space="preserve"> </w:t>
      </w:r>
      <w:r w:rsidRPr="00F7434F">
        <w:rPr>
          <w:rFonts w:ascii="Book Antiqua" w:eastAsia="Times New Roman" w:hAnsi="Book Antiqua" w:cs="Times New Roman"/>
          <w:b/>
          <w:bCs/>
          <w:lang w:eastAsia="sk-SK"/>
        </w:rPr>
        <w:t>s právom Európskej únie</w:t>
      </w:r>
    </w:p>
    <w:p w14:paraId="71672F60" w14:textId="77777777" w:rsidR="00052C4D" w:rsidRPr="00F7434F" w:rsidRDefault="00052C4D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lang w:eastAsia="sk-SK"/>
        </w:rPr>
        <w:t> </w:t>
      </w:r>
    </w:p>
    <w:p w14:paraId="1E9170AF" w14:textId="77777777" w:rsidR="00052C4D" w:rsidRPr="00F7434F" w:rsidRDefault="00052C4D" w:rsidP="00F7434F">
      <w:pPr>
        <w:numPr>
          <w:ilvl w:val="0"/>
          <w:numId w:val="6"/>
        </w:numPr>
        <w:spacing w:before="120" w:after="0" w:line="276" w:lineRule="auto"/>
        <w:ind w:left="426"/>
        <w:jc w:val="both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lang w:eastAsia="sk-SK"/>
        </w:rPr>
        <w:t>Navrhovateľ zákona:</w:t>
      </w:r>
      <w:r w:rsidRPr="00F7434F">
        <w:rPr>
          <w:rFonts w:ascii="Book Antiqua" w:eastAsia="Times New Roman" w:hAnsi="Book Antiqua" w:cs="Times New Roman"/>
          <w:lang w:eastAsia="sk-SK"/>
        </w:rPr>
        <w:t xml:space="preserve"> poslanec Národnej rady Slovenskej republiky Milan Vetrák</w:t>
      </w:r>
    </w:p>
    <w:p w14:paraId="4C9CB853" w14:textId="77777777" w:rsidR="00052C4D" w:rsidRPr="00F7434F" w:rsidRDefault="00052C4D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lang w:eastAsia="sk-SK"/>
        </w:rPr>
        <w:t> </w:t>
      </w:r>
    </w:p>
    <w:p w14:paraId="33581E52" w14:textId="7B6B6EAA" w:rsidR="00052C4D" w:rsidRPr="00F7434F" w:rsidRDefault="00052C4D" w:rsidP="00F7434F">
      <w:pPr>
        <w:numPr>
          <w:ilvl w:val="0"/>
          <w:numId w:val="6"/>
        </w:numPr>
        <w:spacing w:before="120" w:after="0" w:line="276" w:lineRule="auto"/>
        <w:ind w:left="426"/>
        <w:jc w:val="both"/>
        <w:rPr>
          <w:rFonts w:ascii="Book Antiqua" w:eastAsia="Times New Roman" w:hAnsi="Book Antiqua" w:cs="Times New Roman"/>
          <w:bCs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lang w:eastAsia="sk-SK"/>
        </w:rPr>
        <w:t>Názov návrhu zákona</w:t>
      </w:r>
      <w:r w:rsidRPr="00F7434F">
        <w:rPr>
          <w:rFonts w:ascii="Book Antiqua" w:eastAsia="Times New Roman" w:hAnsi="Book Antiqua" w:cs="Times New Roman"/>
          <w:bCs/>
          <w:lang w:eastAsia="sk-SK"/>
        </w:rPr>
        <w:t xml:space="preserve">: </w:t>
      </w:r>
      <w:bookmarkStart w:id="4" w:name="_Hlk127447048"/>
      <w:r w:rsidR="00F7434F">
        <w:rPr>
          <w:rFonts w:ascii="Book Antiqua" w:eastAsia="Times New Roman" w:hAnsi="Book Antiqua" w:cs="Times New Roman"/>
          <w:bCs/>
          <w:lang w:eastAsia="sk-SK"/>
        </w:rPr>
        <w:t xml:space="preserve"> návrh </w:t>
      </w:r>
      <w:r w:rsidR="00297B45" w:rsidRPr="00F7434F">
        <w:rPr>
          <w:rFonts w:ascii="Book Antiqua" w:eastAsia="Times New Roman" w:hAnsi="Book Antiqua" w:cs="Times New Roman"/>
          <w:bCs/>
          <w:lang w:eastAsia="sk-SK"/>
        </w:rPr>
        <w:t xml:space="preserve">na vydanie zákona, ktorým sa mení </w:t>
      </w:r>
      <w:r w:rsidR="00F7434F">
        <w:rPr>
          <w:rFonts w:ascii="Book Antiqua" w:eastAsia="Times New Roman" w:hAnsi="Book Antiqua" w:cs="Times New Roman"/>
          <w:bCs/>
          <w:lang w:eastAsia="sk-SK"/>
        </w:rPr>
        <w:t xml:space="preserve">a dopĺňa </w:t>
      </w:r>
      <w:r w:rsidR="00CD584A" w:rsidRPr="00F7434F">
        <w:rPr>
          <w:rFonts w:ascii="Book Antiqua" w:eastAsia="Times New Roman" w:hAnsi="Book Antiqua" w:cs="Times New Roman"/>
          <w:bCs/>
          <w:lang w:eastAsia="sk-SK"/>
        </w:rPr>
        <w:t>zákon</w:t>
      </w:r>
      <w:r w:rsidR="002A647C" w:rsidRPr="00F7434F">
        <w:rPr>
          <w:rFonts w:ascii="Book Antiqua" w:eastAsia="Times New Roman" w:hAnsi="Book Antiqua" w:cs="Times New Roman"/>
          <w:bCs/>
          <w:lang w:eastAsia="sk-SK"/>
        </w:rPr>
        <w:t xml:space="preserve"> </w:t>
      </w:r>
      <w:r w:rsidR="00F7434F">
        <w:rPr>
          <w:rFonts w:ascii="Book Antiqua" w:eastAsia="Times New Roman" w:hAnsi="Book Antiqua" w:cs="Times New Roman"/>
          <w:bCs/>
          <w:lang w:eastAsia="sk-SK"/>
        </w:rPr>
        <w:t xml:space="preserve">         </w:t>
      </w:r>
      <w:r w:rsidR="002A647C" w:rsidRPr="00F7434F">
        <w:rPr>
          <w:rFonts w:ascii="Book Antiqua" w:eastAsia="Times New Roman" w:hAnsi="Book Antiqua" w:cs="Times New Roman"/>
          <w:bCs/>
          <w:lang w:eastAsia="sk-SK"/>
        </w:rPr>
        <w:t>č.</w:t>
      </w:r>
      <w:r w:rsidR="00CD584A" w:rsidRPr="00F7434F">
        <w:rPr>
          <w:rFonts w:ascii="Book Antiqua" w:eastAsia="Times New Roman" w:hAnsi="Book Antiqua" w:cs="Times New Roman"/>
          <w:bCs/>
          <w:lang w:eastAsia="sk-SK"/>
        </w:rPr>
        <w:t xml:space="preserve"> 368/2021 Z. z. o mechanizme na podporu obnovy a odolnosti a o zmene a doplnení niektorých zákonov v znení neskorších predpisov</w:t>
      </w:r>
      <w:r w:rsidR="002A647C" w:rsidRPr="00F7434F">
        <w:rPr>
          <w:rFonts w:ascii="Book Antiqua" w:eastAsia="Times New Roman" w:hAnsi="Book Antiqua" w:cs="Times New Roman"/>
          <w:bCs/>
          <w:lang w:eastAsia="sk-SK"/>
        </w:rPr>
        <w:t>.</w:t>
      </w:r>
    </w:p>
    <w:bookmarkEnd w:id="4"/>
    <w:p w14:paraId="56900548" w14:textId="77777777" w:rsidR="00052C4D" w:rsidRPr="00F7434F" w:rsidRDefault="00052C4D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lang w:eastAsia="sk-SK"/>
        </w:rPr>
      </w:pPr>
    </w:p>
    <w:p w14:paraId="6E277EA9" w14:textId="77777777" w:rsidR="00052C4D" w:rsidRPr="00F7434F" w:rsidRDefault="00052C4D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b/>
          <w:bCs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lang w:eastAsia="sk-SK"/>
        </w:rPr>
        <w:t>3. Predmet návrhu zákona:</w:t>
      </w:r>
    </w:p>
    <w:p w14:paraId="7C32FB9F" w14:textId="0273DB35" w:rsidR="00052C4D" w:rsidRPr="00F7434F" w:rsidRDefault="00F7434F" w:rsidP="00F7434F">
      <w:pPr>
        <w:numPr>
          <w:ilvl w:val="0"/>
          <w:numId w:val="5"/>
        </w:num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lang w:eastAsia="sk-SK"/>
        </w:rPr>
      </w:pPr>
      <w:r w:rsidRPr="000E4C8E">
        <w:rPr>
          <w:rFonts w:ascii="Book Antiqua" w:eastAsia="Times New Roman" w:hAnsi="Book Antiqua" w:cs="Times New Roman"/>
          <w:bCs/>
          <w:lang w:eastAsia="sk-SK"/>
        </w:rPr>
        <w:t>je upravený v primárnom práve Európskej únie</w:t>
      </w:r>
      <w:r w:rsidRPr="000E4C8E">
        <w:rPr>
          <w:rFonts w:ascii="Book Antiqua" w:eastAsia="Times New Roman" w:hAnsi="Book Antiqua" w:cs="Times New Roman"/>
          <w:lang w:eastAsia="sk-SK"/>
        </w:rPr>
        <w:t xml:space="preserve">, a to v čl. </w:t>
      </w:r>
      <w:r>
        <w:rPr>
          <w:rFonts w:ascii="Book Antiqua" w:hAnsi="Book Antiqua"/>
        </w:rPr>
        <w:t>46 písm. d), čl. 149, čl.</w:t>
      </w:r>
      <w:r w:rsidRPr="000E4C8E">
        <w:rPr>
          <w:rFonts w:ascii="Book Antiqua" w:hAnsi="Book Antiqua"/>
        </w:rPr>
        <w:t xml:space="preserve"> 153 ods. 2 </w:t>
      </w:r>
      <w:r>
        <w:rPr>
          <w:rFonts w:ascii="Book Antiqua" w:hAnsi="Book Antiqua"/>
        </w:rPr>
        <w:t>písm. a), čl.</w:t>
      </w:r>
      <w:r w:rsidRPr="000E4C8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164, 172, 175, 177 a 178, čl. 189 ods. 2, čl. 212 ods. 2, čl. 322 ods. 1 a čl.</w:t>
      </w:r>
      <w:r w:rsidRPr="000E4C8E">
        <w:rPr>
          <w:rFonts w:ascii="Book Antiqua" w:hAnsi="Book Antiqua"/>
        </w:rPr>
        <w:t xml:space="preserve"> 349 </w:t>
      </w:r>
      <w:r>
        <w:rPr>
          <w:rFonts w:ascii="Book Antiqua" w:hAnsi="Book Antiqua"/>
        </w:rPr>
        <w:t>Zmluvy o fungovaní Európskej únie v spojení s čl. 106a Zmluvy</w:t>
      </w:r>
      <w:r w:rsidRPr="000E4C8E">
        <w:rPr>
          <w:rFonts w:ascii="Book Antiqua" w:hAnsi="Book Antiqua"/>
        </w:rPr>
        <w:t xml:space="preserve"> o založení Európskeho spoločenstva pre atómovú e</w:t>
      </w:r>
      <w:r>
        <w:rPr>
          <w:rFonts w:ascii="Book Antiqua" w:hAnsi="Book Antiqua"/>
        </w:rPr>
        <w:t>nergiu,</w:t>
      </w:r>
    </w:p>
    <w:p w14:paraId="4AEC080F" w14:textId="4340F26A" w:rsidR="00052C4D" w:rsidRPr="00F7434F" w:rsidRDefault="00052C4D" w:rsidP="00F7434F">
      <w:pPr>
        <w:numPr>
          <w:ilvl w:val="0"/>
          <w:numId w:val="5"/>
        </w:num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lang w:eastAsia="sk-SK"/>
        </w:rPr>
      </w:pPr>
      <w:r w:rsidRPr="00F7434F">
        <w:rPr>
          <w:rFonts w:ascii="Book Antiqua" w:eastAsia="Times New Roman" w:hAnsi="Book Antiqua" w:cs="Times New Roman"/>
          <w:bCs/>
          <w:lang w:eastAsia="sk-SK"/>
        </w:rPr>
        <w:t>je upravený v sekundárnom práve Európskej únie, a</w:t>
      </w:r>
      <w:r w:rsidR="00CD584A" w:rsidRPr="00F7434F">
        <w:rPr>
          <w:rFonts w:ascii="Book Antiqua" w:eastAsia="Times New Roman" w:hAnsi="Book Antiqua" w:cs="Times New Roman"/>
          <w:bCs/>
          <w:lang w:eastAsia="sk-SK"/>
        </w:rPr>
        <w:t> </w:t>
      </w:r>
      <w:r w:rsidRPr="00F7434F">
        <w:rPr>
          <w:rFonts w:ascii="Book Antiqua" w:eastAsia="Times New Roman" w:hAnsi="Book Antiqua" w:cs="Times New Roman"/>
          <w:bCs/>
          <w:lang w:eastAsia="sk-SK"/>
        </w:rPr>
        <w:t>to</w:t>
      </w:r>
      <w:r w:rsidR="00CD584A" w:rsidRPr="00F7434F">
        <w:rPr>
          <w:rFonts w:ascii="Book Antiqua" w:eastAsia="Times New Roman" w:hAnsi="Book Antiqua" w:cs="Times New Roman"/>
          <w:bCs/>
          <w:lang w:eastAsia="sk-SK"/>
        </w:rPr>
        <w:t xml:space="preserve">: </w:t>
      </w:r>
    </w:p>
    <w:p w14:paraId="45A9C2F2" w14:textId="4B30770A" w:rsidR="00CD584A" w:rsidRPr="00F7434F" w:rsidRDefault="00CD584A" w:rsidP="00F7434F">
      <w:pPr>
        <w:spacing w:before="120" w:after="0" w:line="276" w:lineRule="auto"/>
        <w:ind w:left="720"/>
        <w:jc w:val="both"/>
        <w:rPr>
          <w:rFonts w:ascii="Book Antiqua" w:eastAsia="Times New Roman" w:hAnsi="Book Antiqua" w:cs="Times New Roman"/>
          <w:bCs/>
          <w:lang w:eastAsia="sk-SK"/>
        </w:rPr>
      </w:pPr>
      <w:r w:rsidRPr="00F7434F">
        <w:rPr>
          <w:rFonts w:ascii="Book Antiqua" w:eastAsia="Times New Roman" w:hAnsi="Book Antiqua" w:cs="Times New Roman"/>
          <w:bCs/>
          <w:lang w:eastAsia="sk-SK"/>
        </w:rPr>
        <w:t>- nariadenie Európskeho parlamentu a Rady (EÚ) č. 2021/241 z 12. februára 2021, ktorým sa zriaďuje Mechanizmus na podporu obnovy a odolnosti,</w:t>
      </w:r>
    </w:p>
    <w:p w14:paraId="1CA88506" w14:textId="29BBBFE8" w:rsidR="00CD584A" w:rsidRPr="00F7434F" w:rsidRDefault="00CD584A" w:rsidP="00F7434F">
      <w:pPr>
        <w:spacing w:before="120" w:after="0" w:line="276" w:lineRule="auto"/>
        <w:ind w:left="720"/>
        <w:jc w:val="both"/>
        <w:rPr>
          <w:rFonts w:ascii="Book Antiqua" w:eastAsia="Times New Roman" w:hAnsi="Book Antiqua" w:cs="Times New Roman"/>
          <w:bCs/>
          <w:lang w:eastAsia="sk-SK"/>
        </w:rPr>
      </w:pPr>
      <w:r w:rsidRPr="00F7434F">
        <w:rPr>
          <w:rFonts w:ascii="Book Antiqua" w:eastAsia="Times New Roman" w:hAnsi="Book Antiqua" w:cs="Times New Roman"/>
          <w:bCs/>
          <w:lang w:eastAsia="sk-SK"/>
        </w:rPr>
        <w:t>- nariadenie Európskeho parlamentu a Rady (EÚ, Euratom) 2018/1046 o rozpočtových pravidlách, ktoré sa vzťahujú na všeobecný rozpočet Únie.</w:t>
      </w:r>
    </w:p>
    <w:p w14:paraId="2DA0A6DF" w14:textId="6D749CFC" w:rsidR="00CD584A" w:rsidRPr="00F7434F" w:rsidRDefault="00CD584A" w:rsidP="00F7434F">
      <w:pPr>
        <w:spacing w:before="120" w:after="0" w:line="276" w:lineRule="auto"/>
        <w:ind w:left="720"/>
        <w:jc w:val="both"/>
        <w:rPr>
          <w:rFonts w:ascii="Book Antiqua" w:eastAsia="Times New Roman" w:hAnsi="Book Antiqua" w:cs="Times New Roman"/>
          <w:bCs/>
          <w:lang w:eastAsia="sk-SK"/>
        </w:rPr>
      </w:pPr>
      <w:r w:rsidRPr="00F7434F">
        <w:rPr>
          <w:rFonts w:ascii="Book Antiqua" w:eastAsia="Times New Roman" w:hAnsi="Book Antiqua" w:cs="Times New Roman"/>
          <w:bCs/>
          <w:lang w:eastAsia="sk-SK"/>
        </w:rPr>
        <w:t>- vykonávacie rozhodnutie Rady Európskej únie č. ST 10156/21; ST 10156/21 COR1; ST 10156/21 ADD o schválení posúdenia plánu obnovy a odolnosti Slovenskej republiky.</w:t>
      </w:r>
    </w:p>
    <w:p w14:paraId="5BFE06AF" w14:textId="77777777" w:rsidR="00052C4D" w:rsidRPr="00F7434F" w:rsidRDefault="00052C4D" w:rsidP="00F7434F">
      <w:pPr>
        <w:numPr>
          <w:ilvl w:val="0"/>
          <w:numId w:val="5"/>
        </w:num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lang w:eastAsia="sk-SK"/>
        </w:rPr>
      </w:pPr>
      <w:r w:rsidRPr="00F7434F">
        <w:rPr>
          <w:rFonts w:ascii="Book Antiqua" w:eastAsia="Times New Roman" w:hAnsi="Book Antiqua" w:cs="Times New Roman"/>
          <w:bCs/>
          <w:lang w:eastAsia="sk-SK"/>
        </w:rPr>
        <w:t>nie je obsiahnutý v judikatúre Súdneho dvora Európskej únie.</w:t>
      </w:r>
    </w:p>
    <w:p w14:paraId="3B533C3E" w14:textId="77777777" w:rsidR="00052C4D" w:rsidRPr="00F7434F" w:rsidRDefault="00052C4D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lang w:eastAsia="sk-SK"/>
        </w:rPr>
      </w:pPr>
    </w:p>
    <w:p w14:paraId="033AFA1B" w14:textId="77777777" w:rsidR="00052C4D" w:rsidRPr="00F7434F" w:rsidRDefault="00052C4D" w:rsidP="00F7434F">
      <w:pPr>
        <w:numPr>
          <w:ilvl w:val="3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Book Antiqua" w:eastAsia="Calibri" w:hAnsi="Book Antiqua" w:cs="Times New Roman"/>
          <w:b/>
          <w:i/>
        </w:rPr>
      </w:pPr>
      <w:r w:rsidRPr="00F7434F">
        <w:rPr>
          <w:rFonts w:ascii="Book Antiqua" w:eastAsia="Calibri" w:hAnsi="Book Antiqua" w:cs="Times New Roman"/>
          <w:b/>
        </w:rPr>
        <w:t>Záväzky Slovenskej republiky vo vzťahu k Európskej únii:</w:t>
      </w:r>
    </w:p>
    <w:p w14:paraId="0899A0A6" w14:textId="3B391FC3" w:rsidR="00052C4D" w:rsidRPr="00F7434F" w:rsidRDefault="00052C4D" w:rsidP="00F7434F">
      <w:pPr>
        <w:numPr>
          <w:ilvl w:val="0"/>
          <w:numId w:val="9"/>
        </w:numPr>
        <w:spacing w:before="120" w:after="0" w:line="276" w:lineRule="auto"/>
        <w:jc w:val="both"/>
        <w:rPr>
          <w:rFonts w:ascii="Book Antiqua" w:eastAsia="Calibri" w:hAnsi="Book Antiqua" w:cs="Times New Roman"/>
        </w:rPr>
      </w:pPr>
      <w:r w:rsidRPr="00F7434F">
        <w:rPr>
          <w:rFonts w:ascii="Book Antiqua" w:eastAsia="Calibri" w:hAnsi="Book Antiqua" w:cs="Times New Roman"/>
        </w:rPr>
        <w:t>lehota na transpozíciu smernice</w:t>
      </w:r>
      <w:r w:rsidR="005F6EDB" w:rsidRPr="00F7434F">
        <w:rPr>
          <w:rFonts w:ascii="Book Antiqua" w:eastAsia="Calibri" w:hAnsi="Book Antiqua" w:cs="Times New Roman"/>
        </w:rPr>
        <w:t xml:space="preserve">: </w:t>
      </w:r>
      <w:r w:rsidR="002A647C" w:rsidRPr="00F7434F">
        <w:rPr>
          <w:rFonts w:ascii="Book Antiqua" w:eastAsia="Calibri" w:hAnsi="Book Antiqua" w:cs="Times New Roman"/>
        </w:rPr>
        <w:t>neuplatní sa</w:t>
      </w:r>
      <w:r w:rsidRPr="00F7434F">
        <w:rPr>
          <w:rFonts w:ascii="Book Antiqua" w:eastAsia="Calibri" w:hAnsi="Book Antiqua" w:cs="Times New Roman"/>
        </w:rPr>
        <w:t xml:space="preserve">, </w:t>
      </w:r>
    </w:p>
    <w:p w14:paraId="08B4B4B0" w14:textId="77777777" w:rsidR="00052C4D" w:rsidRPr="00F7434F" w:rsidRDefault="00052C4D" w:rsidP="00F7434F">
      <w:pPr>
        <w:numPr>
          <w:ilvl w:val="0"/>
          <w:numId w:val="9"/>
        </w:numPr>
        <w:spacing w:before="120" w:after="0" w:line="276" w:lineRule="auto"/>
        <w:jc w:val="both"/>
        <w:rPr>
          <w:rFonts w:ascii="Book Antiqua" w:eastAsia="Calibri" w:hAnsi="Book Antiqua" w:cs="Times New Roman"/>
        </w:rPr>
      </w:pPr>
      <w:r w:rsidRPr="00F7434F">
        <w:rPr>
          <w:rFonts w:ascii="Book Antiqua" w:eastAsia="Calibri" w:hAnsi="Book Antiqua" w:cs="Times New Roman"/>
        </w:rPr>
        <w:t>v danej oblasti nebol proti Slovenskej republike začatý postup Európskej komisie a ani konanie Súdneho dvora Európskej únie podľa článkov 258 až 260 Zmluvy o fungovaní Európskej únie,</w:t>
      </w:r>
    </w:p>
    <w:p w14:paraId="7655289E" w14:textId="32324391" w:rsidR="005F6EDB" w:rsidRPr="00F7434F" w:rsidRDefault="005F6EDB" w:rsidP="00F7434F">
      <w:pPr>
        <w:numPr>
          <w:ilvl w:val="0"/>
          <w:numId w:val="11"/>
        </w:numPr>
        <w:spacing w:before="120" w:after="0" w:line="276" w:lineRule="auto"/>
        <w:jc w:val="both"/>
        <w:rPr>
          <w:rFonts w:ascii="Book Antiqua" w:eastAsia="Calibri" w:hAnsi="Book Antiqua" w:cs="Times New Roman"/>
        </w:rPr>
      </w:pPr>
      <w:r w:rsidRPr="00F7434F">
        <w:rPr>
          <w:rFonts w:ascii="Book Antiqua" w:eastAsia="Calibri" w:hAnsi="Book Antiqua" w:cs="Times New Roman"/>
        </w:rPr>
        <w:t>informácia o právnych predpisoch, v ktorých sú preberané smernice alebo rámcové rozhodnutia už prebraté spolu s uvedením rozsahu tohto prebratia:</w:t>
      </w:r>
      <w:r w:rsidR="002A647C" w:rsidRPr="00F7434F">
        <w:rPr>
          <w:rFonts w:ascii="Book Antiqua" w:eastAsia="Calibri" w:hAnsi="Book Antiqua" w:cs="Times New Roman"/>
        </w:rPr>
        <w:t xml:space="preserve"> neuplatní sa</w:t>
      </w:r>
      <w:r w:rsidRPr="00F7434F">
        <w:rPr>
          <w:rFonts w:ascii="Book Antiqua" w:eastAsia="Calibri" w:hAnsi="Book Antiqua" w:cs="Times New Roman"/>
        </w:rPr>
        <w:t xml:space="preserve">. </w:t>
      </w:r>
    </w:p>
    <w:p w14:paraId="5BBD49F8" w14:textId="3C0423C5" w:rsidR="00052C4D" w:rsidRPr="00F7434F" w:rsidRDefault="00052C4D" w:rsidP="00F7434F">
      <w:pPr>
        <w:spacing w:before="120" w:after="0" w:line="276" w:lineRule="auto"/>
        <w:ind w:left="720"/>
        <w:jc w:val="both"/>
        <w:rPr>
          <w:rFonts w:ascii="Book Antiqua" w:eastAsia="Times New Roman" w:hAnsi="Book Antiqua" w:cs="Times New Roman"/>
          <w:bCs/>
          <w:lang w:eastAsia="sk-SK"/>
        </w:rPr>
      </w:pPr>
    </w:p>
    <w:p w14:paraId="07CB9B42" w14:textId="77777777" w:rsidR="00052C4D" w:rsidRPr="00F7434F" w:rsidRDefault="00052C4D" w:rsidP="00F7434F">
      <w:pPr>
        <w:numPr>
          <w:ilvl w:val="0"/>
          <w:numId w:val="8"/>
        </w:numPr>
        <w:tabs>
          <w:tab w:val="left" w:pos="341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Book Antiqua" w:eastAsia="Calibri" w:hAnsi="Book Antiqua" w:cs="Times New Roman"/>
          <w:b/>
          <w:color w:val="000000"/>
        </w:rPr>
      </w:pPr>
      <w:r w:rsidRPr="00F7434F">
        <w:rPr>
          <w:rFonts w:ascii="Book Antiqua" w:eastAsia="Calibri" w:hAnsi="Book Antiqua" w:cs="Times New Roman"/>
          <w:b/>
          <w:color w:val="000000"/>
        </w:rPr>
        <w:t>Stupeň zlučiteľnosti návrhu zákona s právom Európskej únie</w:t>
      </w:r>
    </w:p>
    <w:p w14:paraId="4CE22785" w14:textId="31AD281E" w:rsidR="002622E3" w:rsidRPr="00F7434F" w:rsidRDefault="00052C4D" w:rsidP="00F7434F">
      <w:pPr>
        <w:spacing w:before="120" w:after="0" w:line="276" w:lineRule="auto"/>
        <w:ind w:firstLine="57"/>
        <w:jc w:val="both"/>
        <w:rPr>
          <w:rFonts w:ascii="Book Antiqua" w:hAnsi="Book Antiqua" w:cs="Times New Roman"/>
        </w:rPr>
      </w:pPr>
      <w:r w:rsidRPr="00F7434F">
        <w:rPr>
          <w:rFonts w:ascii="Book Antiqua" w:eastAsia="Calibri" w:hAnsi="Book Antiqua" w:cs="Times New Roman"/>
          <w:color w:val="000000"/>
        </w:rPr>
        <w:t>úplný.</w:t>
      </w:r>
      <w:r w:rsidRPr="00F7434F">
        <w:rPr>
          <w:rFonts w:ascii="Book Antiqua" w:eastAsia="Calibri" w:hAnsi="Book Antiqua" w:cs="Times New Roman"/>
          <w:color w:val="000000"/>
        </w:rPr>
        <w:br/>
      </w:r>
    </w:p>
    <w:p w14:paraId="704159E5" w14:textId="77777777" w:rsidR="00F7434F" w:rsidRDefault="00F7434F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</w:pPr>
    </w:p>
    <w:p w14:paraId="35D053BE" w14:textId="77777777" w:rsidR="00E8349A" w:rsidRPr="00F7434F" w:rsidRDefault="00E8349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caps/>
          <w:color w:val="000000"/>
          <w:spacing w:val="30"/>
          <w:lang w:eastAsia="sk-SK"/>
        </w:rPr>
        <w:t>Doložka</w:t>
      </w:r>
    </w:p>
    <w:p w14:paraId="1429693B" w14:textId="77777777" w:rsidR="00E8349A" w:rsidRPr="00F7434F" w:rsidRDefault="00E8349A" w:rsidP="00F7434F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vybraných vplyvov</w:t>
      </w:r>
    </w:p>
    <w:p w14:paraId="13B6C1AC" w14:textId="77777777" w:rsidR="00E8349A" w:rsidRPr="00F7434F" w:rsidRDefault="00E8349A" w:rsidP="00F7434F">
      <w:pPr>
        <w:spacing w:before="120" w:after="0" w:line="276" w:lineRule="auto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color w:val="000000"/>
          <w:lang w:eastAsia="sk-SK"/>
        </w:rPr>
        <w:t> </w:t>
      </w:r>
    </w:p>
    <w:p w14:paraId="132AB7E8" w14:textId="57B29DC5" w:rsidR="00E8349A" w:rsidRPr="00F7434F" w:rsidRDefault="00E8349A" w:rsidP="00F7434F">
      <w:pPr>
        <w:numPr>
          <w:ilvl w:val="0"/>
          <w:numId w:val="8"/>
        </w:num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lang w:eastAsia="sk-SK"/>
        </w:rPr>
      </w:pPr>
      <w:r w:rsidRPr="00F7434F">
        <w:rPr>
          <w:rFonts w:ascii="Book Antiqua" w:eastAsia="Calibri" w:hAnsi="Book Antiqua" w:cs="Times New Roman"/>
          <w:b/>
          <w:bCs/>
          <w:color w:val="000000"/>
        </w:rPr>
        <w:t xml:space="preserve">A.1. Názov materiálu: </w:t>
      </w:r>
      <w:r w:rsidR="00F7434F">
        <w:rPr>
          <w:rFonts w:ascii="Book Antiqua" w:eastAsia="Calibri" w:hAnsi="Book Antiqua" w:cs="Times New Roman"/>
          <w:color w:val="000000"/>
        </w:rPr>
        <w:t xml:space="preserve">návrh </w:t>
      </w:r>
      <w:r w:rsidR="002A647C" w:rsidRPr="00F7434F">
        <w:rPr>
          <w:rFonts w:ascii="Book Antiqua" w:eastAsia="Calibri" w:hAnsi="Book Antiqua" w:cs="Times New Roman"/>
          <w:color w:val="000000"/>
        </w:rPr>
        <w:t xml:space="preserve">na vydanie zákona, ktorým sa mení </w:t>
      </w:r>
      <w:r w:rsidR="00C02B3F">
        <w:rPr>
          <w:rFonts w:ascii="Book Antiqua" w:eastAsia="Calibri" w:hAnsi="Book Antiqua" w:cs="Times New Roman"/>
          <w:color w:val="000000"/>
        </w:rPr>
        <w:t xml:space="preserve">a dopĺňa </w:t>
      </w:r>
      <w:r w:rsidR="009F6520" w:rsidRPr="00F7434F">
        <w:rPr>
          <w:rFonts w:ascii="Book Antiqua" w:eastAsia="Calibri" w:hAnsi="Book Antiqua" w:cs="Times New Roman"/>
          <w:color w:val="000000"/>
        </w:rPr>
        <w:t>zákon</w:t>
      </w:r>
      <w:r w:rsidR="002A647C" w:rsidRPr="00F7434F">
        <w:rPr>
          <w:rFonts w:ascii="Book Antiqua" w:eastAsia="Calibri" w:hAnsi="Book Antiqua" w:cs="Times New Roman"/>
          <w:color w:val="000000"/>
        </w:rPr>
        <w:t xml:space="preserve"> </w:t>
      </w:r>
      <w:r w:rsidR="00C02B3F">
        <w:rPr>
          <w:rFonts w:ascii="Book Antiqua" w:eastAsia="Calibri" w:hAnsi="Book Antiqua" w:cs="Times New Roman"/>
          <w:color w:val="000000"/>
        </w:rPr>
        <w:t xml:space="preserve">             </w:t>
      </w:r>
      <w:r w:rsidR="002A647C" w:rsidRPr="00F7434F">
        <w:rPr>
          <w:rFonts w:ascii="Book Antiqua" w:eastAsia="Calibri" w:hAnsi="Book Antiqua" w:cs="Times New Roman"/>
          <w:color w:val="000000"/>
        </w:rPr>
        <w:t>č.</w:t>
      </w:r>
      <w:r w:rsidR="009F6520" w:rsidRPr="00F7434F">
        <w:rPr>
          <w:rFonts w:ascii="Book Antiqua" w:eastAsia="Calibri" w:hAnsi="Book Antiqua" w:cs="Times New Roman"/>
          <w:color w:val="000000"/>
        </w:rPr>
        <w:t xml:space="preserve"> 368/2021 Z. z. o mechanizme na podporu obnovy a odolnosti a o zmene a doplnení niektorých zákonov v znení neskorších predpisov</w:t>
      </w:r>
      <w:r w:rsidR="002A647C" w:rsidRPr="00F7434F">
        <w:rPr>
          <w:rFonts w:ascii="Book Antiqua" w:eastAsia="Calibri" w:hAnsi="Book Antiqua" w:cs="Times New Roman"/>
          <w:color w:val="000000"/>
        </w:rPr>
        <w:t>.</w:t>
      </w:r>
      <w:r w:rsidRPr="00F7434F">
        <w:rPr>
          <w:rFonts w:ascii="Book Antiqua" w:eastAsia="Times New Roman" w:hAnsi="Book Antiqua" w:cs="Times New Roman"/>
          <w:b/>
          <w:bCs/>
          <w:color w:val="000000"/>
          <w:lang w:eastAsia="sk-SK"/>
        </w:rPr>
        <w:tab/>
      </w:r>
    </w:p>
    <w:p w14:paraId="6400080A" w14:textId="77777777" w:rsidR="00F7434F" w:rsidRDefault="00F7434F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68DDF334" w14:textId="77777777" w:rsidR="00E8349A" w:rsidRPr="00F7434F" w:rsidRDefault="00E8349A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Termín začatia a ukončenia PPK:</w:t>
      </w:r>
      <w:r w:rsidRPr="00F7434F">
        <w:rPr>
          <w:rFonts w:ascii="Book Antiqua" w:eastAsia="Times New Roman" w:hAnsi="Book Antiqua" w:cs="Times New Roman"/>
          <w:color w:val="000000"/>
          <w:lang w:eastAsia="sk-SK"/>
        </w:rPr>
        <w:t xml:space="preserve"> </w:t>
      </w:r>
      <w:r w:rsidRPr="00F7434F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bezpredmetné</w:t>
      </w:r>
    </w:p>
    <w:p w14:paraId="25C80D60" w14:textId="77777777" w:rsidR="00E8349A" w:rsidRPr="00F7434F" w:rsidRDefault="00E8349A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lang w:eastAsia="sk-SK"/>
        </w:rPr>
      </w:pPr>
    </w:p>
    <w:p w14:paraId="06B5DC8B" w14:textId="77777777" w:rsidR="00E8349A" w:rsidRPr="00F7434F" w:rsidRDefault="00E8349A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8"/>
        <w:gridCol w:w="1192"/>
        <w:gridCol w:w="1181"/>
        <w:gridCol w:w="1197"/>
      </w:tblGrid>
      <w:tr w:rsidR="00E8349A" w:rsidRPr="00F7434F" w14:paraId="276D02DC" w14:textId="77777777" w:rsidTr="00270E3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A6A9C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8994C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DBC0B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3DE1E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Negatívne </w:t>
            </w:r>
          </w:p>
        </w:tc>
      </w:tr>
      <w:tr w:rsidR="00E8349A" w:rsidRPr="00F7434F" w14:paraId="17C4F5D6" w14:textId="77777777" w:rsidTr="00270E3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38339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DD842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E1872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lang w:eastAsia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C974C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E8349A" w:rsidRPr="00F7434F" w14:paraId="33AE9675" w14:textId="77777777" w:rsidTr="00270E3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7C132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B8CAD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0D03E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lang w:eastAsia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1BD0D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E8349A" w:rsidRPr="00F7434F" w14:paraId="00B2F5FD" w14:textId="77777777" w:rsidTr="00270E3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ECE5C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F80AD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86435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92CA7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</w:tr>
      <w:tr w:rsidR="00E8349A" w:rsidRPr="00F7434F" w14:paraId="2BB36A79" w14:textId="77777777" w:rsidTr="00270E3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38CED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24BC5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1AAB1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lang w:eastAsia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E3851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</w:tr>
      <w:tr w:rsidR="00E8349A" w:rsidRPr="00F7434F" w14:paraId="53857A38" w14:textId="77777777" w:rsidTr="00270E3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85EEE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E8210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08318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1FD0B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</w:tr>
      <w:tr w:rsidR="00E8349A" w:rsidRPr="00F7434F" w14:paraId="639CA4C9" w14:textId="77777777" w:rsidTr="00270E3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E8D7C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6B167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090B7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lang w:eastAsia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C7D39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</w:tr>
      <w:tr w:rsidR="00E8349A" w:rsidRPr="00F7434F" w14:paraId="2452E283" w14:textId="77777777" w:rsidTr="00270E3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A8BE3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54747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C3108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1C944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</w:tr>
      <w:tr w:rsidR="00E8349A" w:rsidRPr="00F7434F" w14:paraId="611259EA" w14:textId="77777777" w:rsidTr="00270E34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886E5" w14:textId="77777777" w:rsidR="00E8349A" w:rsidRPr="00F7434F" w:rsidRDefault="00E8349A" w:rsidP="00F7434F">
            <w:pPr>
              <w:spacing w:before="120" w:after="0" w:line="276" w:lineRule="auto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BC7BA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9D775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lang w:eastAsia="sk-SK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B4F69" w14:textId="77777777" w:rsidR="00E8349A" w:rsidRPr="00F7434F" w:rsidRDefault="00E8349A" w:rsidP="00F7434F">
            <w:pPr>
              <w:spacing w:before="120" w:after="0" w:line="276" w:lineRule="auto"/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  <w:r w:rsidRPr="00F7434F">
              <w:rPr>
                <w:rFonts w:ascii="Book Antiqua" w:eastAsia="Times New Roman" w:hAnsi="Book Antiqua" w:cs="Times New Roman"/>
                <w:color w:val="000000"/>
                <w:lang w:eastAsia="sk-SK"/>
              </w:rPr>
              <w:t> </w:t>
            </w:r>
          </w:p>
        </w:tc>
      </w:tr>
    </w:tbl>
    <w:p w14:paraId="18105FFE" w14:textId="77777777" w:rsidR="00E8349A" w:rsidRPr="00F7434F" w:rsidRDefault="00E8349A" w:rsidP="00F7434F">
      <w:pPr>
        <w:spacing w:before="120" w:after="0" w:line="276" w:lineRule="auto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color w:val="000000"/>
          <w:lang w:eastAsia="sk-SK"/>
        </w:rPr>
        <w:t> </w:t>
      </w:r>
    </w:p>
    <w:p w14:paraId="473F6206" w14:textId="77777777" w:rsidR="00E8349A" w:rsidRPr="00F7434F" w:rsidRDefault="00E8349A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A.3. Poznámky</w:t>
      </w:r>
    </w:p>
    <w:p w14:paraId="531D69D3" w14:textId="30AD8ED5" w:rsidR="00E8349A" w:rsidRDefault="00E8349A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i/>
          <w:lang w:eastAsia="sk-SK"/>
        </w:rPr>
      </w:pPr>
      <w:r w:rsidRPr="00F7434F">
        <w:rPr>
          <w:rFonts w:ascii="Book Antiqua" w:eastAsia="Times New Roman" w:hAnsi="Book Antiqua" w:cs="Times New Roman"/>
          <w:bCs/>
          <w:i/>
          <w:color w:val="000000"/>
          <w:lang w:eastAsia="sk-SK"/>
        </w:rPr>
        <w:t xml:space="preserve">Predkladaný návrh zákona </w:t>
      </w:r>
      <w:r w:rsidRPr="00F7434F">
        <w:rPr>
          <w:rFonts w:ascii="Book Antiqua" w:eastAsia="Times New Roman" w:hAnsi="Book Antiqua" w:cs="Times New Roman"/>
          <w:i/>
          <w:lang w:eastAsia="sk-SK"/>
        </w:rPr>
        <w:t>nemá vplyv na rozpočet verejnej správy ani na podnikateľské prostredie. Návrh zákona nemá vplyv na životné prostredie ani na informatizáciu spoločnosti a nevyvoláva žiadne sociálne vplyvy.</w:t>
      </w:r>
    </w:p>
    <w:p w14:paraId="610AD02F" w14:textId="77777777" w:rsidR="00F7434F" w:rsidRPr="00F7434F" w:rsidRDefault="00F7434F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i/>
          <w:lang w:eastAsia="sk-SK"/>
        </w:rPr>
      </w:pPr>
    </w:p>
    <w:p w14:paraId="2A71A729" w14:textId="77777777" w:rsidR="00E8349A" w:rsidRPr="00F7434F" w:rsidRDefault="00E8349A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i/>
          <w:color w:val="000000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A.4. Alternatívne riešenia</w:t>
      </w:r>
    </w:p>
    <w:p w14:paraId="65BCEB94" w14:textId="23B4A3E3" w:rsidR="002A647C" w:rsidRDefault="00F7434F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i/>
          <w:color w:val="000000"/>
          <w:lang w:eastAsia="sk-SK"/>
        </w:rPr>
      </w:pPr>
      <w:r>
        <w:rPr>
          <w:rFonts w:ascii="Book Antiqua" w:eastAsia="Times New Roman" w:hAnsi="Book Antiqua" w:cs="Times New Roman"/>
          <w:bCs/>
          <w:i/>
          <w:color w:val="000000"/>
          <w:lang w:eastAsia="sk-SK"/>
        </w:rPr>
        <w:t>bezpredmetné</w:t>
      </w:r>
    </w:p>
    <w:p w14:paraId="76E17C41" w14:textId="77777777" w:rsidR="00F7434F" w:rsidRPr="00F7434F" w:rsidRDefault="00F7434F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i/>
          <w:color w:val="000000"/>
          <w:lang w:eastAsia="sk-SK"/>
        </w:rPr>
      </w:pPr>
    </w:p>
    <w:p w14:paraId="4DBE2938" w14:textId="77777777" w:rsidR="00E8349A" w:rsidRPr="00F7434F" w:rsidRDefault="00E8349A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A.5. Stanovisko gestorov</w:t>
      </w:r>
    </w:p>
    <w:p w14:paraId="61EB957C" w14:textId="147846DD" w:rsidR="00C61C9B" w:rsidRPr="00F7434F" w:rsidRDefault="00E8349A" w:rsidP="00F7434F">
      <w:pPr>
        <w:spacing w:before="120" w:after="0" w:line="276" w:lineRule="auto"/>
        <w:jc w:val="both"/>
        <w:rPr>
          <w:rFonts w:ascii="Book Antiqua" w:eastAsia="Times New Roman" w:hAnsi="Book Antiqua" w:cs="Times New Roman"/>
          <w:lang w:eastAsia="sk-SK"/>
        </w:rPr>
      </w:pPr>
      <w:r w:rsidRPr="00F7434F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Návrh zákona bol zaslaný na vyjadrenie Ministerstvu financií SR a stanovisko tohto ministerstva tvorí súčasť predkladaného materiálu.</w:t>
      </w:r>
    </w:p>
    <w:sectPr w:rsidR="00C61C9B" w:rsidRPr="00F743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52C11" w14:textId="77777777" w:rsidR="00DD5819" w:rsidRDefault="00DD5819" w:rsidP="005926AF">
      <w:pPr>
        <w:spacing w:after="0" w:line="240" w:lineRule="auto"/>
      </w:pPr>
      <w:r>
        <w:separator/>
      </w:r>
    </w:p>
  </w:endnote>
  <w:endnote w:type="continuationSeparator" w:id="0">
    <w:p w14:paraId="4B95DEAD" w14:textId="77777777" w:rsidR="00DD5819" w:rsidRDefault="00DD5819" w:rsidP="005926AF">
      <w:pPr>
        <w:spacing w:after="0" w:line="240" w:lineRule="auto"/>
      </w:pPr>
      <w:r>
        <w:continuationSeparator/>
      </w:r>
    </w:p>
  </w:endnote>
  <w:endnote w:type="continuationNotice" w:id="1">
    <w:p w14:paraId="57FEDB72" w14:textId="77777777" w:rsidR="00DD5819" w:rsidRDefault="00DD58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566738"/>
      <w:docPartObj>
        <w:docPartGallery w:val="Page Numbers (Bottom of Page)"/>
        <w:docPartUnique/>
      </w:docPartObj>
    </w:sdtPr>
    <w:sdtEndPr/>
    <w:sdtContent>
      <w:p w14:paraId="66E8F7A3" w14:textId="60483A4C" w:rsidR="000570B9" w:rsidRDefault="000570B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37A">
          <w:rPr>
            <w:noProof/>
          </w:rPr>
          <w:t>2</w:t>
        </w:r>
        <w:r>
          <w:fldChar w:fldCharType="end"/>
        </w:r>
      </w:p>
    </w:sdtContent>
  </w:sdt>
  <w:p w14:paraId="12712439" w14:textId="77777777" w:rsidR="000570B9" w:rsidRDefault="000570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78B79" w14:textId="77777777" w:rsidR="00DD5819" w:rsidRDefault="00DD5819" w:rsidP="005926AF">
      <w:pPr>
        <w:spacing w:after="0" w:line="240" w:lineRule="auto"/>
      </w:pPr>
      <w:r>
        <w:separator/>
      </w:r>
    </w:p>
  </w:footnote>
  <w:footnote w:type="continuationSeparator" w:id="0">
    <w:p w14:paraId="708B4A1F" w14:textId="77777777" w:rsidR="00DD5819" w:rsidRDefault="00DD5819" w:rsidP="005926AF">
      <w:pPr>
        <w:spacing w:after="0" w:line="240" w:lineRule="auto"/>
      </w:pPr>
      <w:r>
        <w:continuationSeparator/>
      </w:r>
    </w:p>
  </w:footnote>
  <w:footnote w:type="continuationNotice" w:id="1">
    <w:p w14:paraId="78DC4859" w14:textId="77777777" w:rsidR="00DD5819" w:rsidRDefault="00DD58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CC1"/>
    <w:multiLevelType w:val="hybridMultilevel"/>
    <w:tmpl w:val="8C203074"/>
    <w:lvl w:ilvl="0" w:tplc="FFD055AA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</w:rPr>
    </w:lvl>
    <w:lvl w:ilvl="1" w:tplc="A4889BC2">
      <w:start w:val="1"/>
      <w:numFmt w:val="bullet"/>
      <w:lvlText w:val="-"/>
      <w:lvlJc w:val="left"/>
      <w:pPr>
        <w:tabs>
          <w:tab w:val="num" w:pos="1780"/>
        </w:tabs>
        <w:ind w:left="1780" w:hanging="34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500F5C"/>
    <w:multiLevelType w:val="hybridMultilevel"/>
    <w:tmpl w:val="C3F63C90"/>
    <w:lvl w:ilvl="0" w:tplc="7C2AB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2532A"/>
    <w:multiLevelType w:val="hybridMultilevel"/>
    <w:tmpl w:val="8BB2AF9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B7BE6"/>
    <w:multiLevelType w:val="hybridMultilevel"/>
    <w:tmpl w:val="8C1A3B5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AA7BE7"/>
    <w:multiLevelType w:val="hybridMultilevel"/>
    <w:tmpl w:val="947E0AFE"/>
    <w:lvl w:ilvl="0" w:tplc="5ADCFFA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55639C9"/>
    <w:multiLevelType w:val="hybridMultilevel"/>
    <w:tmpl w:val="0BC6F94E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4D7151"/>
    <w:multiLevelType w:val="hybridMultilevel"/>
    <w:tmpl w:val="8C1A3B50"/>
    <w:lvl w:ilvl="0" w:tplc="C16CCF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981672"/>
    <w:multiLevelType w:val="hybridMultilevel"/>
    <w:tmpl w:val="944E001A"/>
    <w:lvl w:ilvl="0" w:tplc="AAB095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27755"/>
    <w:multiLevelType w:val="hybridMultilevel"/>
    <w:tmpl w:val="B68CBE52"/>
    <w:lvl w:ilvl="0" w:tplc="8CAACAF8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4294D61"/>
    <w:multiLevelType w:val="hybridMultilevel"/>
    <w:tmpl w:val="27E2699C"/>
    <w:lvl w:ilvl="0" w:tplc="1EDAD53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6"/>
  </w:num>
  <w:num w:numId="7">
    <w:abstractNumId w:val="11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4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84"/>
    <w:rsid w:val="00000432"/>
    <w:rsid w:val="0002039B"/>
    <w:rsid w:val="00052C4D"/>
    <w:rsid w:val="00054F22"/>
    <w:rsid w:val="000561DC"/>
    <w:rsid w:val="000570B9"/>
    <w:rsid w:val="00060562"/>
    <w:rsid w:val="00072FA7"/>
    <w:rsid w:val="00073BBB"/>
    <w:rsid w:val="0007646A"/>
    <w:rsid w:val="000767DB"/>
    <w:rsid w:val="00081471"/>
    <w:rsid w:val="000820C5"/>
    <w:rsid w:val="000B0C4C"/>
    <w:rsid w:val="000B2001"/>
    <w:rsid w:val="000B3907"/>
    <w:rsid w:val="000B726B"/>
    <w:rsid w:val="000C2E3C"/>
    <w:rsid w:val="000C30BB"/>
    <w:rsid w:val="000D0552"/>
    <w:rsid w:val="000D23A1"/>
    <w:rsid w:val="000D6CB1"/>
    <w:rsid w:val="000F2441"/>
    <w:rsid w:val="001004CE"/>
    <w:rsid w:val="00100C96"/>
    <w:rsid w:val="00106440"/>
    <w:rsid w:val="001104E9"/>
    <w:rsid w:val="001117A0"/>
    <w:rsid w:val="00124BFB"/>
    <w:rsid w:val="001310ED"/>
    <w:rsid w:val="00131FE1"/>
    <w:rsid w:val="00137CC3"/>
    <w:rsid w:val="00143F67"/>
    <w:rsid w:val="00146826"/>
    <w:rsid w:val="00163F39"/>
    <w:rsid w:val="00170A3A"/>
    <w:rsid w:val="001759AC"/>
    <w:rsid w:val="00187084"/>
    <w:rsid w:val="00194877"/>
    <w:rsid w:val="001976DE"/>
    <w:rsid w:val="001A7A28"/>
    <w:rsid w:val="001B0874"/>
    <w:rsid w:val="001B251E"/>
    <w:rsid w:val="001B5DF6"/>
    <w:rsid w:val="001C6494"/>
    <w:rsid w:val="001C6929"/>
    <w:rsid w:val="001C77BA"/>
    <w:rsid w:val="001C7F14"/>
    <w:rsid w:val="001D00EF"/>
    <w:rsid w:val="001D40C4"/>
    <w:rsid w:val="001E08C3"/>
    <w:rsid w:val="001E0F53"/>
    <w:rsid w:val="001E56C0"/>
    <w:rsid w:val="001E7DAB"/>
    <w:rsid w:val="001F267C"/>
    <w:rsid w:val="001F7EBC"/>
    <w:rsid w:val="00202764"/>
    <w:rsid w:val="00216E97"/>
    <w:rsid w:val="0022061A"/>
    <w:rsid w:val="00231295"/>
    <w:rsid w:val="00235EF4"/>
    <w:rsid w:val="002505D1"/>
    <w:rsid w:val="00253E72"/>
    <w:rsid w:val="00260821"/>
    <w:rsid w:val="002622E3"/>
    <w:rsid w:val="00262535"/>
    <w:rsid w:val="002639C8"/>
    <w:rsid w:val="00270B8F"/>
    <w:rsid w:val="00275C09"/>
    <w:rsid w:val="00275C84"/>
    <w:rsid w:val="002837E2"/>
    <w:rsid w:val="0029533B"/>
    <w:rsid w:val="00297B45"/>
    <w:rsid w:val="002A484C"/>
    <w:rsid w:val="002A647C"/>
    <w:rsid w:val="002A75F3"/>
    <w:rsid w:val="002B0476"/>
    <w:rsid w:val="002B62EE"/>
    <w:rsid w:val="002B689F"/>
    <w:rsid w:val="002C2A9E"/>
    <w:rsid w:val="002C4D56"/>
    <w:rsid w:val="002E5437"/>
    <w:rsid w:val="002F52C3"/>
    <w:rsid w:val="002F76CE"/>
    <w:rsid w:val="00301269"/>
    <w:rsid w:val="0030225F"/>
    <w:rsid w:val="00306AD2"/>
    <w:rsid w:val="0030754B"/>
    <w:rsid w:val="00331FC1"/>
    <w:rsid w:val="00334360"/>
    <w:rsid w:val="0033483D"/>
    <w:rsid w:val="00344E74"/>
    <w:rsid w:val="00351EC8"/>
    <w:rsid w:val="003526B2"/>
    <w:rsid w:val="00354589"/>
    <w:rsid w:val="0035462A"/>
    <w:rsid w:val="003562E5"/>
    <w:rsid w:val="00365BF7"/>
    <w:rsid w:val="003731E2"/>
    <w:rsid w:val="003B3089"/>
    <w:rsid w:val="003B3704"/>
    <w:rsid w:val="003B6758"/>
    <w:rsid w:val="003B6F21"/>
    <w:rsid w:val="003C227D"/>
    <w:rsid w:val="003C3EF4"/>
    <w:rsid w:val="003E037A"/>
    <w:rsid w:val="003E7A5B"/>
    <w:rsid w:val="003F0630"/>
    <w:rsid w:val="00401DE8"/>
    <w:rsid w:val="0040335A"/>
    <w:rsid w:val="00410E5A"/>
    <w:rsid w:val="004119A0"/>
    <w:rsid w:val="00414135"/>
    <w:rsid w:val="004143D5"/>
    <w:rsid w:val="004221F8"/>
    <w:rsid w:val="00435012"/>
    <w:rsid w:val="00437A1F"/>
    <w:rsid w:val="004426C6"/>
    <w:rsid w:val="00462043"/>
    <w:rsid w:val="00465147"/>
    <w:rsid w:val="0046593E"/>
    <w:rsid w:val="00475C06"/>
    <w:rsid w:val="004760FE"/>
    <w:rsid w:val="00477440"/>
    <w:rsid w:val="00477948"/>
    <w:rsid w:val="0048414F"/>
    <w:rsid w:val="00485BBD"/>
    <w:rsid w:val="00495D78"/>
    <w:rsid w:val="00497E4F"/>
    <w:rsid w:val="004A151B"/>
    <w:rsid w:val="004A1627"/>
    <w:rsid w:val="004C0805"/>
    <w:rsid w:val="004C2353"/>
    <w:rsid w:val="004D37EF"/>
    <w:rsid w:val="004D50F2"/>
    <w:rsid w:val="004D7267"/>
    <w:rsid w:val="004E2116"/>
    <w:rsid w:val="004E245B"/>
    <w:rsid w:val="004E38D9"/>
    <w:rsid w:val="004E60DD"/>
    <w:rsid w:val="00512DDB"/>
    <w:rsid w:val="005200FE"/>
    <w:rsid w:val="0052744B"/>
    <w:rsid w:val="00533802"/>
    <w:rsid w:val="00533D4D"/>
    <w:rsid w:val="00540DA3"/>
    <w:rsid w:val="00551204"/>
    <w:rsid w:val="005534AF"/>
    <w:rsid w:val="0055367D"/>
    <w:rsid w:val="00556FFF"/>
    <w:rsid w:val="00561A86"/>
    <w:rsid w:val="0056577E"/>
    <w:rsid w:val="00570395"/>
    <w:rsid w:val="005727B9"/>
    <w:rsid w:val="00572947"/>
    <w:rsid w:val="00576584"/>
    <w:rsid w:val="00583E50"/>
    <w:rsid w:val="005858EA"/>
    <w:rsid w:val="005926AF"/>
    <w:rsid w:val="00597D96"/>
    <w:rsid w:val="005A39DD"/>
    <w:rsid w:val="005A7DA5"/>
    <w:rsid w:val="005B2B63"/>
    <w:rsid w:val="005B7BC3"/>
    <w:rsid w:val="005C50BB"/>
    <w:rsid w:val="005D2DD0"/>
    <w:rsid w:val="005F2871"/>
    <w:rsid w:val="005F6EDB"/>
    <w:rsid w:val="0062135C"/>
    <w:rsid w:val="006517DF"/>
    <w:rsid w:val="00666C25"/>
    <w:rsid w:val="00677622"/>
    <w:rsid w:val="0068384C"/>
    <w:rsid w:val="0069173F"/>
    <w:rsid w:val="00696E8B"/>
    <w:rsid w:val="006B22B8"/>
    <w:rsid w:val="006B53E8"/>
    <w:rsid w:val="006B5735"/>
    <w:rsid w:val="006B60BB"/>
    <w:rsid w:val="006B6B1F"/>
    <w:rsid w:val="006C16A7"/>
    <w:rsid w:val="006C1FC8"/>
    <w:rsid w:val="006C20D2"/>
    <w:rsid w:val="006C498E"/>
    <w:rsid w:val="006C7B2A"/>
    <w:rsid w:val="006D025B"/>
    <w:rsid w:val="006D5416"/>
    <w:rsid w:val="006D62C4"/>
    <w:rsid w:val="006E2C5E"/>
    <w:rsid w:val="006F6F5A"/>
    <w:rsid w:val="006F76AF"/>
    <w:rsid w:val="00705620"/>
    <w:rsid w:val="0072569A"/>
    <w:rsid w:val="00727972"/>
    <w:rsid w:val="00735275"/>
    <w:rsid w:val="00744B27"/>
    <w:rsid w:val="0074584E"/>
    <w:rsid w:val="00755B81"/>
    <w:rsid w:val="00762264"/>
    <w:rsid w:val="007665A4"/>
    <w:rsid w:val="00766963"/>
    <w:rsid w:val="007730E1"/>
    <w:rsid w:val="00774453"/>
    <w:rsid w:val="00774A9D"/>
    <w:rsid w:val="0077641F"/>
    <w:rsid w:val="007819B8"/>
    <w:rsid w:val="007841DC"/>
    <w:rsid w:val="007916BC"/>
    <w:rsid w:val="00794C3B"/>
    <w:rsid w:val="00796A06"/>
    <w:rsid w:val="007A5AA2"/>
    <w:rsid w:val="007C11D3"/>
    <w:rsid w:val="007C3220"/>
    <w:rsid w:val="007D083D"/>
    <w:rsid w:val="007D119E"/>
    <w:rsid w:val="007D418D"/>
    <w:rsid w:val="007F4C82"/>
    <w:rsid w:val="007F76A5"/>
    <w:rsid w:val="00815E59"/>
    <w:rsid w:val="008250DF"/>
    <w:rsid w:val="00830B41"/>
    <w:rsid w:val="00834DAA"/>
    <w:rsid w:val="0084492F"/>
    <w:rsid w:val="00847856"/>
    <w:rsid w:val="00860B32"/>
    <w:rsid w:val="00861876"/>
    <w:rsid w:val="00871AEC"/>
    <w:rsid w:val="008741D5"/>
    <w:rsid w:val="0088378F"/>
    <w:rsid w:val="00890F89"/>
    <w:rsid w:val="00892A16"/>
    <w:rsid w:val="00895C03"/>
    <w:rsid w:val="008A16CF"/>
    <w:rsid w:val="008A2266"/>
    <w:rsid w:val="008A2EC1"/>
    <w:rsid w:val="008A708B"/>
    <w:rsid w:val="008B68B3"/>
    <w:rsid w:val="008C1C9F"/>
    <w:rsid w:val="008C2248"/>
    <w:rsid w:val="008D0178"/>
    <w:rsid w:val="008D1AAF"/>
    <w:rsid w:val="008D203A"/>
    <w:rsid w:val="008F1F6E"/>
    <w:rsid w:val="008F3AB3"/>
    <w:rsid w:val="00912BB7"/>
    <w:rsid w:val="00917780"/>
    <w:rsid w:val="00925894"/>
    <w:rsid w:val="009409B0"/>
    <w:rsid w:val="009409D7"/>
    <w:rsid w:val="00946EB1"/>
    <w:rsid w:val="009648F0"/>
    <w:rsid w:val="0097117A"/>
    <w:rsid w:val="00971874"/>
    <w:rsid w:val="009738E2"/>
    <w:rsid w:val="0097552A"/>
    <w:rsid w:val="009763DF"/>
    <w:rsid w:val="00980A57"/>
    <w:rsid w:val="0098698B"/>
    <w:rsid w:val="00987332"/>
    <w:rsid w:val="0099713F"/>
    <w:rsid w:val="009A009F"/>
    <w:rsid w:val="009A0E9A"/>
    <w:rsid w:val="009B1742"/>
    <w:rsid w:val="009B57CB"/>
    <w:rsid w:val="009B7E53"/>
    <w:rsid w:val="009C019D"/>
    <w:rsid w:val="009C1E68"/>
    <w:rsid w:val="009C4C39"/>
    <w:rsid w:val="009D77B2"/>
    <w:rsid w:val="009E1100"/>
    <w:rsid w:val="009E45B1"/>
    <w:rsid w:val="009F6520"/>
    <w:rsid w:val="00A00B8D"/>
    <w:rsid w:val="00A077AB"/>
    <w:rsid w:val="00A1644B"/>
    <w:rsid w:val="00A21EBE"/>
    <w:rsid w:val="00A22FF6"/>
    <w:rsid w:val="00A237EC"/>
    <w:rsid w:val="00A254E9"/>
    <w:rsid w:val="00A25C63"/>
    <w:rsid w:val="00A27427"/>
    <w:rsid w:val="00A376DF"/>
    <w:rsid w:val="00A44E60"/>
    <w:rsid w:val="00A475E2"/>
    <w:rsid w:val="00A63D67"/>
    <w:rsid w:val="00A65843"/>
    <w:rsid w:val="00A75DB4"/>
    <w:rsid w:val="00A8259A"/>
    <w:rsid w:val="00AA60E8"/>
    <w:rsid w:val="00AB28A2"/>
    <w:rsid w:val="00AB3FEE"/>
    <w:rsid w:val="00AB4AEE"/>
    <w:rsid w:val="00AC52DE"/>
    <w:rsid w:val="00AC69E5"/>
    <w:rsid w:val="00AD31F4"/>
    <w:rsid w:val="00AE4FA8"/>
    <w:rsid w:val="00AF3EED"/>
    <w:rsid w:val="00B02905"/>
    <w:rsid w:val="00B06A05"/>
    <w:rsid w:val="00B06B30"/>
    <w:rsid w:val="00B15712"/>
    <w:rsid w:val="00B175DB"/>
    <w:rsid w:val="00B308DA"/>
    <w:rsid w:val="00B41C9A"/>
    <w:rsid w:val="00B42D69"/>
    <w:rsid w:val="00B43D86"/>
    <w:rsid w:val="00B46849"/>
    <w:rsid w:val="00B607D7"/>
    <w:rsid w:val="00B626AA"/>
    <w:rsid w:val="00B726CC"/>
    <w:rsid w:val="00B7671E"/>
    <w:rsid w:val="00B84064"/>
    <w:rsid w:val="00B84297"/>
    <w:rsid w:val="00BB3DAC"/>
    <w:rsid w:val="00BB573A"/>
    <w:rsid w:val="00BC2A4D"/>
    <w:rsid w:val="00BD3741"/>
    <w:rsid w:val="00BD42CB"/>
    <w:rsid w:val="00BD5DD6"/>
    <w:rsid w:val="00BD6990"/>
    <w:rsid w:val="00BE4D77"/>
    <w:rsid w:val="00BE6A55"/>
    <w:rsid w:val="00BF0F4A"/>
    <w:rsid w:val="00C02B3F"/>
    <w:rsid w:val="00C17377"/>
    <w:rsid w:val="00C21CD1"/>
    <w:rsid w:val="00C2417F"/>
    <w:rsid w:val="00C335C3"/>
    <w:rsid w:val="00C414F4"/>
    <w:rsid w:val="00C41AD5"/>
    <w:rsid w:val="00C44EF5"/>
    <w:rsid w:val="00C54F3A"/>
    <w:rsid w:val="00C554B3"/>
    <w:rsid w:val="00C6079C"/>
    <w:rsid w:val="00C61C9B"/>
    <w:rsid w:val="00C63A04"/>
    <w:rsid w:val="00C9589E"/>
    <w:rsid w:val="00CA398A"/>
    <w:rsid w:val="00CA3A11"/>
    <w:rsid w:val="00CC0562"/>
    <w:rsid w:val="00CC1F5C"/>
    <w:rsid w:val="00CC2F8E"/>
    <w:rsid w:val="00CC30FC"/>
    <w:rsid w:val="00CC6712"/>
    <w:rsid w:val="00CD0C48"/>
    <w:rsid w:val="00CD22D0"/>
    <w:rsid w:val="00CD27DC"/>
    <w:rsid w:val="00CD3664"/>
    <w:rsid w:val="00CD418A"/>
    <w:rsid w:val="00CD584A"/>
    <w:rsid w:val="00CD5E35"/>
    <w:rsid w:val="00CD5E47"/>
    <w:rsid w:val="00CE2D42"/>
    <w:rsid w:val="00CF6CDF"/>
    <w:rsid w:val="00D00A85"/>
    <w:rsid w:val="00D073E2"/>
    <w:rsid w:val="00D11734"/>
    <w:rsid w:val="00D13439"/>
    <w:rsid w:val="00D1425B"/>
    <w:rsid w:val="00D14E08"/>
    <w:rsid w:val="00D16334"/>
    <w:rsid w:val="00D22859"/>
    <w:rsid w:val="00D308DD"/>
    <w:rsid w:val="00D502E2"/>
    <w:rsid w:val="00D52240"/>
    <w:rsid w:val="00D56D34"/>
    <w:rsid w:val="00D57DCE"/>
    <w:rsid w:val="00D60D45"/>
    <w:rsid w:val="00D617D3"/>
    <w:rsid w:val="00D617E7"/>
    <w:rsid w:val="00D65C65"/>
    <w:rsid w:val="00D70386"/>
    <w:rsid w:val="00D7276D"/>
    <w:rsid w:val="00D8061A"/>
    <w:rsid w:val="00D92D72"/>
    <w:rsid w:val="00DA6BE9"/>
    <w:rsid w:val="00DB7ACB"/>
    <w:rsid w:val="00DC517C"/>
    <w:rsid w:val="00DD19B8"/>
    <w:rsid w:val="00DD3826"/>
    <w:rsid w:val="00DD5819"/>
    <w:rsid w:val="00DE7864"/>
    <w:rsid w:val="00DF4FF5"/>
    <w:rsid w:val="00DF79DC"/>
    <w:rsid w:val="00E0426C"/>
    <w:rsid w:val="00E053C3"/>
    <w:rsid w:val="00E14A7C"/>
    <w:rsid w:val="00E17C86"/>
    <w:rsid w:val="00E3646D"/>
    <w:rsid w:val="00E450B0"/>
    <w:rsid w:val="00E47A89"/>
    <w:rsid w:val="00E5358D"/>
    <w:rsid w:val="00E545CA"/>
    <w:rsid w:val="00E8349A"/>
    <w:rsid w:val="00E86B0B"/>
    <w:rsid w:val="00E90CE9"/>
    <w:rsid w:val="00E933A6"/>
    <w:rsid w:val="00E96CA8"/>
    <w:rsid w:val="00E96DBC"/>
    <w:rsid w:val="00EA0073"/>
    <w:rsid w:val="00EA0467"/>
    <w:rsid w:val="00EA729D"/>
    <w:rsid w:val="00EB19F6"/>
    <w:rsid w:val="00EC0DF9"/>
    <w:rsid w:val="00ED73E4"/>
    <w:rsid w:val="00ED7A24"/>
    <w:rsid w:val="00EE3075"/>
    <w:rsid w:val="00EE5853"/>
    <w:rsid w:val="00EE73ED"/>
    <w:rsid w:val="00F04172"/>
    <w:rsid w:val="00F10238"/>
    <w:rsid w:val="00F10584"/>
    <w:rsid w:val="00F13AD2"/>
    <w:rsid w:val="00F21E16"/>
    <w:rsid w:val="00F22190"/>
    <w:rsid w:val="00F24B1A"/>
    <w:rsid w:val="00F34009"/>
    <w:rsid w:val="00F34542"/>
    <w:rsid w:val="00F4076C"/>
    <w:rsid w:val="00F419F8"/>
    <w:rsid w:val="00F50911"/>
    <w:rsid w:val="00F63362"/>
    <w:rsid w:val="00F7434F"/>
    <w:rsid w:val="00F75B04"/>
    <w:rsid w:val="00F806C5"/>
    <w:rsid w:val="00F97C94"/>
    <w:rsid w:val="00FA79FB"/>
    <w:rsid w:val="00FB3DBC"/>
    <w:rsid w:val="00FC0CB4"/>
    <w:rsid w:val="00FC2642"/>
    <w:rsid w:val="00FC4385"/>
    <w:rsid w:val="00FD00C6"/>
    <w:rsid w:val="00FD2910"/>
    <w:rsid w:val="00FD4C94"/>
    <w:rsid w:val="00FD75C4"/>
    <w:rsid w:val="00FE2AB5"/>
    <w:rsid w:val="00F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5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65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0D4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9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E8B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5D2DD0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057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70B9"/>
  </w:style>
  <w:style w:type="paragraph" w:styleId="Pta">
    <w:name w:val="footer"/>
    <w:basedOn w:val="Normlny"/>
    <w:link w:val="PtaChar"/>
    <w:uiPriority w:val="99"/>
    <w:unhideWhenUsed/>
    <w:rsid w:val="00057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70B9"/>
  </w:style>
  <w:style w:type="character" w:styleId="Odkaznakomentr">
    <w:name w:val="annotation reference"/>
    <w:basedOn w:val="Predvolenpsmoodseku"/>
    <w:uiPriority w:val="99"/>
    <w:semiHidden/>
    <w:unhideWhenUsed/>
    <w:rsid w:val="007279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2797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2797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5B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5B81"/>
    <w:rPr>
      <w:b/>
      <w:bCs/>
      <w:sz w:val="20"/>
      <w:szCs w:val="20"/>
    </w:rPr>
  </w:style>
  <w:style w:type="paragraph" w:customStyle="1" w:styleId="Default">
    <w:name w:val="Default"/>
    <w:rsid w:val="00EA0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wspan1">
    <w:name w:val="awspan1"/>
    <w:basedOn w:val="Predvolenpsmoodseku"/>
    <w:rsid w:val="002F76CE"/>
    <w:rPr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A1644B"/>
    <w:pPr>
      <w:spacing w:after="0" w:line="240" w:lineRule="auto"/>
    </w:pPr>
  </w:style>
  <w:style w:type="character" w:customStyle="1" w:styleId="cf01">
    <w:name w:val="cf01"/>
    <w:basedOn w:val="Predvolenpsmoodseku"/>
    <w:rsid w:val="00D1425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edvolenpsmoodseku"/>
    <w:rsid w:val="00D1425B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00184-E24D-48D6-8690-934B5BCD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2023-04-14T10:36:00Z</dcterms:created>
  <dcterms:modified xsi:type="dcterms:W3CDTF">2023-04-14T10:36:00Z</dcterms:modified>
</cp:coreProperties>
</file>