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B10" w:rsidRPr="001B345C" w:rsidRDefault="009C7803" w:rsidP="001B345C">
      <w:pPr>
        <w:spacing w:before="120" w:line="276" w:lineRule="auto"/>
        <w:jc w:val="center"/>
        <w:rPr>
          <w:rFonts w:ascii="Book Antiqua" w:hAnsi="Book Antiqua"/>
          <w:sz w:val="22"/>
          <w:szCs w:val="22"/>
        </w:rPr>
      </w:pPr>
      <w:bookmarkStart w:id="0" w:name="_GoBack"/>
      <w:bookmarkEnd w:id="0"/>
      <w:r w:rsidRPr="001B345C">
        <w:rPr>
          <w:rFonts w:ascii="Book Antiqua" w:hAnsi="Book Antiqua"/>
          <w:b/>
          <w:caps/>
          <w:spacing w:val="30"/>
          <w:sz w:val="22"/>
          <w:szCs w:val="22"/>
        </w:rPr>
        <w:t>Dôvodová správa</w:t>
      </w:r>
    </w:p>
    <w:p w:rsidR="00941B10" w:rsidRPr="001B345C" w:rsidRDefault="009C7803" w:rsidP="001B345C">
      <w:pPr>
        <w:spacing w:before="120" w:line="276" w:lineRule="auto"/>
        <w:jc w:val="both"/>
        <w:rPr>
          <w:rFonts w:ascii="Book Antiqua" w:hAnsi="Book Antiqua"/>
          <w:b/>
          <w:sz w:val="22"/>
          <w:szCs w:val="22"/>
        </w:rPr>
      </w:pPr>
      <w:r w:rsidRPr="001B345C">
        <w:rPr>
          <w:rFonts w:ascii="Book Antiqua" w:hAnsi="Book Antiqua"/>
          <w:b/>
          <w:sz w:val="22"/>
          <w:szCs w:val="22"/>
        </w:rPr>
        <w:t>A. Všeobecná časť</w:t>
      </w:r>
    </w:p>
    <w:p w:rsidR="001B345C" w:rsidRDefault="001B345C" w:rsidP="001B345C">
      <w:pPr>
        <w:pStyle w:val="Odsekzoznamu1"/>
        <w:spacing w:before="120" w:line="276" w:lineRule="auto"/>
        <w:ind w:left="0" w:firstLine="708"/>
        <w:jc w:val="both"/>
        <w:rPr>
          <w:rFonts w:ascii="Book Antiqua" w:hAnsi="Book Antiqua"/>
          <w:sz w:val="22"/>
          <w:szCs w:val="22"/>
        </w:rPr>
      </w:pPr>
      <w:bookmarkStart w:id="1" w:name="_Hlk127446710"/>
      <w:r w:rsidRPr="001B345C">
        <w:rPr>
          <w:rFonts w:ascii="Book Antiqua" w:hAnsi="Book Antiqua"/>
          <w:sz w:val="22"/>
          <w:szCs w:val="22"/>
        </w:rPr>
        <w:t>Návrh ústavného zákona, ktorým sa mení Ústava Slovenskej republiky č. 460/1992 Zb. v znení neskorších predpisov (ďalej len „</w:t>
      </w:r>
      <w:r>
        <w:rPr>
          <w:rFonts w:ascii="Book Antiqua" w:hAnsi="Book Antiqua"/>
          <w:sz w:val="22"/>
          <w:szCs w:val="22"/>
        </w:rPr>
        <w:t>návrh ústavného</w:t>
      </w:r>
      <w:r w:rsidRPr="001B345C">
        <w:rPr>
          <w:rFonts w:ascii="Book Antiqua" w:hAnsi="Book Antiqua"/>
          <w:sz w:val="22"/>
          <w:szCs w:val="22"/>
        </w:rPr>
        <w:t xml:space="preserve"> zákon</w:t>
      </w:r>
      <w:r>
        <w:rPr>
          <w:rFonts w:ascii="Book Antiqua" w:hAnsi="Book Antiqua"/>
          <w:sz w:val="22"/>
          <w:szCs w:val="22"/>
        </w:rPr>
        <w:t>a</w:t>
      </w:r>
      <w:r w:rsidRPr="001B345C">
        <w:rPr>
          <w:rFonts w:ascii="Book Antiqua" w:hAnsi="Book Antiqua"/>
          <w:sz w:val="22"/>
          <w:szCs w:val="22"/>
        </w:rPr>
        <w:t xml:space="preserve">“) </w:t>
      </w:r>
      <w:bookmarkEnd w:id="1"/>
      <w:r w:rsidRPr="001B345C">
        <w:rPr>
          <w:rFonts w:ascii="Book Antiqua" w:hAnsi="Book Antiqua"/>
          <w:sz w:val="22"/>
          <w:szCs w:val="22"/>
        </w:rPr>
        <w:t xml:space="preserve">predkladá na rokovanie Národnej rady </w:t>
      </w:r>
      <w:bookmarkStart w:id="2" w:name="_Hlk127865084"/>
      <w:r w:rsidRPr="001B345C">
        <w:rPr>
          <w:rFonts w:ascii="Book Antiqua" w:hAnsi="Book Antiqua"/>
          <w:sz w:val="22"/>
          <w:szCs w:val="22"/>
        </w:rPr>
        <w:t xml:space="preserve">Slovenskej republiky </w:t>
      </w:r>
      <w:bookmarkEnd w:id="2"/>
      <w:r w:rsidRPr="001B345C">
        <w:rPr>
          <w:rFonts w:ascii="Book Antiqua" w:hAnsi="Book Antiqua"/>
          <w:sz w:val="22"/>
          <w:szCs w:val="22"/>
        </w:rPr>
        <w:t>poslanec Národnej rady Slovenskej republiky Milan Vetrák.</w:t>
      </w:r>
    </w:p>
    <w:p w:rsidR="00F26EC5" w:rsidRPr="00261133" w:rsidRDefault="00F26EC5" w:rsidP="001B345C">
      <w:pPr>
        <w:pStyle w:val="Odsekzoznamu1"/>
        <w:spacing w:before="120" w:line="276" w:lineRule="auto"/>
        <w:ind w:left="0" w:firstLine="708"/>
        <w:jc w:val="both"/>
        <w:rPr>
          <w:rFonts w:ascii="Book Antiqua" w:hAnsi="Book Antiqua"/>
          <w:b/>
          <w:sz w:val="22"/>
          <w:szCs w:val="22"/>
        </w:rPr>
      </w:pPr>
      <w:r w:rsidRPr="001B345C">
        <w:rPr>
          <w:rFonts w:ascii="Book Antiqua" w:hAnsi="Book Antiqua"/>
          <w:b/>
          <w:sz w:val="22"/>
          <w:szCs w:val="22"/>
        </w:rPr>
        <w:t>Ci</w:t>
      </w:r>
      <w:r w:rsidR="001B345C">
        <w:rPr>
          <w:rFonts w:ascii="Book Antiqua" w:hAnsi="Book Antiqua"/>
          <w:b/>
          <w:sz w:val="22"/>
          <w:szCs w:val="22"/>
        </w:rPr>
        <w:t xml:space="preserve">eľom návrhu ústavného zákona </w:t>
      </w:r>
      <w:r w:rsidRPr="001B345C">
        <w:rPr>
          <w:rFonts w:ascii="Book Antiqua" w:hAnsi="Book Antiqua"/>
          <w:b/>
          <w:sz w:val="22"/>
          <w:szCs w:val="22"/>
        </w:rPr>
        <w:t xml:space="preserve">je </w:t>
      </w:r>
      <w:r w:rsidR="00E664ED" w:rsidRPr="001B345C">
        <w:rPr>
          <w:rFonts w:ascii="Book Antiqua" w:hAnsi="Book Antiqua"/>
          <w:b/>
          <w:sz w:val="22"/>
          <w:szCs w:val="22"/>
        </w:rPr>
        <w:t xml:space="preserve">bližšie špecifikovať </w:t>
      </w:r>
      <w:r w:rsidRPr="001B345C">
        <w:rPr>
          <w:rFonts w:ascii="Book Antiqua" w:hAnsi="Book Antiqua"/>
          <w:b/>
          <w:sz w:val="22"/>
          <w:szCs w:val="22"/>
        </w:rPr>
        <w:t>ústavné garancie slobody prejavu a práva na informácie tak, že zahŕňajú</w:t>
      </w:r>
      <w:r w:rsidR="00B428DE" w:rsidRPr="001B345C">
        <w:rPr>
          <w:rFonts w:ascii="Book Antiqua" w:hAnsi="Book Antiqua"/>
          <w:b/>
          <w:sz w:val="22"/>
          <w:szCs w:val="22"/>
        </w:rPr>
        <w:t xml:space="preserve"> aj základnú hodnotu týchto slobôd, ktorou je mediálna pluralita (vrátane duálneho systému vysielania)</w:t>
      </w:r>
      <w:r w:rsidR="00E664ED" w:rsidRPr="001B345C">
        <w:rPr>
          <w:rFonts w:ascii="Book Antiqua" w:hAnsi="Book Antiqua"/>
          <w:b/>
          <w:sz w:val="22"/>
          <w:szCs w:val="22"/>
        </w:rPr>
        <w:t xml:space="preserve">, keďže </w:t>
      </w:r>
      <w:r w:rsidR="00B428DE" w:rsidRPr="001B345C">
        <w:rPr>
          <w:rFonts w:ascii="Book Antiqua" w:hAnsi="Book Antiqua"/>
          <w:b/>
          <w:sz w:val="22"/>
          <w:szCs w:val="22"/>
        </w:rPr>
        <w:t>tvorí trvalý základ mediálnej politiky Slovenskej republiky od jej vzniku.</w:t>
      </w:r>
      <w:r w:rsidR="00261133">
        <w:rPr>
          <w:rFonts w:ascii="Book Antiqua" w:hAnsi="Book Antiqua"/>
          <w:b/>
          <w:sz w:val="22"/>
          <w:szCs w:val="22"/>
        </w:rPr>
        <w:t xml:space="preserve"> </w:t>
      </w:r>
      <w:r w:rsidR="00261133" w:rsidRPr="00261133">
        <w:rPr>
          <w:rFonts w:ascii="Book Antiqua" w:hAnsi="Book Antiqua"/>
          <w:b/>
          <w:sz w:val="22"/>
          <w:szCs w:val="22"/>
        </w:rPr>
        <w:t>Návrh ústavného zákona preto špecifikuje ústavnoprávny rámec existencie a financovania médií verejnej služby, predovšetkým Rozhlasu a televízie Slovenska.</w:t>
      </w:r>
    </w:p>
    <w:p w:rsidR="00261133" w:rsidRDefault="001B345C" w:rsidP="00AD4698">
      <w:pPr>
        <w:pStyle w:val="Odsekzoznamu1"/>
        <w:spacing w:before="120" w:line="276" w:lineRule="auto"/>
        <w:ind w:left="0" w:firstLine="708"/>
        <w:jc w:val="both"/>
        <w:rPr>
          <w:rFonts w:ascii="Book Antiqua" w:hAnsi="Book Antiqua"/>
          <w:sz w:val="22"/>
          <w:szCs w:val="22"/>
        </w:rPr>
      </w:pPr>
      <w:r w:rsidRPr="001B345C">
        <w:rPr>
          <w:rFonts w:ascii="Book Antiqua" w:hAnsi="Book Antiqua"/>
          <w:sz w:val="22"/>
          <w:szCs w:val="22"/>
        </w:rPr>
        <w:t>Pravidlá verejnej transparentnosti a vyhlásenie osobitného poslania sú nevyhnutné na ospravedlnenie deformácie trhu, ktorá vzniká existenciou médií verejnej služby.</w:t>
      </w:r>
      <w:r w:rsidR="00261133">
        <w:rPr>
          <w:rFonts w:ascii="Book Antiqua" w:hAnsi="Book Antiqua"/>
          <w:sz w:val="22"/>
          <w:szCs w:val="22"/>
        </w:rPr>
        <w:t xml:space="preserve"> </w:t>
      </w:r>
      <w:r w:rsidR="00261133" w:rsidRPr="001B345C">
        <w:rPr>
          <w:rFonts w:ascii="Book Antiqua" w:hAnsi="Book Antiqua"/>
          <w:sz w:val="22"/>
          <w:szCs w:val="22"/>
        </w:rPr>
        <w:t>Na druhej strane bez spoluexistencie verejnoprávneho a súkromného vysielania nemožno hovoriť o pluralite médií, ktorá je deklarovaná ako jeden z pilierov slobody prejavu v článku 11 Charty základných práv EÚ. Vo chvíli, keď dôjde k ohrozeniu nezávislého postavenia verejnoprávnych médií, nemožno hovoriť o verejnoprávnych médiách, keďže sú definované funkciou a postavením, nie názvom. Jeden zo základných princípov, ako zabezpečiť nezávislé postavanie verejnoprávnych médií, je stabilné, transparentné a predvídateľné financovanie, ktoré nie je závislé od politickej ľubovôle.</w:t>
      </w:r>
    </w:p>
    <w:p w:rsidR="00261133" w:rsidRDefault="00261133" w:rsidP="00261133">
      <w:pPr>
        <w:pStyle w:val="Odsekzoznamu1"/>
        <w:spacing w:before="120" w:line="276" w:lineRule="auto"/>
        <w:ind w:left="0" w:firstLine="708"/>
        <w:jc w:val="both"/>
        <w:rPr>
          <w:rFonts w:ascii="Book Antiqua" w:hAnsi="Book Antiqua"/>
          <w:bCs/>
          <w:sz w:val="22"/>
          <w:szCs w:val="22"/>
        </w:rPr>
      </w:pPr>
      <w:r>
        <w:rPr>
          <w:rFonts w:ascii="Book Antiqua" w:hAnsi="Book Antiqua"/>
          <w:sz w:val="22"/>
          <w:szCs w:val="22"/>
        </w:rPr>
        <w:t>N</w:t>
      </w:r>
      <w:r w:rsidRPr="001B345C">
        <w:rPr>
          <w:rFonts w:ascii="Book Antiqua" w:hAnsi="Book Antiqua"/>
          <w:sz w:val="22"/>
          <w:szCs w:val="22"/>
        </w:rPr>
        <w:t xml:space="preserve">ávrh </w:t>
      </w:r>
      <w:r>
        <w:rPr>
          <w:rFonts w:ascii="Book Antiqua" w:hAnsi="Book Antiqua"/>
          <w:sz w:val="22"/>
          <w:szCs w:val="22"/>
        </w:rPr>
        <w:t xml:space="preserve">ústavného zákona </w:t>
      </w:r>
      <w:r w:rsidR="001A1E32">
        <w:rPr>
          <w:rFonts w:ascii="Book Antiqua" w:hAnsi="Book Antiqua"/>
          <w:sz w:val="22"/>
          <w:szCs w:val="22"/>
        </w:rPr>
        <w:t>ne</w:t>
      </w:r>
      <w:r w:rsidRPr="001B345C">
        <w:rPr>
          <w:rFonts w:ascii="Book Antiqua" w:hAnsi="Book Antiqua"/>
          <w:bCs/>
          <w:sz w:val="22"/>
          <w:szCs w:val="22"/>
        </w:rPr>
        <w:t xml:space="preserve">bude mať </w:t>
      </w:r>
      <w:r>
        <w:rPr>
          <w:rFonts w:ascii="Book Antiqua" w:hAnsi="Book Antiqua"/>
          <w:bCs/>
          <w:sz w:val="22"/>
          <w:szCs w:val="22"/>
        </w:rPr>
        <w:t xml:space="preserve">negatívny </w:t>
      </w:r>
      <w:r w:rsidRPr="001B345C">
        <w:rPr>
          <w:rFonts w:ascii="Book Antiqua" w:hAnsi="Book Antiqua"/>
          <w:bCs/>
          <w:sz w:val="22"/>
          <w:szCs w:val="22"/>
        </w:rPr>
        <w:t xml:space="preserve">vplyv na rozpočet verejnej správy, </w:t>
      </w:r>
      <w:r>
        <w:rPr>
          <w:rFonts w:ascii="Book Antiqua" w:hAnsi="Book Antiqua"/>
          <w:bCs/>
          <w:sz w:val="22"/>
          <w:szCs w:val="22"/>
        </w:rPr>
        <w:t xml:space="preserve">nebude mať vplyv </w:t>
      </w:r>
      <w:r w:rsidRPr="001B345C">
        <w:rPr>
          <w:rFonts w:ascii="Book Antiqua" w:hAnsi="Book Antiqua"/>
          <w:bCs/>
          <w:sz w:val="22"/>
          <w:szCs w:val="22"/>
        </w:rPr>
        <w:t>n</w:t>
      </w:r>
      <w:r>
        <w:rPr>
          <w:rFonts w:ascii="Book Antiqua" w:hAnsi="Book Antiqua"/>
          <w:bCs/>
          <w:sz w:val="22"/>
          <w:szCs w:val="22"/>
        </w:rPr>
        <w:t xml:space="preserve">a podnikateľské prostredie, </w:t>
      </w:r>
      <w:r w:rsidRPr="001B345C">
        <w:rPr>
          <w:rFonts w:ascii="Book Antiqua" w:hAnsi="Book Antiqua"/>
          <w:bCs/>
          <w:sz w:val="22"/>
          <w:szCs w:val="22"/>
        </w:rPr>
        <w:t>nebud</w:t>
      </w:r>
      <w:r>
        <w:rPr>
          <w:rFonts w:ascii="Book Antiqua" w:hAnsi="Book Antiqua"/>
          <w:bCs/>
          <w:sz w:val="22"/>
          <w:szCs w:val="22"/>
        </w:rPr>
        <w:t xml:space="preserve">e mať žiadne sociálne vplyvy, vplyvy na životné prostredie ani vplyv </w:t>
      </w:r>
      <w:r w:rsidRPr="001B345C">
        <w:rPr>
          <w:rFonts w:ascii="Book Antiqua" w:hAnsi="Book Antiqua"/>
          <w:bCs/>
          <w:sz w:val="22"/>
          <w:szCs w:val="22"/>
        </w:rPr>
        <w:t>na inf</w:t>
      </w:r>
      <w:r>
        <w:rPr>
          <w:rFonts w:ascii="Book Antiqua" w:hAnsi="Book Antiqua"/>
          <w:bCs/>
          <w:sz w:val="22"/>
          <w:szCs w:val="22"/>
        </w:rPr>
        <w:t>ormatizáciu spoločnosti.</w:t>
      </w:r>
    </w:p>
    <w:p w:rsidR="00B41114" w:rsidRPr="001B345C" w:rsidRDefault="00261133" w:rsidP="00261133">
      <w:pPr>
        <w:pStyle w:val="Odsekzoznamu1"/>
        <w:spacing w:before="120" w:line="276" w:lineRule="auto"/>
        <w:ind w:left="0" w:firstLine="708"/>
        <w:jc w:val="both"/>
        <w:rPr>
          <w:rFonts w:ascii="Book Antiqua" w:hAnsi="Book Antiqua"/>
          <w:sz w:val="22"/>
          <w:szCs w:val="22"/>
        </w:rPr>
      </w:pPr>
      <w:r>
        <w:rPr>
          <w:rFonts w:ascii="Book Antiqua" w:hAnsi="Book Antiqua"/>
          <w:sz w:val="22"/>
          <w:szCs w:val="22"/>
        </w:rPr>
        <w:t>N</w:t>
      </w:r>
      <w:r w:rsidRPr="00261133">
        <w:rPr>
          <w:rFonts w:ascii="Book Antiqua" w:hAnsi="Book Antiqua"/>
          <w:sz w:val="22"/>
          <w:szCs w:val="22"/>
        </w:rPr>
        <w:t xml:space="preserve">ávrh </w:t>
      </w:r>
      <w:r>
        <w:rPr>
          <w:rFonts w:ascii="Book Antiqua" w:hAnsi="Book Antiqua"/>
          <w:sz w:val="22"/>
          <w:szCs w:val="22"/>
        </w:rPr>
        <w:t xml:space="preserve">ústavného </w:t>
      </w:r>
      <w:r w:rsidRPr="00261133">
        <w:rPr>
          <w:rFonts w:ascii="Book Antiqua" w:hAnsi="Book Antiqua"/>
          <w:sz w:val="22"/>
          <w:szCs w:val="22"/>
        </w:rPr>
        <w:t>zákona je v súlade s Ústavou Slovenskej republiky, ústavnými zákonmi, s nálezmi Ústavného súdu Slovenskej republiky, inými právnymi predpismi Slovenskej republiky, medzinárodnými zmluvami, inými medzinárodnými dokumentmi, ktorými je Slovenská republika vi</w:t>
      </w:r>
      <w:r>
        <w:rPr>
          <w:rFonts w:ascii="Book Antiqua" w:hAnsi="Book Antiqua"/>
          <w:sz w:val="22"/>
          <w:szCs w:val="22"/>
        </w:rPr>
        <w:t>azaná a s právom Európskej únie</w:t>
      </w:r>
      <w:r w:rsidR="00AD4698">
        <w:rPr>
          <w:rFonts w:ascii="Book Antiqua" w:hAnsi="Book Antiqua"/>
          <w:sz w:val="22"/>
          <w:szCs w:val="22"/>
        </w:rPr>
        <w:t>.</w:t>
      </w:r>
    </w:p>
    <w:p w:rsidR="00E664ED" w:rsidRDefault="00E664ED" w:rsidP="00261133">
      <w:pPr>
        <w:tabs>
          <w:tab w:val="left" w:pos="970"/>
        </w:tabs>
        <w:spacing w:before="120" w:line="276" w:lineRule="auto"/>
        <w:jc w:val="both"/>
        <w:rPr>
          <w:rFonts w:ascii="Book Antiqua" w:hAnsi="Book Antiqua"/>
          <w:sz w:val="22"/>
          <w:szCs w:val="22"/>
        </w:rPr>
      </w:pPr>
    </w:p>
    <w:p w:rsidR="00AD4698" w:rsidRDefault="00AD4698" w:rsidP="00261133">
      <w:pPr>
        <w:tabs>
          <w:tab w:val="left" w:pos="970"/>
        </w:tabs>
        <w:spacing w:before="120" w:line="276" w:lineRule="auto"/>
        <w:jc w:val="both"/>
        <w:rPr>
          <w:rFonts w:ascii="Book Antiqua" w:hAnsi="Book Antiqua"/>
          <w:sz w:val="22"/>
          <w:szCs w:val="22"/>
        </w:rPr>
      </w:pPr>
    </w:p>
    <w:p w:rsidR="00AD4698" w:rsidRDefault="00AD4698" w:rsidP="00261133">
      <w:pPr>
        <w:tabs>
          <w:tab w:val="left" w:pos="970"/>
        </w:tabs>
        <w:spacing w:before="120" w:line="276" w:lineRule="auto"/>
        <w:jc w:val="both"/>
        <w:rPr>
          <w:rFonts w:ascii="Book Antiqua" w:hAnsi="Book Antiqua"/>
          <w:sz w:val="22"/>
          <w:szCs w:val="22"/>
        </w:rPr>
      </w:pPr>
    </w:p>
    <w:p w:rsidR="00AD4698" w:rsidRDefault="00AD4698" w:rsidP="00261133">
      <w:pPr>
        <w:tabs>
          <w:tab w:val="left" w:pos="970"/>
        </w:tabs>
        <w:spacing w:before="120" w:line="276" w:lineRule="auto"/>
        <w:jc w:val="both"/>
        <w:rPr>
          <w:rFonts w:ascii="Book Antiqua" w:hAnsi="Book Antiqua"/>
          <w:sz w:val="22"/>
          <w:szCs w:val="22"/>
        </w:rPr>
      </w:pPr>
    </w:p>
    <w:p w:rsidR="00AD4698" w:rsidRDefault="00AD4698" w:rsidP="00261133">
      <w:pPr>
        <w:tabs>
          <w:tab w:val="left" w:pos="970"/>
        </w:tabs>
        <w:spacing w:before="120" w:line="276" w:lineRule="auto"/>
        <w:jc w:val="both"/>
        <w:rPr>
          <w:rFonts w:ascii="Book Antiqua" w:hAnsi="Book Antiqua"/>
          <w:sz w:val="22"/>
          <w:szCs w:val="22"/>
        </w:rPr>
      </w:pPr>
    </w:p>
    <w:p w:rsidR="00AD4698" w:rsidRDefault="00AD4698" w:rsidP="00261133">
      <w:pPr>
        <w:tabs>
          <w:tab w:val="left" w:pos="970"/>
        </w:tabs>
        <w:spacing w:before="120" w:line="276" w:lineRule="auto"/>
        <w:jc w:val="both"/>
        <w:rPr>
          <w:rFonts w:ascii="Book Antiqua" w:hAnsi="Book Antiqua"/>
          <w:sz w:val="22"/>
          <w:szCs w:val="22"/>
        </w:rPr>
      </w:pPr>
    </w:p>
    <w:p w:rsidR="00AD4698" w:rsidRDefault="00AD4698" w:rsidP="00261133">
      <w:pPr>
        <w:tabs>
          <w:tab w:val="left" w:pos="970"/>
        </w:tabs>
        <w:spacing w:before="120" w:line="276" w:lineRule="auto"/>
        <w:jc w:val="both"/>
        <w:rPr>
          <w:rFonts w:ascii="Book Antiqua" w:hAnsi="Book Antiqua"/>
          <w:sz w:val="22"/>
          <w:szCs w:val="22"/>
        </w:rPr>
      </w:pPr>
    </w:p>
    <w:p w:rsidR="00AD4698" w:rsidRDefault="00AD4698" w:rsidP="00261133">
      <w:pPr>
        <w:tabs>
          <w:tab w:val="left" w:pos="970"/>
        </w:tabs>
        <w:spacing w:before="120" w:line="276" w:lineRule="auto"/>
        <w:jc w:val="both"/>
        <w:rPr>
          <w:rFonts w:ascii="Book Antiqua" w:hAnsi="Book Antiqua"/>
          <w:sz w:val="22"/>
          <w:szCs w:val="22"/>
        </w:rPr>
      </w:pPr>
    </w:p>
    <w:p w:rsidR="00AD4698" w:rsidRDefault="00AD4698" w:rsidP="00261133">
      <w:pPr>
        <w:tabs>
          <w:tab w:val="left" w:pos="970"/>
        </w:tabs>
        <w:spacing w:before="120" w:line="276" w:lineRule="auto"/>
        <w:jc w:val="both"/>
        <w:rPr>
          <w:rFonts w:ascii="Book Antiqua" w:hAnsi="Book Antiqua"/>
          <w:sz w:val="22"/>
          <w:szCs w:val="22"/>
        </w:rPr>
      </w:pPr>
    </w:p>
    <w:p w:rsidR="00AD4698" w:rsidRDefault="00AD4698" w:rsidP="00261133">
      <w:pPr>
        <w:tabs>
          <w:tab w:val="left" w:pos="970"/>
        </w:tabs>
        <w:spacing w:before="120" w:line="276" w:lineRule="auto"/>
        <w:jc w:val="both"/>
        <w:rPr>
          <w:rFonts w:ascii="Book Antiqua" w:hAnsi="Book Antiqua"/>
          <w:sz w:val="22"/>
          <w:szCs w:val="22"/>
        </w:rPr>
      </w:pPr>
    </w:p>
    <w:p w:rsidR="00AD4698" w:rsidRPr="001B345C" w:rsidRDefault="00AD4698" w:rsidP="00261133">
      <w:pPr>
        <w:tabs>
          <w:tab w:val="left" w:pos="970"/>
        </w:tabs>
        <w:spacing w:before="120" w:line="276" w:lineRule="auto"/>
        <w:jc w:val="both"/>
        <w:rPr>
          <w:rFonts w:ascii="Book Antiqua" w:hAnsi="Book Antiqua"/>
          <w:sz w:val="22"/>
          <w:szCs w:val="22"/>
        </w:rPr>
      </w:pPr>
    </w:p>
    <w:p w:rsidR="00941B10" w:rsidRPr="001B345C" w:rsidRDefault="009C7803" w:rsidP="001B345C">
      <w:pPr>
        <w:tabs>
          <w:tab w:val="left" w:pos="970"/>
        </w:tabs>
        <w:spacing w:before="120" w:line="276" w:lineRule="auto"/>
        <w:jc w:val="both"/>
        <w:rPr>
          <w:rFonts w:ascii="Book Antiqua" w:hAnsi="Book Antiqua"/>
          <w:b/>
          <w:sz w:val="22"/>
          <w:szCs w:val="22"/>
        </w:rPr>
      </w:pPr>
      <w:r w:rsidRPr="001B345C">
        <w:rPr>
          <w:rFonts w:ascii="Book Antiqua" w:hAnsi="Book Antiqua"/>
          <w:b/>
          <w:sz w:val="22"/>
          <w:szCs w:val="22"/>
        </w:rPr>
        <w:t>B. Osobitná časť</w:t>
      </w:r>
    </w:p>
    <w:p w:rsidR="00941B10" w:rsidRPr="001B345C" w:rsidRDefault="00941B10" w:rsidP="001B345C">
      <w:pPr>
        <w:tabs>
          <w:tab w:val="left" w:pos="970"/>
        </w:tabs>
        <w:spacing w:before="120" w:line="276" w:lineRule="auto"/>
        <w:jc w:val="both"/>
        <w:rPr>
          <w:rFonts w:ascii="Book Antiqua" w:hAnsi="Book Antiqua"/>
          <w:b/>
          <w:sz w:val="22"/>
          <w:szCs w:val="22"/>
        </w:rPr>
      </w:pPr>
    </w:p>
    <w:p w:rsidR="00941B10" w:rsidRPr="00261133" w:rsidRDefault="00261133" w:rsidP="001B345C">
      <w:pPr>
        <w:spacing w:before="120" w:line="276" w:lineRule="auto"/>
        <w:jc w:val="both"/>
        <w:rPr>
          <w:rStyle w:val="Textzstupnhosymbolu1"/>
          <w:rFonts w:ascii="Book Antiqua" w:hAnsi="Book Antiqua"/>
          <w:b/>
          <w:color w:val="00000A"/>
          <w:sz w:val="22"/>
          <w:szCs w:val="22"/>
        </w:rPr>
      </w:pPr>
      <w:r w:rsidRPr="00261133">
        <w:rPr>
          <w:rStyle w:val="Textzstupnhosymbolu1"/>
          <w:rFonts w:ascii="Book Antiqua" w:hAnsi="Book Antiqua"/>
          <w:b/>
          <w:color w:val="00000A"/>
          <w:sz w:val="22"/>
          <w:szCs w:val="22"/>
        </w:rPr>
        <w:t xml:space="preserve">K Čl. </w:t>
      </w:r>
      <w:r>
        <w:rPr>
          <w:rStyle w:val="Textzstupnhosymbolu1"/>
          <w:rFonts w:ascii="Book Antiqua" w:hAnsi="Book Antiqua"/>
          <w:b/>
          <w:color w:val="00000A"/>
          <w:sz w:val="22"/>
          <w:szCs w:val="22"/>
        </w:rPr>
        <w:t>I</w:t>
      </w:r>
      <w:r w:rsidR="009C7803" w:rsidRPr="00261133">
        <w:rPr>
          <w:rStyle w:val="Textzstupnhosymbolu1"/>
          <w:rFonts w:ascii="Book Antiqua" w:hAnsi="Book Antiqua"/>
          <w:b/>
          <w:color w:val="00000A"/>
          <w:sz w:val="22"/>
          <w:szCs w:val="22"/>
        </w:rPr>
        <w:t xml:space="preserve"> </w:t>
      </w:r>
    </w:p>
    <w:p w:rsidR="00941B10" w:rsidRPr="00261133" w:rsidRDefault="009C7803" w:rsidP="001B345C">
      <w:pPr>
        <w:spacing w:before="120" w:line="276" w:lineRule="auto"/>
        <w:jc w:val="both"/>
        <w:rPr>
          <w:rFonts w:ascii="Book Antiqua" w:hAnsi="Book Antiqua"/>
          <w:b/>
          <w:sz w:val="22"/>
          <w:szCs w:val="22"/>
        </w:rPr>
      </w:pPr>
      <w:r w:rsidRPr="00261133">
        <w:rPr>
          <w:rStyle w:val="Textzstupnhosymbolu1"/>
          <w:rFonts w:ascii="Book Antiqua" w:hAnsi="Book Antiqua"/>
          <w:b/>
          <w:color w:val="00000A"/>
          <w:sz w:val="22"/>
          <w:szCs w:val="22"/>
          <w:u w:val="single"/>
        </w:rPr>
        <w:t>K bodu 1</w:t>
      </w:r>
    </w:p>
    <w:p w:rsidR="00B41114" w:rsidRPr="001B345C" w:rsidRDefault="00B41114" w:rsidP="001B345C">
      <w:pPr>
        <w:spacing w:before="120" w:line="276" w:lineRule="auto"/>
        <w:jc w:val="both"/>
        <w:rPr>
          <w:rFonts w:ascii="Book Antiqua" w:hAnsi="Book Antiqua"/>
          <w:sz w:val="22"/>
          <w:szCs w:val="22"/>
        </w:rPr>
      </w:pPr>
      <w:r w:rsidRPr="001B345C">
        <w:rPr>
          <w:rFonts w:ascii="Book Antiqua" w:hAnsi="Book Antiqua"/>
          <w:sz w:val="22"/>
          <w:szCs w:val="22"/>
        </w:rPr>
        <w:t xml:space="preserve">Ochrana mediálnej plurality, či už v jej informačnom, kultúrnom alebo obsahovom aspekte, je základom pre realizáciu </w:t>
      </w:r>
      <w:r w:rsidR="00774511" w:rsidRPr="001B345C">
        <w:rPr>
          <w:rFonts w:ascii="Book Antiqua" w:hAnsi="Book Antiqua"/>
          <w:sz w:val="22"/>
          <w:szCs w:val="22"/>
        </w:rPr>
        <w:t>práva na vyhľadávanie a šírenie informácií. Mediálna pluralita je zároveň hodnotou, ktorá sa v mediálnej politike na území Slovenskej republiky aplikuje viac ako tridsať rokov. Ústavný rámec vymedzený v návrhu chápe pluralitu nielen v kvantitatívnom rozmere, ale rovnako aj v kvalitatívnom rozmere, ako diverzitu zdrojov (kultúrna, obsahová a informačná pluralita).</w:t>
      </w:r>
      <w:r w:rsidRPr="001B345C">
        <w:rPr>
          <w:rFonts w:ascii="Book Antiqua" w:hAnsi="Book Antiqua"/>
          <w:sz w:val="22"/>
          <w:szCs w:val="22"/>
        </w:rPr>
        <w:t xml:space="preserve"> </w:t>
      </w:r>
    </w:p>
    <w:p w:rsidR="00774511" w:rsidRPr="001B345C" w:rsidRDefault="00774511" w:rsidP="001B345C">
      <w:pPr>
        <w:spacing w:before="120" w:line="276" w:lineRule="auto"/>
        <w:jc w:val="both"/>
        <w:rPr>
          <w:rFonts w:ascii="Book Antiqua" w:hAnsi="Book Antiqua"/>
          <w:sz w:val="22"/>
          <w:szCs w:val="22"/>
        </w:rPr>
      </w:pPr>
      <w:r w:rsidRPr="001B345C">
        <w:rPr>
          <w:rFonts w:ascii="Book Antiqua" w:hAnsi="Book Antiqua"/>
          <w:sz w:val="22"/>
          <w:szCs w:val="22"/>
        </w:rPr>
        <w:t>Z hľadiska výkladu tak úprava v bode 1 priamo súvisí s navrhovaným ustanovením čl. 26 ods. 6 (v bode 2), v ktorom sa bližšie špecifikuje dichotómia médií a pozitívne záväzky štát</w:t>
      </w:r>
      <w:r w:rsidR="00261133">
        <w:rPr>
          <w:rFonts w:ascii="Book Antiqua" w:hAnsi="Book Antiqua"/>
          <w:sz w:val="22"/>
          <w:szCs w:val="22"/>
        </w:rPr>
        <w:t>u voči médiám verejnej služby. Opodstatnenosť základnej dichotómie koexistencie médií verejnej služby a súkromných médií</w:t>
      </w:r>
      <w:r w:rsidR="003A234B">
        <w:rPr>
          <w:rFonts w:ascii="Book Antiqua" w:hAnsi="Book Antiqua"/>
          <w:sz w:val="22"/>
          <w:szCs w:val="22"/>
        </w:rPr>
        <w:t xml:space="preserve"> je v tom, že sama osebe vytvára jadro plurality médií na trhu, pričom takéto vnímanie podporuje aj judikatúra Súdneho dvora Európskej únie (napr. </w:t>
      </w:r>
      <w:r w:rsidR="003A234B" w:rsidRPr="001B345C">
        <w:rPr>
          <w:rFonts w:ascii="Book Antiqua" w:hAnsi="Book Antiqua"/>
          <w:sz w:val="22"/>
          <w:szCs w:val="22"/>
        </w:rPr>
        <w:t>CFI, Joined Cases T-309/04, T-317/04, T-329/04 and T-336/04, TV 2/Danmark A/S and Others v Commiss</w:t>
      </w:r>
      <w:r w:rsidR="003A234B">
        <w:rPr>
          <w:rFonts w:ascii="Book Antiqua" w:hAnsi="Book Antiqua"/>
          <w:sz w:val="22"/>
          <w:szCs w:val="22"/>
        </w:rPr>
        <w:t>ion of the European Communities</w:t>
      </w:r>
      <w:r w:rsidR="003A234B" w:rsidRPr="001B345C">
        <w:rPr>
          <w:rFonts w:ascii="Book Antiqua" w:hAnsi="Book Antiqua"/>
          <w:sz w:val="22"/>
          <w:szCs w:val="22"/>
        </w:rPr>
        <w:t>)</w:t>
      </w:r>
    </w:p>
    <w:p w:rsidR="00941B10" w:rsidRPr="003A234B" w:rsidRDefault="009C7803" w:rsidP="001B345C">
      <w:pPr>
        <w:spacing w:before="120" w:line="276" w:lineRule="auto"/>
        <w:jc w:val="both"/>
        <w:rPr>
          <w:rFonts w:ascii="Book Antiqua" w:hAnsi="Book Antiqua"/>
          <w:b/>
          <w:sz w:val="22"/>
          <w:szCs w:val="22"/>
        </w:rPr>
      </w:pPr>
      <w:r w:rsidRPr="003A234B">
        <w:rPr>
          <w:rStyle w:val="Textzstupnhosymbolu1"/>
          <w:rFonts w:ascii="Book Antiqua" w:hAnsi="Book Antiqua"/>
          <w:b/>
          <w:color w:val="00000A"/>
          <w:sz w:val="22"/>
          <w:szCs w:val="22"/>
          <w:u w:val="single"/>
        </w:rPr>
        <w:t>K bodu 2</w:t>
      </w:r>
    </w:p>
    <w:p w:rsidR="003A234B" w:rsidRDefault="00261133" w:rsidP="003A234B">
      <w:pPr>
        <w:spacing w:before="120" w:line="276" w:lineRule="auto"/>
        <w:ind w:firstLine="708"/>
        <w:jc w:val="both"/>
        <w:rPr>
          <w:rFonts w:ascii="Book Antiqua" w:hAnsi="Book Antiqua"/>
          <w:sz w:val="22"/>
          <w:szCs w:val="22"/>
        </w:rPr>
      </w:pPr>
      <w:r w:rsidRPr="001B345C">
        <w:rPr>
          <w:rFonts w:ascii="Book Antiqua" w:hAnsi="Book Antiqua"/>
          <w:sz w:val="22"/>
          <w:szCs w:val="22"/>
        </w:rPr>
        <w:t xml:space="preserve">Pravidlá verejnej transparentnosti a vyhlásenie osobitného poslania sú nevyhnutné na ospravedlnenie deformácie trhu, ktorá vzniká existenciou médií verejnej služby. (ECJ, Case C-260/89, Elliniki Radiophonia Tiléorassi AE and Panellinia Omospondia Syllogon Prossopikou v Dimotiki Etairia Pliroforissis and Sotirios Kouvelas and Nicolaos Avdellas and other) Na druhej strane bez spoluexistencie verejnoprávneho a súkromného vysielania nemožno hovoriť o pluralite médií, ktorá je deklarovaná ako jeden z pilierov slobody prejavu v článku 11 Charty základných práv EÚ. Vo chvíli, keď dôjde k ohrozeniu nezávislého postavenia verejnoprávnych médií, nemožno hovoriť o verejnoprávnych médiách, keďže sú definované funkciou a postavením, nie názvom. </w:t>
      </w:r>
      <w:r w:rsidRPr="003A234B">
        <w:rPr>
          <w:rFonts w:ascii="Book Antiqua" w:hAnsi="Book Antiqua"/>
          <w:b/>
          <w:sz w:val="22"/>
          <w:szCs w:val="22"/>
        </w:rPr>
        <w:t>Jeden zo základných princípov, ako zabezpečiť nezávislé postavanie verejnoprávnych médií, je stabilné, transparentné a predvídateľné financovanie, ktoré nie je závislé od politickej ľubovôle.</w:t>
      </w:r>
    </w:p>
    <w:p w:rsidR="003A234B" w:rsidRDefault="00261133" w:rsidP="003A234B">
      <w:pPr>
        <w:spacing w:before="120" w:line="276" w:lineRule="auto"/>
        <w:ind w:firstLine="708"/>
        <w:jc w:val="both"/>
        <w:rPr>
          <w:rFonts w:ascii="Book Antiqua" w:hAnsi="Book Antiqua"/>
          <w:sz w:val="22"/>
          <w:szCs w:val="22"/>
        </w:rPr>
      </w:pPr>
      <w:r w:rsidRPr="003A234B">
        <w:rPr>
          <w:rFonts w:ascii="Book Antiqua" w:hAnsi="Book Antiqua"/>
          <w:b/>
          <w:sz w:val="22"/>
          <w:szCs w:val="22"/>
        </w:rPr>
        <w:t>Z hľadiska trhu sú verejnoprávne médiá spolufinancované štátom buď prostredníctvom tzv. koncesionárskych poplatkov, alebo cez iné mechanizmy</w:t>
      </w:r>
      <w:r w:rsidRPr="001B345C">
        <w:rPr>
          <w:rFonts w:ascii="Book Antiqua" w:hAnsi="Book Antiqua"/>
          <w:sz w:val="22"/>
          <w:szCs w:val="22"/>
        </w:rPr>
        <w:t>. Oprávnenosť koexistencie aj z pohľadu hospodárske</w:t>
      </w:r>
      <w:r w:rsidR="003A234B">
        <w:rPr>
          <w:rFonts w:ascii="Book Antiqua" w:hAnsi="Book Antiqua"/>
          <w:sz w:val="22"/>
          <w:szCs w:val="22"/>
        </w:rPr>
        <w:t>j súťaže demonštroval o. i. S</w:t>
      </w:r>
      <w:r w:rsidRPr="001B345C">
        <w:rPr>
          <w:rFonts w:ascii="Book Antiqua" w:hAnsi="Book Antiqua"/>
          <w:sz w:val="22"/>
          <w:szCs w:val="22"/>
        </w:rPr>
        <w:t xml:space="preserve">údny dvor </w:t>
      </w:r>
      <w:r w:rsidR="003A234B">
        <w:rPr>
          <w:rFonts w:ascii="Book Antiqua" w:hAnsi="Book Antiqua"/>
          <w:sz w:val="22"/>
          <w:szCs w:val="22"/>
        </w:rPr>
        <w:t xml:space="preserve">Európskej únie </w:t>
      </w:r>
      <w:r w:rsidRPr="001B345C">
        <w:rPr>
          <w:rFonts w:ascii="Book Antiqua" w:hAnsi="Book Antiqua"/>
          <w:sz w:val="22"/>
          <w:szCs w:val="22"/>
        </w:rPr>
        <w:t>v prípade SIC v. Komisia: „</w:t>
      </w:r>
      <w:r w:rsidRPr="003A234B">
        <w:rPr>
          <w:rFonts w:ascii="Book Antiqua" w:hAnsi="Book Antiqua"/>
          <w:i/>
          <w:sz w:val="22"/>
          <w:szCs w:val="22"/>
        </w:rPr>
        <w:t>Právo Spoločenstva v žiadnom prípade nebráni členskému štátu, aby široko definoval vysielanie SGEI tak, aby zahŕňali vysielanie celého spektra programov. Túto skutočnosť nemožno spochybňovať tým, že verejnoprávny vysielateľ vykonáva aj komerčnú činnosť, najmä predaj reklamného priestoru.</w:t>
      </w:r>
      <w:r w:rsidRPr="001B345C">
        <w:rPr>
          <w:rFonts w:ascii="Book Antiqua" w:hAnsi="Book Antiqua"/>
          <w:sz w:val="22"/>
          <w:szCs w:val="22"/>
        </w:rPr>
        <w:t>“ (CFI, Case T-442/03, SIC - Sociedade Independente de Comunicação, SA v Commission of the European Com</w:t>
      </w:r>
      <w:r w:rsidR="008B5FAE">
        <w:rPr>
          <w:rFonts w:ascii="Book Antiqua" w:hAnsi="Book Antiqua"/>
          <w:sz w:val="22"/>
          <w:szCs w:val="22"/>
        </w:rPr>
        <w:t>munities, op. Cit., §§ 201, 202</w:t>
      </w:r>
      <w:r w:rsidRPr="001B345C">
        <w:rPr>
          <w:rFonts w:ascii="Book Antiqua" w:hAnsi="Book Antiqua"/>
          <w:sz w:val="22"/>
          <w:szCs w:val="22"/>
        </w:rPr>
        <w:t>)</w:t>
      </w:r>
      <w:r w:rsidR="003A234B">
        <w:rPr>
          <w:rFonts w:ascii="Book Antiqua" w:hAnsi="Book Antiqua"/>
          <w:sz w:val="22"/>
          <w:szCs w:val="22"/>
        </w:rPr>
        <w:t>.</w:t>
      </w:r>
    </w:p>
    <w:p w:rsidR="003A234B" w:rsidRDefault="003A234B" w:rsidP="003A234B">
      <w:pPr>
        <w:spacing w:before="120" w:line="276" w:lineRule="auto"/>
        <w:ind w:firstLine="708"/>
        <w:jc w:val="both"/>
        <w:rPr>
          <w:rFonts w:ascii="Book Antiqua" w:hAnsi="Book Antiqua"/>
          <w:sz w:val="22"/>
          <w:szCs w:val="22"/>
        </w:rPr>
      </w:pPr>
      <w:r>
        <w:rPr>
          <w:rFonts w:ascii="Book Antiqua" w:hAnsi="Book Antiqua"/>
          <w:sz w:val="22"/>
          <w:szCs w:val="22"/>
        </w:rPr>
        <w:t>V odseku 6 sa vymedzujú</w:t>
      </w:r>
      <w:r w:rsidR="00774511" w:rsidRPr="001B345C">
        <w:rPr>
          <w:rFonts w:ascii="Book Antiqua" w:hAnsi="Book Antiqua"/>
          <w:sz w:val="22"/>
          <w:szCs w:val="22"/>
        </w:rPr>
        <w:t xml:space="preserve"> základné atribúty mediálnej politiky štátu, predovšetkým záruka existencie médií verejnej služby cez koexistenciu duálneho systému vysielania a pluralitu médií v ďalších mediálnych oblastiach (tlač, on-line, agentúrne spravodajstvo, </w:t>
      </w:r>
      <w:r w:rsidR="00774511" w:rsidRPr="001B345C">
        <w:rPr>
          <w:rFonts w:ascii="Book Antiqua" w:hAnsi="Book Antiqua"/>
          <w:sz w:val="22"/>
          <w:szCs w:val="22"/>
        </w:rPr>
        <w:lastRenderedPageBreak/>
        <w:t xml:space="preserve">audiovizuálne služby a pod.). V nadväznosti na verejnoprávne médiá sa ustanovujú záruky </w:t>
      </w:r>
      <w:r w:rsidR="00F84D04" w:rsidRPr="001B345C">
        <w:rPr>
          <w:rFonts w:ascii="Book Antiqua" w:hAnsi="Book Antiqua"/>
          <w:sz w:val="22"/>
          <w:szCs w:val="22"/>
        </w:rPr>
        <w:t xml:space="preserve">ekonomickej a politickej </w:t>
      </w:r>
      <w:r w:rsidR="00774511" w:rsidRPr="001B345C">
        <w:rPr>
          <w:rFonts w:ascii="Book Antiqua" w:hAnsi="Book Antiqua"/>
          <w:sz w:val="22"/>
          <w:szCs w:val="22"/>
        </w:rPr>
        <w:t xml:space="preserve">nezávislosti cez </w:t>
      </w:r>
      <w:r w:rsidR="00F84D04" w:rsidRPr="001B345C">
        <w:rPr>
          <w:rFonts w:ascii="Book Antiqua" w:hAnsi="Book Antiqua"/>
          <w:sz w:val="22"/>
          <w:szCs w:val="22"/>
        </w:rPr>
        <w:t>transparentnosť a adekvátnosť financovania. Vo vzťahu k verejnoprávnemu vysielateľovi (RTVS) sa v nadväznosti na zmenu financovania (zrušenie tzv. koncesionárskych poplatkov a naviazanie na štátny rozpočet) ustanovujú záruky stabilného, predvídateľného a udržateľného financovania z verejných zdrojov, ktoré má spĺňať aj kvantifikovaný rozsah.</w:t>
      </w:r>
      <w:r>
        <w:rPr>
          <w:rFonts w:ascii="Book Antiqua" w:hAnsi="Book Antiqua"/>
          <w:sz w:val="22"/>
          <w:szCs w:val="22"/>
        </w:rPr>
        <w:t xml:space="preserve"> </w:t>
      </w:r>
      <w:r w:rsidR="00F84D04" w:rsidRPr="001B345C">
        <w:rPr>
          <w:rFonts w:ascii="Book Antiqua" w:hAnsi="Book Antiqua"/>
          <w:sz w:val="22"/>
          <w:szCs w:val="22"/>
        </w:rPr>
        <w:t>Týmito zárukami sa napĺňa</w:t>
      </w:r>
      <w:r>
        <w:rPr>
          <w:rFonts w:ascii="Book Antiqua" w:hAnsi="Book Antiqua"/>
          <w:sz w:val="22"/>
          <w:szCs w:val="22"/>
        </w:rPr>
        <w:t xml:space="preserve"> aj citované odporúčanie Správy </w:t>
      </w:r>
      <w:r w:rsidR="00F84D04" w:rsidRPr="001B345C">
        <w:rPr>
          <w:rFonts w:ascii="Book Antiqua" w:hAnsi="Book Antiqua"/>
          <w:sz w:val="22"/>
          <w:szCs w:val="22"/>
        </w:rPr>
        <w:t>o právnom štáte 2022, pokiaľ ide o nezávislé riadenie a redakčnú nezávislosť v ekonomickom kontexte.</w:t>
      </w:r>
    </w:p>
    <w:p w:rsidR="00941B10" w:rsidRPr="001B345C" w:rsidRDefault="00941B10" w:rsidP="001B345C">
      <w:pPr>
        <w:spacing w:before="120" w:line="276" w:lineRule="auto"/>
        <w:jc w:val="both"/>
        <w:rPr>
          <w:rFonts w:ascii="Book Antiqua" w:hAnsi="Book Antiqua"/>
          <w:sz w:val="22"/>
          <w:szCs w:val="22"/>
        </w:rPr>
      </w:pPr>
    </w:p>
    <w:p w:rsidR="00941B10" w:rsidRPr="003A234B" w:rsidRDefault="003A234B" w:rsidP="001B345C">
      <w:pPr>
        <w:spacing w:before="120" w:line="276" w:lineRule="auto"/>
        <w:jc w:val="both"/>
        <w:rPr>
          <w:rFonts w:ascii="Book Antiqua" w:hAnsi="Book Antiqua" w:cs="Calibri"/>
          <w:sz w:val="22"/>
          <w:szCs w:val="22"/>
        </w:rPr>
      </w:pPr>
      <w:r w:rsidRPr="003A234B">
        <w:rPr>
          <w:rFonts w:ascii="Book Antiqua" w:hAnsi="Book Antiqua" w:cs="Calibri"/>
          <w:b/>
          <w:sz w:val="22"/>
          <w:szCs w:val="22"/>
        </w:rPr>
        <w:t>K Čl. II</w:t>
      </w:r>
    </w:p>
    <w:p w:rsidR="00941B10" w:rsidRPr="001B345C" w:rsidRDefault="00DB728A" w:rsidP="001B345C">
      <w:pPr>
        <w:spacing w:before="120" w:line="276" w:lineRule="auto"/>
        <w:jc w:val="both"/>
        <w:rPr>
          <w:rFonts w:ascii="Book Antiqua" w:hAnsi="Book Antiqua" w:cs="Calibri"/>
          <w:sz w:val="22"/>
          <w:szCs w:val="22"/>
        </w:rPr>
      </w:pPr>
      <w:r w:rsidRPr="001B345C">
        <w:rPr>
          <w:rFonts w:ascii="Book Antiqua" w:hAnsi="Book Antiqua" w:cs="Calibri"/>
          <w:sz w:val="22"/>
          <w:szCs w:val="22"/>
        </w:rPr>
        <w:t>Vzhľadom na charakter a obsah navrhovaných ustanovení</w:t>
      </w:r>
      <w:r w:rsidR="003A234B">
        <w:rPr>
          <w:rFonts w:ascii="Book Antiqua" w:hAnsi="Book Antiqua" w:cs="Calibri"/>
          <w:sz w:val="22"/>
          <w:szCs w:val="22"/>
        </w:rPr>
        <w:t>, ako aj nadobudnutie účinnosti zákona, ktorým sa zrušuje doterajší spôsob financovania verejnoprávneho média (RTVS) k 1. júlu 2023,</w:t>
      </w:r>
      <w:r w:rsidRPr="001B345C">
        <w:rPr>
          <w:rFonts w:ascii="Book Antiqua" w:hAnsi="Book Antiqua" w:cs="Calibri"/>
          <w:sz w:val="22"/>
          <w:szCs w:val="22"/>
        </w:rPr>
        <w:t xml:space="preserve"> sa navrhuje účinnosť </w:t>
      </w:r>
      <w:r w:rsidR="003A234B">
        <w:rPr>
          <w:rFonts w:ascii="Book Antiqua" w:hAnsi="Book Antiqua" w:cs="Calibri"/>
          <w:sz w:val="22"/>
          <w:szCs w:val="22"/>
        </w:rPr>
        <w:t xml:space="preserve">ústavného </w:t>
      </w:r>
      <w:r w:rsidRPr="001B345C">
        <w:rPr>
          <w:rFonts w:ascii="Book Antiqua" w:hAnsi="Book Antiqua" w:cs="Calibri"/>
          <w:sz w:val="22"/>
          <w:szCs w:val="22"/>
        </w:rPr>
        <w:t>zákona dňom vyhlásenia.</w:t>
      </w:r>
    </w:p>
    <w:p w:rsidR="00941B10" w:rsidRPr="001B345C" w:rsidRDefault="00941B10" w:rsidP="001B345C">
      <w:pPr>
        <w:spacing w:before="120" w:line="276" w:lineRule="auto"/>
        <w:jc w:val="both"/>
        <w:rPr>
          <w:rFonts w:ascii="Book Antiqua" w:hAnsi="Book Antiqua" w:cs="Calibri"/>
          <w:sz w:val="22"/>
          <w:szCs w:val="22"/>
        </w:rPr>
      </w:pPr>
    </w:p>
    <w:p w:rsidR="00DB728A" w:rsidRDefault="00DB728A"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Default="00AD4698" w:rsidP="001B345C">
      <w:pPr>
        <w:spacing w:before="120" w:line="276" w:lineRule="auto"/>
        <w:jc w:val="both"/>
        <w:rPr>
          <w:rFonts w:ascii="Book Antiqua" w:hAnsi="Book Antiqua" w:cs="Calibri"/>
          <w:sz w:val="22"/>
          <w:szCs w:val="22"/>
        </w:rPr>
      </w:pPr>
    </w:p>
    <w:p w:rsidR="00AD4698" w:rsidRPr="001B345C" w:rsidRDefault="00AD4698" w:rsidP="001B345C">
      <w:pPr>
        <w:spacing w:before="120" w:line="276" w:lineRule="auto"/>
        <w:jc w:val="both"/>
        <w:rPr>
          <w:rFonts w:ascii="Book Antiqua" w:hAnsi="Book Antiqua" w:cs="Calibri"/>
          <w:sz w:val="22"/>
          <w:szCs w:val="22"/>
        </w:rPr>
      </w:pPr>
    </w:p>
    <w:p w:rsidR="00DB728A" w:rsidRPr="001B345C" w:rsidRDefault="00DB728A" w:rsidP="001B345C">
      <w:pPr>
        <w:spacing w:before="120" w:line="276" w:lineRule="auto"/>
        <w:jc w:val="both"/>
        <w:rPr>
          <w:rFonts w:ascii="Book Antiqua" w:hAnsi="Book Antiqua" w:cs="Calibri"/>
          <w:sz w:val="22"/>
          <w:szCs w:val="22"/>
        </w:rPr>
      </w:pPr>
    </w:p>
    <w:p w:rsidR="003A234B" w:rsidRPr="00732176" w:rsidRDefault="003A234B" w:rsidP="003A234B">
      <w:pPr>
        <w:pStyle w:val="Normlnywebov"/>
        <w:spacing w:before="120" w:beforeAutospacing="0" w:after="0" w:afterAutospacing="0" w:line="276" w:lineRule="auto"/>
        <w:jc w:val="center"/>
        <w:rPr>
          <w:rFonts w:ascii="Book Antiqua" w:hAnsi="Book Antiqua"/>
          <w:sz w:val="22"/>
          <w:szCs w:val="22"/>
        </w:rPr>
      </w:pPr>
      <w:r w:rsidRPr="00732176">
        <w:rPr>
          <w:rFonts w:ascii="Book Antiqua" w:hAnsi="Book Antiqua"/>
          <w:b/>
          <w:bCs/>
          <w:caps/>
          <w:spacing w:val="30"/>
          <w:sz w:val="22"/>
          <w:szCs w:val="22"/>
        </w:rPr>
        <w:lastRenderedPageBreak/>
        <w:t>DOLOŽKA ZLUČITEĽNOSTI</w:t>
      </w:r>
    </w:p>
    <w:p w:rsidR="003A234B" w:rsidRPr="00732176" w:rsidRDefault="003A234B" w:rsidP="003A234B">
      <w:pPr>
        <w:pStyle w:val="Normlnywebov"/>
        <w:spacing w:before="120" w:beforeAutospacing="0" w:after="0" w:afterAutospacing="0" w:line="276" w:lineRule="auto"/>
        <w:jc w:val="center"/>
        <w:rPr>
          <w:rFonts w:ascii="Book Antiqua" w:hAnsi="Book Antiqua"/>
          <w:sz w:val="22"/>
          <w:szCs w:val="22"/>
        </w:rPr>
      </w:pPr>
      <w:r w:rsidRPr="00732176">
        <w:rPr>
          <w:rFonts w:ascii="Book Antiqua" w:hAnsi="Book Antiqua"/>
          <w:b/>
          <w:bCs/>
          <w:sz w:val="22"/>
          <w:szCs w:val="22"/>
        </w:rPr>
        <w:t xml:space="preserve">návrhu </w:t>
      </w:r>
      <w:r>
        <w:rPr>
          <w:rFonts w:ascii="Book Antiqua" w:hAnsi="Book Antiqua"/>
          <w:b/>
          <w:bCs/>
          <w:sz w:val="22"/>
          <w:szCs w:val="22"/>
        </w:rPr>
        <w:t xml:space="preserve">ústavného </w:t>
      </w:r>
      <w:r w:rsidRPr="00732176">
        <w:rPr>
          <w:rFonts w:ascii="Book Antiqua" w:hAnsi="Book Antiqua"/>
          <w:b/>
          <w:bCs/>
          <w:sz w:val="22"/>
          <w:szCs w:val="22"/>
        </w:rPr>
        <w:t>zákona</w:t>
      </w:r>
      <w:r w:rsidRPr="00732176">
        <w:rPr>
          <w:rFonts w:ascii="Book Antiqua" w:hAnsi="Book Antiqua"/>
          <w:sz w:val="22"/>
          <w:szCs w:val="22"/>
        </w:rPr>
        <w:t xml:space="preserve"> </w:t>
      </w:r>
      <w:r w:rsidRPr="00732176">
        <w:rPr>
          <w:rFonts w:ascii="Book Antiqua" w:hAnsi="Book Antiqua"/>
          <w:b/>
          <w:bCs/>
          <w:sz w:val="22"/>
          <w:szCs w:val="22"/>
        </w:rPr>
        <w:t>s právom Európskej únie</w:t>
      </w:r>
    </w:p>
    <w:p w:rsidR="003A234B" w:rsidRPr="00732176" w:rsidRDefault="003A234B" w:rsidP="003A234B">
      <w:pPr>
        <w:pStyle w:val="Normlnywebov"/>
        <w:spacing w:before="120" w:beforeAutospacing="0" w:after="0" w:afterAutospacing="0" w:line="276" w:lineRule="auto"/>
        <w:jc w:val="both"/>
        <w:rPr>
          <w:rFonts w:ascii="Book Antiqua" w:hAnsi="Book Antiqua"/>
          <w:sz w:val="22"/>
          <w:szCs w:val="22"/>
        </w:rPr>
      </w:pPr>
    </w:p>
    <w:p w:rsidR="003A234B" w:rsidRPr="00732176" w:rsidRDefault="003A234B" w:rsidP="003A234B">
      <w:pPr>
        <w:pStyle w:val="Normlnywebov"/>
        <w:spacing w:before="120" w:beforeAutospacing="0" w:after="0" w:afterAutospacing="0" w:line="276" w:lineRule="auto"/>
        <w:jc w:val="both"/>
        <w:rPr>
          <w:rFonts w:ascii="Book Antiqua" w:hAnsi="Book Antiqua"/>
          <w:sz w:val="22"/>
          <w:szCs w:val="22"/>
        </w:rPr>
      </w:pPr>
      <w:r w:rsidRPr="00732176">
        <w:rPr>
          <w:rFonts w:ascii="Book Antiqua" w:hAnsi="Book Antiqua"/>
          <w:b/>
          <w:bCs/>
          <w:sz w:val="22"/>
          <w:szCs w:val="22"/>
        </w:rPr>
        <w:t xml:space="preserve">1. Navrhovateľ </w:t>
      </w:r>
      <w:r>
        <w:rPr>
          <w:rFonts w:ascii="Book Antiqua" w:hAnsi="Book Antiqua"/>
          <w:b/>
          <w:bCs/>
          <w:sz w:val="22"/>
          <w:szCs w:val="22"/>
        </w:rPr>
        <w:t xml:space="preserve">ústavného </w:t>
      </w:r>
      <w:r w:rsidRPr="00732176">
        <w:rPr>
          <w:rFonts w:ascii="Book Antiqua" w:hAnsi="Book Antiqua"/>
          <w:b/>
          <w:bCs/>
          <w:sz w:val="22"/>
          <w:szCs w:val="22"/>
        </w:rPr>
        <w:t>zákona:</w:t>
      </w:r>
      <w:r w:rsidRPr="00732176">
        <w:rPr>
          <w:rFonts w:ascii="Book Antiqua" w:hAnsi="Book Antiqua"/>
          <w:sz w:val="22"/>
          <w:szCs w:val="22"/>
        </w:rPr>
        <w:t xml:space="preserve"> </w:t>
      </w:r>
      <w:r>
        <w:rPr>
          <w:rFonts w:ascii="Book Antiqua" w:hAnsi="Book Antiqua"/>
          <w:sz w:val="22"/>
          <w:szCs w:val="22"/>
        </w:rPr>
        <w:t xml:space="preserve">poslanec </w:t>
      </w:r>
      <w:r w:rsidRPr="00732176">
        <w:rPr>
          <w:rFonts w:ascii="Book Antiqua" w:hAnsi="Book Antiqua"/>
          <w:sz w:val="22"/>
          <w:szCs w:val="22"/>
        </w:rPr>
        <w:t>Národnej rady Sl</w:t>
      </w:r>
      <w:r>
        <w:rPr>
          <w:rFonts w:ascii="Book Antiqua" w:hAnsi="Book Antiqua"/>
          <w:sz w:val="22"/>
          <w:szCs w:val="22"/>
        </w:rPr>
        <w:t>ovenskej republiky Milan Vetrák</w:t>
      </w:r>
    </w:p>
    <w:p w:rsidR="003A234B" w:rsidRPr="00732176" w:rsidRDefault="003A234B" w:rsidP="003A234B">
      <w:pPr>
        <w:pStyle w:val="Normlnywebov"/>
        <w:spacing w:before="120" w:beforeAutospacing="0" w:after="0" w:afterAutospacing="0" w:line="276" w:lineRule="auto"/>
        <w:jc w:val="both"/>
        <w:rPr>
          <w:rFonts w:ascii="Book Antiqua" w:hAnsi="Book Antiqua"/>
          <w:sz w:val="22"/>
          <w:szCs w:val="22"/>
        </w:rPr>
      </w:pPr>
    </w:p>
    <w:p w:rsidR="003A234B" w:rsidRPr="00732176" w:rsidRDefault="003A234B" w:rsidP="003A234B">
      <w:pPr>
        <w:pStyle w:val="Normlnywebov"/>
        <w:spacing w:before="120" w:beforeAutospacing="0" w:after="0" w:afterAutospacing="0" w:line="276" w:lineRule="auto"/>
        <w:jc w:val="both"/>
        <w:rPr>
          <w:rFonts w:ascii="Book Antiqua" w:hAnsi="Book Antiqua"/>
          <w:sz w:val="22"/>
          <w:szCs w:val="22"/>
        </w:rPr>
      </w:pPr>
      <w:r w:rsidRPr="00732176">
        <w:rPr>
          <w:rFonts w:ascii="Book Antiqua" w:hAnsi="Book Antiqua"/>
          <w:b/>
          <w:bCs/>
          <w:sz w:val="22"/>
          <w:szCs w:val="22"/>
        </w:rPr>
        <w:t xml:space="preserve">2. Názov návrhu </w:t>
      </w:r>
      <w:r>
        <w:rPr>
          <w:rFonts w:ascii="Book Antiqua" w:hAnsi="Book Antiqua"/>
          <w:b/>
          <w:bCs/>
          <w:sz w:val="22"/>
          <w:szCs w:val="22"/>
        </w:rPr>
        <w:t xml:space="preserve">ústavného </w:t>
      </w:r>
      <w:r w:rsidRPr="00732176">
        <w:rPr>
          <w:rFonts w:ascii="Book Antiqua" w:hAnsi="Book Antiqua"/>
          <w:b/>
          <w:bCs/>
          <w:sz w:val="22"/>
          <w:szCs w:val="22"/>
        </w:rPr>
        <w:t>zákona:</w:t>
      </w:r>
      <w:r>
        <w:rPr>
          <w:rFonts w:ascii="Book Antiqua" w:hAnsi="Book Antiqua"/>
          <w:sz w:val="22"/>
          <w:szCs w:val="22"/>
        </w:rPr>
        <w:t xml:space="preserve"> návrh </w:t>
      </w:r>
      <w:r w:rsidRPr="001B345C">
        <w:rPr>
          <w:rFonts w:ascii="Book Antiqua" w:hAnsi="Book Antiqua"/>
          <w:sz w:val="22"/>
          <w:szCs w:val="22"/>
        </w:rPr>
        <w:t>ústavného zákona, ktorým sa mení Ústava Slovenskej republiky č. 460/1992 Zb. v znení neskorších predpisov</w:t>
      </w:r>
    </w:p>
    <w:p w:rsidR="003A234B" w:rsidRPr="00732176" w:rsidRDefault="003A234B" w:rsidP="003A234B">
      <w:pPr>
        <w:pStyle w:val="Normlnywebov"/>
        <w:spacing w:before="120" w:beforeAutospacing="0" w:after="0" w:afterAutospacing="0" w:line="276" w:lineRule="auto"/>
        <w:jc w:val="both"/>
        <w:rPr>
          <w:rFonts w:ascii="Book Antiqua" w:hAnsi="Book Antiqua"/>
          <w:sz w:val="22"/>
          <w:szCs w:val="22"/>
        </w:rPr>
      </w:pPr>
    </w:p>
    <w:p w:rsidR="003A234B" w:rsidRPr="00732176" w:rsidRDefault="003A234B" w:rsidP="003A234B">
      <w:pPr>
        <w:pStyle w:val="Normlnywebov"/>
        <w:spacing w:before="120" w:beforeAutospacing="0" w:after="0" w:afterAutospacing="0" w:line="276" w:lineRule="auto"/>
        <w:jc w:val="both"/>
        <w:rPr>
          <w:rFonts w:ascii="Book Antiqua" w:hAnsi="Book Antiqua"/>
          <w:b/>
          <w:bCs/>
          <w:sz w:val="22"/>
          <w:szCs w:val="22"/>
        </w:rPr>
      </w:pPr>
      <w:r w:rsidRPr="00732176">
        <w:rPr>
          <w:rFonts w:ascii="Book Antiqua" w:hAnsi="Book Antiqua"/>
          <w:b/>
          <w:bCs/>
          <w:sz w:val="22"/>
          <w:szCs w:val="22"/>
        </w:rPr>
        <w:t xml:space="preserve">3. Predmet návrhu </w:t>
      </w:r>
      <w:r w:rsidR="008B5FAE">
        <w:rPr>
          <w:rFonts w:ascii="Book Antiqua" w:hAnsi="Book Antiqua"/>
          <w:b/>
          <w:bCs/>
          <w:sz w:val="22"/>
          <w:szCs w:val="22"/>
        </w:rPr>
        <w:t xml:space="preserve">ústavného </w:t>
      </w:r>
      <w:r w:rsidRPr="00732176">
        <w:rPr>
          <w:rFonts w:ascii="Book Antiqua" w:hAnsi="Book Antiqua"/>
          <w:b/>
          <w:bCs/>
          <w:sz w:val="22"/>
          <w:szCs w:val="22"/>
        </w:rPr>
        <w:t>zákona:</w:t>
      </w:r>
    </w:p>
    <w:p w:rsidR="003A234B" w:rsidRPr="00732176" w:rsidRDefault="003A234B" w:rsidP="003A234B">
      <w:pPr>
        <w:pStyle w:val="Normlnywebov"/>
        <w:numPr>
          <w:ilvl w:val="0"/>
          <w:numId w:val="3"/>
        </w:numPr>
        <w:spacing w:before="120" w:beforeAutospacing="0" w:after="0" w:afterAutospacing="0" w:line="276" w:lineRule="auto"/>
        <w:jc w:val="both"/>
        <w:rPr>
          <w:rFonts w:ascii="Book Antiqua" w:hAnsi="Book Antiqua"/>
          <w:bCs/>
          <w:sz w:val="22"/>
          <w:szCs w:val="22"/>
        </w:rPr>
      </w:pPr>
      <w:r w:rsidRPr="00732176">
        <w:rPr>
          <w:rFonts w:ascii="Book Antiqua" w:hAnsi="Book Antiqua"/>
          <w:bCs/>
          <w:sz w:val="22"/>
          <w:szCs w:val="22"/>
        </w:rPr>
        <w:t>je upravený v primárnom práve Európskej únie,</w:t>
      </w:r>
      <w:r w:rsidR="008B5FAE">
        <w:rPr>
          <w:rFonts w:ascii="Book Antiqua" w:hAnsi="Book Antiqua"/>
          <w:bCs/>
          <w:sz w:val="22"/>
          <w:szCs w:val="22"/>
        </w:rPr>
        <w:t xml:space="preserve"> a to v Zmluve o fungovaní Európskej únie vrátane Protokolu č. 29 k nej, ako aj v čl. 11 Charty základných práv Európskej únie,</w:t>
      </w:r>
    </w:p>
    <w:p w:rsidR="003A234B" w:rsidRPr="00732176" w:rsidRDefault="003A234B" w:rsidP="003A234B">
      <w:pPr>
        <w:pStyle w:val="Normlnywebov"/>
        <w:numPr>
          <w:ilvl w:val="0"/>
          <w:numId w:val="3"/>
        </w:numPr>
        <w:spacing w:before="120" w:beforeAutospacing="0" w:after="0" w:afterAutospacing="0" w:line="276" w:lineRule="auto"/>
        <w:jc w:val="both"/>
        <w:rPr>
          <w:rFonts w:ascii="Book Antiqua" w:hAnsi="Book Antiqua"/>
          <w:bCs/>
          <w:sz w:val="22"/>
          <w:szCs w:val="22"/>
        </w:rPr>
      </w:pPr>
      <w:r w:rsidRPr="00732176">
        <w:rPr>
          <w:rFonts w:ascii="Book Antiqua" w:hAnsi="Book Antiqua"/>
          <w:bCs/>
          <w:sz w:val="22"/>
          <w:szCs w:val="22"/>
        </w:rPr>
        <w:t>nie je upravený v sekundárnom práve Európskej únie,</w:t>
      </w:r>
    </w:p>
    <w:p w:rsidR="003A234B" w:rsidRDefault="003A234B" w:rsidP="003A234B">
      <w:pPr>
        <w:pStyle w:val="Normlnywebov"/>
        <w:numPr>
          <w:ilvl w:val="0"/>
          <w:numId w:val="3"/>
        </w:numPr>
        <w:spacing w:before="120" w:beforeAutospacing="0" w:after="0" w:afterAutospacing="0" w:line="276" w:lineRule="auto"/>
        <w:jc w:val="both"/>
        <w:rPr>
          <w:rFonts w:ascii="Book Antiqua" w:hAnsi="Book Antiqua"/>
          <w:bCs/>
          <w:sz w:val="22"/>
          <w:szCs w:val="22"/>
        </w:rPr>
      </w:pPr>
      <w:r w:rsidRPr="00732176">
        <w:rPr>
          <w:rFonts w:ascii="Book Antiqua" w:hAnsi="Book Antiqua"/>
          <w:bCs/>
          <w:sz w:val="22"/>
          <w:szCs w:val="22"/>
        </w:rPr>
        <w:t>je obsiahnutý v judikatú</w:t>
      </w:r>
      <w:r w:rsidR="008B5FAE">
        <w:rPr>
          <w:rFonts w:ascii="Book Antiqua" w:hAnsi="Book Antiqua"/>
          <w:bCs/>
          <w:sz w:val="22"/>
          <w:szCs w:val="22"/>
        </w:rPr>
        <w:t>re Súdneho dvora Európskej únie, napr. v týchto rozhodnutiach:</w:t>
      </w:r>
    </w:p>
    <w:p w:rsidR="008B5FAE" w:rsidRPr="008B5FAE" w:rsidRDefault="008B5FAE" w:rsidP="008B5FAE">
      <w:pPr>
        <w:pStyle w:val="Normlnywebov"/>
        <w:numPr>
          <w:ilvl w:val="0"/>
          <w:numId w:val="5"/>
        </w:numPr>
        <w:spacing w:before="120" w:beforeAutospacing="0" w:after="0" w:afterAutospacing="0" w:line="276" w:lineRule="auto"/>
        <w:jc w:val="both"/>
        <w:rPr>
          <w:rFonts w:ascii="Book Antiqua" w:hAnsi="Book Antiqua"/>
          <w:bCs/>
          <w:sz w:val="22"/>
          <w:szCs w:val="22"/>
        </w:rPr>
      </w:pPr>
      <w:r w:rsidRPr="001B345C">
        <w:rPr>
          <w:rFonts w:ascii="Book Antiqua" w:hAnsi="Book Antiqua"/>
          <w:sz w:val="22"/>
          <w:szCs w:val="22"/>
        </w:rPr>
        <w:t>CFI, Joined Cases T-309/04, T-317/04, T-329/04 and T-336/04, TV 2/Danmark A/S and Others v Commiss</w:t>
      </w:r>
      <w:r>
        <w:rPr>
          <w:rFonts w:ascii="Book Antiqua" w:hAnsi="Book Antiqua"/>
          <w:sz w:val="22"/>
          <w:szCs w:val="22"/>
        </w:rPr>
        <w:t>ion of the European Communities,</w:t>
      </w:r>
    </w:p>
    <w:p w:rsidR="008B5FAE" w:rsidRPr="008B5FAE" w:rsidRDefault="008B5FAE" w:rsidP="008B5FAE">
      <w:pPr>
        <w:pStyle w:val="Normlnywebov"/>
        <w:numPr>
          <w:ilvl w:val="0"/>
          <w:numId w:val="5"/>
        </w:numPr>
        <w:spacing w:before="120" w:beforeAutospacing="0" w:after="0" w:afterAutospacing="0" w:line="276" w:lineRule="auto"/>
        <w:jc w:val="both"/>
        <w:rPr>
          <w:rFonts w:ascii="Book Antiqua" w:hAnsi="Book Antiqua"/>
          <w:bCs/>
          <w:sz w:val="22"/>
          <w:szCs w:val="22"/>
        </w:rPr>
      </w:pPr>
      <w:r w:rsidRPr="001B345C">
        <w:rPr>
          <w:rFonts w:ascii="Book Antiqua" w:hAnsi="Book Antiqua"/>
          <w:sz w:val="22"/>
          <w:szCs w:val="22"/>
        </w:rPr>
        <w:t>ECJ, Case C-260/89, Elliniki Radiophonia Tiléorassi AE and Panellinia Omospondia Syllogon Prossopikou v Dimotiki Etairia Pliroforissis and Sotirios Kouvelas and Nicolaos Avdellas and other</w:t>
      </w:r>
      <w:r>
        <w:rPr>
          <w:rFonts w:ascii="Book Antiqua" w:hAnsi="Book Antiqua"/>
          <w:sz w:val="22"/>
          <w:szCs w:val="22"/>
        </w:rPr>
        <w:t>,</w:t>
      </w:r>
    </w:p>
    <w:p w:rsidR="008B5FAE" w:rsidRPr="008B5FAE" w:rsidRDefault="008B5FAE" w:rsidP="008B5FAE">
      <w:pPr>
        <w:pStyle w:val="Normlnywebov"/>
        <w:numPr>
          <w:ilvl w:val="0"/>
          <w:numId w:val="5"/>
        </w:numPr>
        <w:spacing w:before="120" w:beforeAutospacing="0" w:after="0" w:afterAutospacing="0" w:line="276" w:lineRule="auto"/>
        <w:jc w:val="both"/>
        <w:rPr>
          <w:rFonts w:ascii="Book Antiqua" w:hAnsi="Book Antiqua"/>
          <w:bCs/>
          <w:sz w:val="22"/>
          <w:szCs w:val="22"/>
        </w:rPr>
      </w:pPr>
      <w:r w:rsidRPr="001B345C">
        <w:rPr>
          <w:rFonts w:ascii="Book Antiqua" w:hAnsi="Book Antiqua"/>
          <w:sz w:val="22"/>
          <w:szCs w:val="22"/>
        </w:rPr>
        <w:t>CFI, Case T-442/03, SIC - Sociedade Independente de Comunicação, SA v Commission of the European Communities, op. Cit., §§ 201, 202</w:t>
      </w:r>
      <w:r>
        <w:rPr>
          <w:rFonts w:ascii="Book Antiqua" w:hAnsi="Book Antiqua"/>
          <w:sz w:val="22"/>
          <w:szCs w:val="22"/>
        </w:rPr>
        <w:t>.</w:t>
      </w:r>
    </w:p>
    <w:p w:rsidR="008B5FAE" w:rsidRPr="001B345C" w:rsidRDefault="008B5FAE" w:rsidP="008B5FAE">
      <w:pPr>
        <w:spacing w:before="120" w:line="276" w:lineRule="auto"/>
        <w:rPr>
          <w:rFonts w:ascii="Book Antiqua" w:hAnsi="Book Antiqua"/>
          <w:sz w:val="22"/>
          <w:szCs w:val="22"/>
          <w:lang w:eastAsia="sk-SK"/>
        </w:rPr>
      </w:pPr>
    </w:p>
    <w:p w:rsidR="008B5FAE" w:rsidRPr="008B5FAE" w:rsidRDefault="008B5FAE" w:rsidP="008B5FAE">
      <w:pPr>
        <w:spacing w:before="120" w:line="276" w:lineRule="auto"/>
        <w:rPr>
          <w:rFonts w:ascii="Book Antiqua" w:hAnsi="Book Antiqua"/>
          <w:b/>
          <w:bCs/>
          <w:sz w:val="22"/>
          <w:szCs w:val="22"/>
          <w:lang w:eastAsia="sk-SK"/>
        </w:rPr>
      </w:pPr>
      <w:r w:rsidRPr="001B345C">
        <w:rPr>
          <w:rFonts w:ascii="Book Antiqua" w:hAnsi="Book Antiqua"/>
          <w:b/>
          <w:bCs/>
          <w:sz w:val="22"/>
          <w:szCs w:val="22"/>
          <w:lang w:eastAsia="sk-SK"/>
        </w:rPr>
        <w:t>4. Záväzky Slovenskej republiky vo vzťahu k Európskej únii:</w:t>
      </w:r>
    </w:p>
    <w:p w:rsidR="008B5FAE" w:rsidRPr="001B345C" w:rsidRDefault="008B5FAE" w:rsidP="008B5FAE">
      <w:pPr>
        <w:pStyle w:val="Odsekzoznamu"/>
        <w:numPr>
          <w:ilvl w:val="0"/>
          <w:numId w:val="1"/>
        </w:numPr>
        <w:spacing w:before="120" w:line="276" w:lineRule="auto"/>
        <w:rPr>
          <w:rFonts w:ascii="Book Antiqua" w:hAnsi="Book Antiqua"/>
          <w:sz w:val="22"/>
          <w:szCs w:val="22"/>
        </w:rPr>
      </w:pPr>
      <w:r>
        <w:rPr>
          <w:rFonts w:ascii="Book Antiqua" w:hAnsi="Book Antiqua"/>
          <w:sz w:val="22"/>
          <w:szCs w:val="22"/>
        </w:rPr>
        <w:t>bezpredmetné,</w:t>
      </w:r>
    </w:p>
    <w:p w:rsidR="008B5FAE" w:rsidRPr="008B5FAE" w:rsidRDefault="008B5FAE" w:rsidP="008B5FAE">
      <w:pPr>
        <w:pStyle w:val="Odsekzoznamu"/>
        <w:numPr>
          <w:ilvl w:val="0"/>
          <w:numId w:val="1"/>
        </w:numPr>
        <w:spacing w:before="120" w:line="276" w:lineRule="auto"/>
        <w:jc w:val="both"/>
        <w:rPr>
          <w:rFonts w:ascii="Book Antiqua" w:hAnsi="Book Antiqua"/>
          <w:sz w:val="22"/>
          <w:szCs w:val="22"/>
        </w:rPr>
      </w:pPr>
      <w:r>
        <w:rPr>
          <w:rFonts w:ascii="Book Antiqua" w:hAnsi="Book Antiqua"/>
          <w:sz w:val="22"/>
          <w:szCs w:val="22"/>
        </w:rPr>
        <w:t xml:space="preserve">proti Slovenskej republike nebol začatý postup zo strany </w:t>
      </w:r>
      <w:r w:rsidRPr="001B345C">
        <w:rPr>
          <w:rFonts w:ascii="Book Antiqua" w:hAnsi="Book Antiqua"/>
          <w:sz w:val="22"/>
          <w:szCs w:val="22"/>
        </w:rPr>
        <w:t>Európskej</w:t>
      </w:r>
      <w:r w:rsidRPr="001B345C">
        <w:rPr>
          <w:rFonts w:ascii="Book Antiqua" w:hAnsi="Book Antiqua"/>
          <w:spacing w:val="40"/>
          <w:sz w:val="22"/>
          <w:szCs w:val="22"/>
        </w:rPr>
        <w:t xml:space="preserve"> </w:t>
      </w:r>
      <w:r w:rsidRPr="001B345C">
        <w:rPr>
          <w:rFonts w:ascii="Book Antiqua" w:hAnsi="Book Antiqua"/>
          <w:sz w:val="22"/>
          <w:szCs w:val="22"/>
        </w:rPr>
        <w:t>komisie</w:t>
      </w:r>
      <w:r w:rsidRPr="001B345C">
        <w:rPr>
          <w:rFonts w:ascii="Book Antiqua" w:hAnsi="Book Antiqua"/>
          <w:spacing w:val="40"/>
          <w:sz w:val="22"/>
          <w:szCs w:val="22"/>
        </w:rPr>
        <w:t xml:space="preserve"> </w:t>
      </w:r>
      <w:r>
        <w:rPr>
          <w:rFonts w:ascii="Book Antiqua" w:hAnsi="Book Antiqua"/>
          <w:sz w:val="22"/>
          <w:szCs w:val="22"/>
        </w:rPr>
        <w:t xml:space="preserve">alebo </w:t>
      </w:r>
      <w:r w:rsidRPr="001B345C">
        <w:rPr>
          <w:rFonts w:ascii="Book Antiqua" w:hAnsi="Book Antiqua"/>
          <w:spacing w:val="40"/>
          <w:sz w:val="22"/>
          <w:szCs w:val="22"/>
        </w:rPr>
        <w:t xml:space="preserve"> </w:t>
      </w:r>
      <w:r>
        <w:rPr>
          <w:rFonts w:ascii="Book Antiqua" w:hAnsi="Book Antiqua"/>
          <w:sz w:val="22"/>
          <w:szCs w:val="22"/>
        </w:rPr>
        <w:t>konanie</w:t>
      </w:r>
      <w:r w:rsidRPr="001B345C">
        <w:rPr>
          <w:rFonts w:ascii="Book Antiqua" w:hAnsi="Book Antiqua"/>
          <w:spacing w:val="40"/>
          <w:sz w:val="22"/>
          <w:szCs w:val="22"/>
        </w:rPr>
        <w:t xml:space="preserve"> </w:t>
      </w:r>
      <w:r w:rsidRPr="001B345C">
        <w:rPr>
          <w:rFonts w:ascii="Book Antiqua" w:hAnsi="Book Antiqua"/>
          <w:sz w:val="22"/>
          <w:szCs w:val="22"/>
        </w:rPr>
        <w:t>Súdneho</w:t>
      </w:r>
      <w:r w:rsidRPr="001B345C">
        <w:rPr>
          <w:rFonts w:ascii="Book Antiqua" w:hAnsi="Book Antiqua"/>
          <w:spacing w:val="40"/>
          <w:sz w:val="22"/>
          <w:szCs w:val="22"/>
        </w:rPr>
        <w:t xml:space="preserve"> </w:t>
      </w:r>
      <w:r w:rsidRPr="001B345C">
        <w:rPr>
          <w:rFonts w:ascii="Book Antiqua" w:hAnsi="Book Antiqua"/>
          <w:sz w:val="22"/>
          <w:szCs w:val="22"/>
        </w:rPr>
        <w:t>dvora Európskej</w:t>
      </w:r>
      <w:r w:rsidRPr="001B345C">
        <w:rPr>
          <w:rFonts w:ascii="Book Antiqua" w:hAnsi="Book Antiqua"/>
          <w:spacing w:val="49"/>
          <w:sz w:val="22"/>
          <w:szCs w:val="22"/>
        </w:rPr>
        <w:t xml:space="preserve"> </w:t>
      </w:r>
      <w:r>
        <w:rPr>
          <w:rFonts w:ascii="Book Antiqua" w:hAnsi="Book Antiqua"/>
          <w:sz w:val="22"/>
          <w:szCs w:val="22"/>
        </w:rPr>
        <w:t xml:space="preserve">únie </w:t>
      </w:r>
      <w:r w:rsidRPr="001B345C">
        <w:rPr>
          <w:rFonts w:ascii="Book Antiqua" w:hAnsi="Book Antiqua"/>
          <w:sz w:val="22"/>
          <w:szCs w:val="22"/>
        </w:rPr>
        <w:t>podľa</w:t>
      </w:r>
      <w:r w:rsidRPr="001B345C">
        <w:rPr>
          <w:rFonts w:ascii="Book Antiqua" w:hAnsi="Book Antiqua"/>
          <w:spacing w:val="49"/>
          <w:sz w:val="22"/>
          <w:szCs w:val="22"/>
        </w:rPr>
        <w:t xml:space="preserve"> </w:t>
      </w:r>
      <w:r w:rsidRPr="001B345C">
        <w:rPr>
          <w:rFonts w:ascii="Book Antiqua" w:hAnsi="Book Antiqua"/>
          <w:sz w:val="22"/>
          <w:szCs w:val="22"/>
        </w:rPr>
        <w:t>čl.</w:t>
      </w:r>
      <w:r w:rsidRPr="001B345C">
        <w:rPr>
          <w:rFonts w:ascii="Book Antiqua" w:hAnsi="Book Antiqua"/>
          <w:spacing w:val="49"/>
          <w:sz w:val="22"/>
          <w:szCs w:val="22"/>
        </w:rPr>
        <w:t xml:space="preserve"> </w:t>
      </w:r>
      <w:r w:rsidRPr="001B345C">
        <w:rPr>
          <w:rFonts w:ascii="Book Antiqua" w:hAnsi="Book Antiqua"/>
          <w:sz w:val="22"/>
          <w:szCs w:val="22"/>
        </w:rPr>
        <w:t>258</w:t>
      </w:r>
      <w:r w:rsidRPr="001B345C">
        <w:rPr>
          <w:rFonts w:ascii="Book Antiqua" w:hAnsi="Book Antiqua"/>
          <w:spacing w:val="49"/>
          <w:sz w:val="22"/>
          <w:szCs w:val="22"/>
        </w:rPr>
        <w:t xml:space="preserve"> </w:t>
      </w:r>
      <w:r w:rsidRPr="001B345C">
        <w:rPr>
          <w:rFonts w:ascii="Book Antiqua" w:hAnsi="Book Antiqua"/>
          <w:sz w:val="22"/>
          <w:szCs w:val="22"/>
        </w:rPr>
        <w:t>a</w:t>
      </w:r>
      <w:r w:rsidRPr="001B345C">
        <w:rPr>
          <w:rFonts w:ascii="Book Antiqua" w:hAnsi="Book Antiqua"/>
          <w:spacing w:val="49"/>
          <w:sz w:val="22"/>
          <w:szCs w:val="22"/>
        </w:rPr>
        <w:t xml:space="preserve"> </w:t>
      </w:r>
      <w:r w:rsidRPr="001B345C">
        <w:rPr>
          <w:rFonts w:ascii="Book Antiqua" w:hAnsi="Book Antiqua"/>
          <w:sz w:val="22"/>
          <w:szCs w:val="22"/>
        </w:rPr>
        <w:t>260</w:t>
      </w:r>
      <w:r w:rsidRPr="001B345C">
        <w:rPr>
          <w:rFonts w:ascii="Book Antiqua" w:hAnsi="Book Antiqua"/>
          <w:spacing w:val="49"/>
          <w:sz w:val="22"/>
          <w:szCs w:val="22"/>
        </w:rPr>
        <w:t xml:space="preserve"> </w:t>
      </w:r>
      <w:r w:rsidRPr="001B345C">
        <w:rPr>
          <w:rFonts w:ascii="Book Antiqua" w:hAnsi="Book Antiqua"/>
          <w:sz w:val="22"/>
          <w:szCs w:val="22"/>
        </w:rPr>
        <w:t>Zmluvy</w:t>
      </w:r>
      <w:r w:rsidRPr="001B345C">
        <w:rPr>
          <w:rFonts w:ascii="Book Antiqua" w:hAnsi="Book Antiqua"/>
          <w:spacing w:val="49"/>
          <w:sz w:val="22"/>
          <w:szCs w:val="22"/>
        </w:rPr>
        <w:t xml:space="preserve"> </w:t>
      </w:r>
      <w:r w:rsidRPr="001B345C">
        <w:rPr>
          <w:rFonts w:ascii="Book Antiqua" w:hAnsi="Book Antiqua"/>
          <w:sz w:val="22"/>
          <w:szCs w:val="22"/>
        </w:rPr>
        <w:t>o fungovaní Európskej</w:t>
      </w:r>
      <w:r w:rsidRPr="001B345C">
        <w:rPr>
          <w:rFonts w:ascii="Book Antiqua" w:hAnsi="Book Antiqua"/>
          <w:spacing w:val="118"/>
          <w:sz w:val="22"/>
          <w:szCs w:val="22"/>
        </w:rPr>
        <w:t xml:space="preserve"> </w:t>
      </w:r>
      <w:r w:rsidRPr="001B345C">
        <w:rPr>
          <w:rFonts w:ascii="Book Antiqua" w:hAnsi="Book Antiqua"/>
          <w:sz w:val="22"/>
          <w:szCs w:val="22"/>
        </w:rPr>
        <w:t>únie</w:t>
      </w:r>
      <w:r w:rsidRPr="001B345C">
        <w:rPr>
          <w:rFonts w:ascii="Book Antiqua" w:hAnsi="Book Antiqua"/>
          <w:spacing w:val="118"/>
          <w:sz w:val="22"/>
          <w:szCs w:val="22"/>
        </w:rPr>
        <w:t xml:space="preserve"> </w:t>
      </w:r>
      <w:r w:rsidRPr="001B345C">
        <w:rPr>
          <w:rFonts w:ascii="Book Antiqua" w:hAnsi="Book Antiqua"/>
          <w:sz w:val="22"/>
          <w:szCs w:val="22"/>
        </w:rPr>
        <w:t>v</w:t>
      </w:r>
      <w:r w:rsidRPr="001B345C">
        <w:rPr>
          <w:rFonts w:ascii="Book Antiqua" w:hAnsi="Book Antiqua"/>
          <w:spacing w:val="118"/>
          <w:sz w:val="22"/>
          <w:szCs w:val="22"/>
        </w:rPr>
        <w:t xml:space="preserve"> </w:t>
      </w:r>
      <w:r w:rsidRPr="001B345C">
        <w:rPr>
          <w:rFonts w:ascii="Book Antiqua" w:hAnsi="Book Antiqua"/>
          <w:sz w:val="22"/>
          <w:szCs w:val="22"/>
        </w:rPr>
        <w:t>jej platnom</w:t>
      </w:r>
      <w:r w:rsidRPr="001B345C">
        <w:rPr>
          <w:rFonts w:ascii="Book Antiqua" w:hAnsi="Book Antiqua"/>
          <w:spacing w:val="118"/>
          <w:sz w:val="22"/>
          <w:szCs w:val="22"/>
        </w:rPr>
        <w:t xml:space="preserve"> </w:t>
      </w:r>
      <w:r>
        <w:rPr>
          <w:rFonts w:ascii="Book Antiqua" w:hAnsi="Book Antiqua"/>
          <w:sz w:val="22"/>
          <w:szCs w:val="22"/>
        </w:rPr>
        <w:t>znení,</w:t>
      </w:r>
    </w:p>
    <w:p w:rsidR="008B5FAE" w:rsidRPr="001B345C" w:rsidRDefault="008B5FAE" w:rsidP="008B5FAE">
      <w:pPr>
        <w:pStyle w:val="Odsekzoznamu"/>
        <w:numPr>
          <w:ilvl w:val="0"/>
          <w:numId w:val="1"/>
        </w:numPr>
        <w:spacing w:before="120" w:line="276" w:lineRule="auto"/>
        <w:jc w:val="both"/>
        <w:rPr>
          <w:rFonts w:ascii="Book Antiqua" w:hAnsi="Book Antiqua"/>
          <w:sz w:val="22"/>
          <w:szCs w:val="22"/>
        </w:rPr>
      </w:pPr>
      <w:r>
        <w:rPr>
          <w:rFonts w:ascii="Book Antiqua" w:hAnsi="Book Antiqua"/>
          <w:sz w:val="22"/>
          <w:szCs w:val="22"/>
        </w:rPr>
        <w:t>bezpredmetné.</w:t>
      </w:r>
    </w:p>
    <w:p w:rsidR="008B5FAE" w:rsidRDefault="008B5FAE" w:rsidP="008B5FAE">
      <w:pPr>
        <w:spacing w:before="120" w:line="276" w:lineRule="auto"/>
        <w:jc w:val="both"/>
        <w:rPr>
          <w:rFonts w:ascii="Book Antiqua" w:hAnsi="Book Antiqua"/>
          <w:b/>
          <w:bCs/>
          <w:sz w:val="22"/>
          <w:szCs w:val="22"/>
          <w:lang w:eastAsia="sk-SK"/>
        </w:rPr>
      </w:pPr>
    </w:p>
    <w:p w:rsidR="008B5FAE" w:rsidRPr="008B5FAE" w:rsidRDefault="008B5FAE" w:rsidP="008B5FAE">
      <w:pPr>
        <w:spacing w:before="120" w:line="276" w:lineRule="auto"/>
        <w:jc w:val="both"/>
        <w:rPr>
          <w:rFonts w:ascii="Book Antiqua" w:hAnsi="Book Antiqua"/>
          <w:b/>
          <w:bCs/>
          <w:sz w:val="22"/>
          <w:szCs w:val="22"/>
          <w:lang w:eastAsia="sk-SK"/>
        </w:rPr>
      </w:pPr>
      <w:r w:rsidRPr="001B345C">
        <w:rPr>
          <w:rFonts w:ascii="Book Antiqua" w:hAnsi="Book Antiqua"/>
          <w:b/>
          <w:bCs/>
          <w:sz w:val="22"/>
          <w:szCs w:val="22"/>
          <w:lang w:eastAsia="sk-SK"/>
        </w:rPr>
        <w:t xml:space="preserve">5. Návrh </w:t>
      </w:r>
      <w:r>
        <w:rPr>
          <w:rFonts w:ascii="Book Antiqua" w:hAnsi="Book Antiqua"/>
          <w:b/>
          <w:bCs/>
          <w:sz w:val="22"/>
          <w:szCs w:val="22"/>
          <w:lang w:eastAsia="sk-SK"/>
        </w:rPr>
        <w:t xml:space="preserve">ústavného </w:t>
      </w:r>
      <w:r w:rsidRPr="001B345C">
        <w:rPr>
          <w:rFonts w:ascii="Book Antiqua" w:hAnsi="Book Antiqua"/>
          <w:b/>
          <w:bCs/>
          <w:sz w:val="22"/>
          <w:szCs w:val="22"/>
          <w:lang w:eastAsia="sk-SK"/>
        </w:rPr>
        <w:t>zákona je zlučiteľný s právom Európskej únie:</w:t>
      </w:r>
      <w:r>
        <w:rPr>
          <w:rFonts w:ascii="Book Antiqua" w:hAnsi="Book Antiqua"/>
          <w:b/>
          <w:bCs/>
          <w:sz w:val="22"/>
          <w:szCs w:val="22"/>
          <w:lang w:eastAsia="sk-SK"/>
        </w:rPr>
        <w:t xml:space="preserve"> </w:t>
      </w:r>
      <w:r w:rsidRPr="008B5FAE">
        <w:rPr>
          <w:rFonts w:ascii="Book Antiqua" w:hAnsi="Book Antiqua"/>
          <w:sz w:val="22"/>
          <w:szCs w:val="22"/>
        </w:rPr>
        <w:t>úplne</w:t>
      </w:r>
      <w:r>
        <w:rPr>
          <w:rFonts w:ascii="Book Antiqua" w:hAnsi="Book Antiqua"/>
          <w:sz w:val="22"/>
          <w:szCs w:val="22"/>
        </w:rPr>
        <w:t>.</w:t>
      </w:r>
    </w:p>
    <w:p w:rsidR="008B5FAE" w:rsidRPr="00732176" w:rsidRDefault="008B5FAE" w:rsidP="008B5FAE">
      <w:pPr>
        <w:pStyle w:val="Normlnywebov"/>
        <w:spacing w:before="120" w:beforeAutospacing="0" w:after="0" w:afterAutospacing="0" w:line="276" w:lineRule="auto"/>
        <w:jc w:val="both"/>
        <w:rPr>
          <w:rFonts w:ascii="Book Antiqua" w:hAnsi="Book Antiqua"/>
          <w:bCs/>
          <w:sz w:val="22"/>
          <w:szCs w:val="22"/>
        </w:rPr>
      </w:pPr>
    </w:p>
    <w:p w:rsidR="003A234B" w:rsidRPr="00732176" w:rsidRDefault="003A234B" w:rsidP="003A234B">
      <w:pPr>
        <w:pStyle w:val="Normlnywebov"/>
        <w:spacing w:before="120" w:beforeAutospacing="0" w:after="0" w:afterAutospacing="0" w:line="276" w:lineRule="auto"/>
        <w:jc w:val="both"/>
        <w:rPr>
          <w:rFonts w:ascii="Book Antiqua" w:hAnsi="Book Antiqua"/>
          <w:b/>
          <w:bCs/>
          <w:sz w:val="22"/>
          <w:szCs w:val="22"/>
        </w:rPr>
      </w:pPr>
    </w:p>
    <w:p w:rsidR="003A234B" w:rsidRPr="00732176" w:rsidRDefault="003A234B" w:rsidP="003A234B">
      <w:pPr>
        <w:pStyle w:val="Normlnywebov"/>
        <w:spacing w:before="120" w:beforeAutospacing="0" w:after="0" w:afterAutospacing="0" w:line="276" w:lineRule="auto"/>
        <w:jc w:val="center"/>
        <w:rPr>
          <w:rFonts w:ascii="Book Antiqua" w:hAnsi="Book Antiqua"/>
          <w:sz w:val="22"/>
          <w:szCs w:val="22"/>
        </w:rPr>
      </w:pPr>
      <w:r w:rsidRPr="00732176">
        <w:rPr>
          <w:rFonts w:ascii="Book Antiqua" w:hAnsi="Book Antiqua"/>
          <w:sz w:val="22"/>
          <w:szCs w:val="22"/>
        </w:rPr>
        <w:br w:type="page"/>
      </w:r>
    </w:p>
    <w:p w:rsidR="003A234B" w:rsidRPr="00732176" w:rsidRDefault="003A234B" w:rsidP="003A234B">
      <w:pPr>
        <w:pStyle w:val="Normlnywebov"/>
        <w:spacing w:before="120" w:beforeAutospacing="0" w:after="0" w:afterAutospacing="0" w:line="276" w:lineRule="auto"/>
        <w:jc w:val="center"/>
        <w:rPr>
          <w:rFonts w:ascii="Book Antiqua" w:hAnsi="Book Antiqua"/>
          <w:b/>
          <w:bCs/>
          <w:caps/>
          <w:spacing w:val="30"/>
          <w:sz w:val="22"/>
          <w:szCs w:val="22"/>
        </w:rPr>
      </w:pPr>
    </w:p>
    <w:p w:rsidR="003A234B" w:rsidRPr="008B5FAE" w:rsidRDefault="003A234B" w:rsidP="003A234B">
      <w:pPr>
        <w:autoSpaceDE w:val="0"/>
        <w:autoSpaceDN w:val="0"/>
        <w:adjustRightInd w:val="0"/>
        <w:spacing w:before="120"/>
        <w:ind w:right="-432"/>
        <w:jc w:val="center"/>
        <w:rPr>
          <w:rFonts w:ascii="Book Antiqua" w:eastAsiaTheme="minorHAnsi" w:hAnsi="Book Antiqua"/>
          <w:b/>
          <w:bCs/>
          <w:spacing w:val="30"/>
          <w:kern w:val="2"/>
          <w:sz w:val="22"/>
          <w:szCs w:val="22"/>
          <w:lang w:eastAsia="en-US"/>
        </w:rPr>
      </w:pPr>
      <w:r w:rsidRPr="008B5FAE">
        <w:rPr>
          <w:rFonts w:ascii="Book Antiqua" w:eastAsiaTheme="minorHAnsi" w:hAnsi="Book Antiqua"/>
          <w:b/>
          <w:bCs/>
          <w:spacing w:val="30"/>
          <w:kern w:val="2"/>
          <w:sz w:val="22"/>
          <w:szCs w:val="22"/>
          <w:lang w:eastAsia="en-US"/>
        </w:rPr>
        <w:t>DOLOŽKA VYBRANÝCH VPLYVOV</w:t>
      </w:r>
    </w:p>
    <w:p w:rsidR="003A234B" w:rsidRPr="008B5FAE" w:rsidRDefault="003A234B" w:rsidP="003A234B">
      <w:pPr>
        <w:spacing w:before="120"/>
        <w:rPr>
          <w:rFonts w:ascii="Book Antiqua" w:hAnsi="Book Antiqua"/>
          <w:b/>
          <w:bCs/>
          <w:sz w:val="22"/>
          <w:szCs w:val="22"/>
        </w:rPr>
      </w:pPr>
    </w:p>
    <w:p w:rsidR="003A234B" w:rsidRDefault="003A234B" w:rsidP="003A234B">
      <w:pPr>
        <w:spacing w:before="120"/>
        <w:jc w:val="both"/>
        <w:rPr>
          <w:rFonts w:ascii="Book Antiqua" w:hAnsi="Book Antiqua"/>
          <w:sz w:val="22"/>
          <w:szCs w:val="22"/>
        </w:rPr>
      </w:pPr>
      <w:r w:rsidRPr="008B5FAE">
        <w:rPr>
          <w:rFonts w:ascii="Book Antiqua" w:hAnsi="Book Antiqua"/>
          <w:b/>
          <w:bCs/>
          <w:sz w:val="22"/>
          <w:szCs w:val="22"/>
        </w:rPr>
        <w:t xml:space="preserve">A.1. Názov materiálu: </w:t>
      </w:r>
      <w:r w:rsidR="00E24F61">
        <w:rPr>
          <w:rFonts w:ascii="Book Antiqua" w:hAnsi="Book Antiqua"/>
          <w:sz w:val="22"/>
          <w:szCs w:val="22"/>
        </w:rPr>
        <w:t xml:space="preserve">návrh </w:t>
      </w:r>
      <w:r w:rsidR="00E24F61" w:rsidRPr="001B345C">
        <w:rPr>
          <w:rFonts w:ascii="Book Antiqua" w:hAnsi="Book Antiqua"/>
          <w:sz w:val="22"/>
          <w:szCs w:val="22"/>
        </w:rPr>
        <w:t>ústavného zákona, ktorým sa mení Ústava Slovenskej republiky č. 460/1992 Zb. v znení neskorších predpisov</w:t>
      </w:r>
    </w:p>
    <w:p w:rsidR="00E24F61" w:rsidRPr="008B5FAE" w:rsidRDefault="00E24F61" w:rsidP="003A234B">
      <w:pPr>
        <w:spacing w:before="120"/>
        <w:jc w:val="both"/>
        <w:rPr>
          <w:rFonts w:ascii="Book Antiqua" w:hAnsi="Book Antiqua"/>
          <w:b/>
          <w:bCs/>
          <w:sz w:val="22"/>
          <w:szCs w:val="22"/>
        </w:rPr>
      </w:pPr>
    </w:p>
    <w:p w:rsidR="003A234B" w:rsidRPr="008B5FAE" w:rsidRDefault="003A234B" w:rsidP="003A234B">
      <w:pPr>
        <w:spacing w:before="120"/>
        <w:jc w:val="both"/>
        <w:rPr>
          <w:rFonts w:ascii="Book Antiqua" w:hAnsi="Book Antiqua"/>
          <w:sz w:val="22"/>
          <w:szCs w:val="22"/>
        </w:rPr>
      </w:pPr>
      <w:r w:rsidRPr="008B5FAE">
        <w:rPr>
          <w:rFonts w:ascii="Book Antiqua" w:hAnsi="Book Antiqua"/>
          <w:b/>
          <w:bCs/>
          <w:sz w:val="22"/>
          <w:szCs w:val="22"/>
        </w:rPr>
        <w:t>Termín začatia a ukončenia PPK:</w:t>
      </w:r>
      <w:r w:rsidRPr="008B5FAE">
        <w:rPr>
          <w:rFonts w:ascii="Book Antiqua" w:hAnsi="Book Antiqua"/>
          <w:sz w:val="22"/>
          <w:szCs w:val="22"/>
        </w:rPr>
        <w:t xml:space="preserve"> bezpredmetné</w:t>
      </w:r>
    </w:p>
    <w:p w:rsidR="003A234B" w:rsidRPr="008B5FAE" w:rsidRDefault="003A234B" w:rsidP="003A234B">
      <w:pPr>
        <w:spacing w:before="120"/>
        <w:jc w:val="both"/>
        <w:rPr>
          <w:rFonts w:ascii="Book Antiqua" w:hAnsi="Book Antiqua"/>
          <w:b/>
          <w:bCs/>
          <w:sz w:val="22"/>
          <w:szCs w:val="22"/>
        </w:rPr>
      </w:pPr>
    </w:p>
    <w:p w:rsidR="003A234B" w:rsidRPr="008B5FAE" w:rsidRDefault="003A234B" w:rsidP="003A234B">
      <w:pPr>
        <w:spacing w:before="120"/>
        <w:jc w:val="both"/>
        <w:rPr>
          <w:rFonts w:ascii="Book Antiqua" w:hAnsi="Book Antiqua"/>
          <w:sz w:val="22"/>
          <w:szCs w:val="22"/>
        </w:rPr>
      </w:pPr>
      <w:r w:rsidRPr="008B5FAE">
        <w:rPr>
          <w:rFonts w:ascii="Book Antiqua" w:hAnsi="Book Antiqua"/>
          <w:b/>
          <w:bCs/>
          <w:sz w:val="22"/>
          <w:szCs w:val="22"/>
        </w:rPr>
        <w:t>A.2. Vplyvy:</w:t>
      </w:r>
    </w:p>
    <w:tbl>
      <w:tblPr>
        <w:tblW w:w="5000" w:type="pct"/>
        <w:tblCellMar>
          <w:left w:w="7" w:type="dxa"/>
          <w:right w:w="7" w:type="dxa"/>
        </w:tblCellMar>
        <w:tblLook w:val="04A0" w:firstRow="1" w:lastRow="0" w:firstColumn="1" w:lastColumn="0" w:noHBand="0" w:noVBand="1"/>
      </w:tblPr>
      <w:tblGrid>
        <w:gridCol w:w="5490"/>
        <w:gridCol w:w="1203"/>
        <w:gridCol w:w="1185"/>
        <w:gridCol w:w="1210"/>
      </w:tblGrid>
      <w:tr w:rsidR="003A234B" w:rsidRPr="008B5FAE" w:rsidTr="00C14599">
        <w:tc>
          <w:tcPr>
            <w:tcW w:w="5465"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 </w:t>
            </w:r>
          </w:p>
        </w:tc>
        <w:tc>
          <w:tcPr>
            <w:tcW w:w="1197"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 Pozitívne </w:t>
            </w:r>
          </w:p>
        </w:tc>
        <w:tc>
          <w:tcPr>
            <w:tcW w:w="1179"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 Žiadne </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 Negatívne </w:t>
            </w:r>
          </w:p>
        </w:tc>
      </w:tr>
      <w:tr w:rsidR="003A234B" w:rsidRPr="008B5FAE" w:rsidTr="00C14599">
        <w:tc>
          <w:tcPr>
            <w:tcW w:w="5465"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rsidR="003A234B" w:rsidRPr="008B5FAE" w:rsidRDefault="003A234B" w:rsidP="00C14599">
            <w:pPr>
              <w:spacing w:before="120"/>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1A1E32" w:rsidP="00C14599">
            <w:pPr>
              <w:spacing w:before="120"/>
              <w:jc w:val="center"/>
              <w:rPr>
                <w:rFonts w:ascii="Book Antiqua" w:hAnsi="Book Antiqua"/>
                <w:sz w:val="22"/>
                <w:szCs w:val="22"/>
              </w:rPr>
            </w:pPr>
            <w:r>
              <w:rPr>
                <w:rFonts w:ascii="Book Antiqua" w:hAnsi="Book Antiqua"/>
                <w:sz w:val="22"/>
                <w:szCs w:val="22"/>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1A1E32" w:rsidP="00C14599">
            <w:pPr>
              <w:spacing w:before="120"/>
              <w:rPr>
                <w:rFonts w:ascii="Book Antiqua" w:hAnsi="Book Antiqua"/>
                <w:sz w:val="22"/>
                <w:szCs w:val="22"/>
              </w:rPr>
            </w:pPr>
            <w:r>
              <w:rPr>
                <w:rFonts w:ascii="Book Antiqua" w:hAnsi="Book Antiqua"/>
                <w:sz w:val="22"/>
                <w:szCs w:val="22"/>
              </w:rPr>
              <w:t xml:space="preserve">        </w:t>
            </w:r>
          </w:p>
        </w:tc>
      </w:tr>
      <w:tr w:rsidR="003A234B" w:rsidRPr="008B5FAE" w:rsidTr="00C14599">
        <w:tc>
          <w:tcPr>
            <w:tcW w:w="5465"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rsidR="003A234B" w:rsidRPr="008B5FAE" w:rsidRDefault="003A234B" w:rsidP="00C14599">
            <w:pPr>
              <w:spacing w:before="120"/>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3A234B" w:rsidRPr="008B5FAE" w:rsidRDefault="003A234B" w:rsidP="00C14599">
            <w:pPr>
              <w:spacing w:before="120"/>
              <w:jc w:val="center"/>
              <w:rPr>
                <w:rFonts w:ascii="Book Antiqua" w:hAnsi="Book Antiqua"/>
                <w:sz w:val="22"/>
                <w:szCs w:val="22"/>
              </w:rPr>
            </w:pPr>
          </w:p>
        </w:tc>
      </w:tr>
      <w:tr w:rsidR="003A234B" w:rsidRPr="008B5FAE" w:rsidTr="00C14599">
        <w:tc>
          <w:tcPr>
            <w:tcW w:w="5465"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rsidR="003A234B" w:rsidRPr="008B5FAE" w:rsidRDefault="003A234B" w:rsidP="00C14599">
            <w:pPr>
              <w:spacing w:before="120"/>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 </w:t>
            </w:r>
          </w:p>
        </w:tc>
      </w:tr>
      <w:tr w:rsidR="003A234B" w:rsidRPr="008B5FAE" w:rsidTr="00C14599">
        <w:tc>
          <w:tcPr>
            <w:tcW w:w="5465"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rsidR="003A234B" w:rsidRPr="008B5FAE" w:rsidRDefault="003A234B" w:rsidP="00C14599">
            <w:pPr>
              <w:spacing w:before="120"/>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 </w:t>
            </w:r>
          </w:p>
        </w:tc>
      </w:tr>
      <w:tr w:rsidR="003A234B" w:rsidRPr="008B5FAE" w:rsidTr="00C14599">
        <w:tc>
          <w:tcPr>
            <w:tcW w:w="5465"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rsidR="003A234B" w:rsidRPr="008B5FAE" w:rsidRDefault="003A234B" w:rsidP="00C14599">
            <w:pPr>
              <w:spacing w:before="120"/>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3A234B" w:rsidRPr="008B5FAE" w:rsidRDefault="003A234B" w:rsidP="00C14599">
            <w:pPr>
              <w:spacing w:before="120"/>
              <w:jc w:val="center"/>
              <w:rPr>
                <w:rFonts w:ascii="Book Antiqua" w:hAnsi="Book Antiqua"/>
                <w:sz w:val="22"/>
                <w:szCs w:val="22"/>
              </w:rPr>
            </w:pPr>
          </w:p>
        </w:tc>
      </w:tr>
      <w:tr w:rsidR="003A234B" w:rsidRPr="008B5FAE" w:rsidTr="00C14599">
        <w:tc>
          <w:tcPr>
            <w:tcW w:w="5465"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rsidR="003A234B" w:rsidRPr="008B5FAE" w:rsidRDefault="003A234B" w:rsidP="00C14599">
            <w:pPr>
              <w:spacing w:before="120"/>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 </w:t>
            </w:r>
          </w:p>
        </w:tc>
      </w:tr>
      <w:tr w:rsidR="003A234B" w:rsidRPr="008B5FAE" w:rsidTr="00C14599">
        <w:tc>
          <w:tcPr>
            <w:tcW w:w="5465"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rsidR="003A234B" w:rsidRPr="008B5FAE" w:rsidRDefault="003A234B" w:rsidP="00C14599">
            <w:pPr>
              <w:spacing w:before="120"/>
              <w:jc w:val="center"/>
              <w:rPr>
                <w:rFonts w:ascii="Book Antiqua" w:hAnsi="Book Antiqua"/>
                <w:sz w:val="22"/>
                <w:szCs w:val="22"/>
              </w:rPr>
            </w:pPr>
          </w:p>
        </w:tc>
        <w:tc>
          <w:tcPr>
            <w:tcW w:w="1179"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 </w:t>
            </w:r>
          </w:p>
        </w:tc>
      </w:tr>
      <w:tr w:rsidR="003A234B" w:rsidRPr="008B5FAE" w:rsidTr="00C14599">
        <w:tc>
          <w:tcPr>
            <w:tcW w:w="5465"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rPr>
                <w:rFonts w:ascii="Book Antiqua" w:hAnsi="Book Antiqua"/>
                <w:sz w:val="22"/>
                <w:szCs w:val="22"/>
              </w:rPr>
            </w:pPr>
            <w:r w:rsidRPr="008B5FAE">
              <w:rPr>
                <w:rFonts w:ascii="Book Antiqua" w:hAnsi="Book Antiqua"/>
                <w:sz w:val="22"/>
                <w:szCs w:val="22"/>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 </w:t>
            </w:r>
          </w:p>
        </w:tc>
        <w:tc>
          <w:tcPr>
            <w:tcW w:w="1179"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x</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3A234B" w:rsidRPr="008B5FAE" w:rsidRDefault="003A234B" w:rsidP="00C14599">
            <w:pPr>
              <w:spacing w:before="120"/>
              <w:jc w:val="center"/>
              <w:rPr>
                <w:rFonts w:ascii="Book Antiqua" w:hAnsi="Book Antiqua"/>
                <w:sz w:val="22"/>
                <w:szCs w:val="22"/>
              </w:rPr>
            </w:pPr>
            <w:r w:rsidRPr="008B5FAE">
              <w:rPr>
                <w:rFonts w:ascii="Book Antiqua" w:hAnsi="Book Antiqua"/>
                <w:sz w:val="22"/>
                <w:szCs w:val="22"/>
              </w:rPr>
              <w:t> </w:t>
            </w:r>
          </w:p>
        </w:tc>
      </w:tr>
    </w:tbl>
    <w:p w:rsidR="003A234B" w:rsidRPr="008B5FAE" w:rsidRDefault="003A234B" w:rsidP="003A234B">
      <w:pPr>
        <w:spacing w:before="120"/>
        <w:rPr>
          <w:rFonts w:ascii="Book Antiqua" w:hAnsi="Book Antiqua"/>
          <w:sz w:val="22"/>
          <w:szCs w:val="22"/>
        </w:rPr>
      </w:pPr>
      <w:r w:rsidRPr="008B5FAE">
        <w:rPr>
          <w:rFonts w:ascii="Book Antiqua" w:hAnsi="Book Antiqua"/>
          <w:sz w:val="22"/>
          <w:szCs w:val="22"/>
        </w:rPr>
        <w:t> </w:t>
      </w:r>
    </w:p>
    <w:p w:rsidR="003A234B" w:rsidRPr="008B5FAE" w:rsidRDefault="003A234B" w:rsidP="003A234B">
      <w:pPr>
        <w:spacing w:before="120"/>
        <w:jc w:val="both"/>
        <w:rPr>
          <w:rFonts w:ascii="Book Antiqua" w:hAnsi="Book Antiqua"/>
          <w:b/>
          <w:bCs/>
          <w:sz w:val="22"/>
          <w:szCs w:val="22"/>
        </w:rPr>
      </w:pPr>
      <w:r w:rsidRPr="008B5FAE">
        <w:rPr>
          <w:rFonts w:ascii="Book Antiqua" w:hAnsi="Book Antiqua"/>
          <w:b/>
          <w:bCs/>
          <w:sz w:val="22"/>
          <w:szCs w:val="22"/>
        </w:rPr>
        <w:t>A.3. Poznámky</w:t>
      </w:r>
    </w:p>
    <w:p w:rsidR="003A234B" w:rsidRPr="001A1E32" w:rsidRDefault="008B5FAE" w:rsidP="008B5FAE">
      <w:pPr>
        <w:spacing w:before="120"/>
        <w:jc w:val="both"/>
        <w:rPr>
          <w:rFonts w:ascii="Book Antiqua" w:hAnsi="Book Antiqua"/>
          <w:bCs/>
          <w:i/>
          <w:sz w:val="22"/>
          <w:szCs w:val="22"/>
        </w:rPr>
      </w:pPr>
      <w:r w:rsidRPr="001A1E32">
        <w:rPr>
          <w:rFonts w:ascii="Book Antiqua" w:hAnsi="Book Antiqua"/>
          <w:bCs/>
          <w:i/>
          <w:sz w:val="22"/>
          <w:szCs w:val="22"/>
        </w:rPr>
        <w:t xml:space="preserve">Návrh ústavného zákona </w:t>
      </w:r>
      <w:r w:rsidR="001A1E32" w:rsidRPr="001A1E32">
        <w:rPr>
          <w:rFonts w:ascii="Book Antiqua" w:hAnsi="Book Antiqua"/>
          <w:bCs/>
          <w:i/>
          <w:sz w:val="22"/>
          <w:szCs w:val="22"/>
        </w:rPr>
        <w:t xml:space="preserve">nebude mať dopad na rozpočet verejnej správy. Vytvorí však predpoklad na prijatie osobitného zákona o financovaní verejnoprávneho rozhlasu a televízie, čo pri nastavení 0,15% </w:t>
      </w:r>
      <w:r w:rsidR="001A1E32" w:rsidRPr="001A1E32">
        <w:rPr>
          <w:rFonts w:ascii="Book Antiqua" w:hAnsi="Book Antiqua"/>
          <w:i/>
          <w:sz w:val="22"/>
          <w:szCs w:val="22"/>
        </w:rPr>
        <w:t xml:space="preserve">z hrubého domáceho produktu Slovenskej republiky vyjadreného v bežných cenách za kalendárny rok bude predstavovať ročný negatívny dopad na rozpočet verejnej správy vo výške 161 mil. eur (v roku 2023 polovicu z tejto sumy a nasledujúce tri rozpočtové roky v uvedenej výške). </w:t>
      </w:r>
      <w:r w:rsidR="001A1E32" w:rsidRPr="001A1E32">
        <w:rPr>
          <w:rFonts w:ascii="Book Antiqua" w:hAnsi="Book Antiqua"/>
          <w:i/>
          <w:sz w:val="22"/>
          <w:szCs w:val="22"/>
          <w:lang w:eastAsia="sk-SK"/>
        </w:rPr>
        <w:t xml:space="preserve">Tento výpadok v štátnom rozpočte by sa mal v roku 2023 uhradiť z rozpočtovej rezervy (VPS) na riešenie vplyvov legislatívnych zmien, kde je alokovaných </w:t>
      </w:r>
      <w:r w:rsidR="001A1E32" w:rsidRPr="001A1E32">
        <w:rPr>
          <w:rFonts w:ascii="Book Antiqua" w:hAnsi="Book Antiqua" w:cs="Arial"/>
          <w:i/>
          <w:color w:val="222222"/>
          <w:sz w:val="22"/>
          <w:szCs w:val="22"/>
          <w:shd w:val="clear" w:color="auto" w:fill="FFFFFF"/>
        </w:rPr>
        <w:t>857 992 282 €.</w:t>
      </w:r>
    </w:p>
    <w:p w:rsidR="003A234B" w:rsidRPr="008B5FAE" w:rsidRDefault="003A234B" w:rsidP="003A234B">
      <w:pPr>
        <w:spacing w:before="120"/>
        <w:jc w:val="both"/>
        <w:rPr>
          <w:rFonts w:ascii="Book Antiqua" w:hAnsi="Book Antiqua"/>
          <w:b/>
          <w:bCs/>
          <w:sz w:val="22"/>
          <w:szCs w:val="22"/>
        </w:rPr>
      </w:pPr>
    </w:p>
    <w:p w:rsidR="003A234B" w:rsidRPr="008B5FAE" w:rsidRDefault="003A234B" w:rsidP="003A234B">
      <w:pPr>
        <w:spacing w:before="120"/>
        <w:jc w:val="both"/>
        <w:rPr>
          <w:rFonts w:ascii="Book Antiqua" w:hAnsi="Book Antiqua"/>
          <w:sz w:val="22"/>
          <w:szCs w:val="22"/>
        </w:rPr>
      </w:pPr>
      <w:r w:rsidRPr="008B5FAE">
        <w:rPr>
          <w:rFonts w:ascii="Book Antiqua" w:hAnsi="Book Antiqua"/>
          <w:b/>
          <w:bCs/>
          <w:sz w:val="22"/>
          <w:szCs w:val="22"/>
        </w:rPr>
        <w:t>A.4. Alternatívne riešenia</w:t>
      </w:r>
    </w:p>
    <w:p w:rsidR="003A234B" w:rsidRPr="008B5FAE" w:rsidRDefault="003A234B" w:rsidP="003A234B">
      <w:pPr>
        <w:spacing w:before="120"/>
        <w:jc w:val="both"/>
        <w:rPr>
          <w:rFonts w:ascii="Book Antiqua" w:hAnsi="Book Antiqua"/>
          <w:i/>
          <w:sz w:val="22"/>
          <w:szCs w:val="22"/>
        </w:rPr>
      </w:pPr>
      <w:r w:rsidRPr="008B5FAE">
        <w:rPr>
          <w:rFonts w:ascii="Book Antiqua" w:hAnsi="Book Antiqua"/>
          <w:i/>
          <w:sz w:val="22"/>
          <w:szCs w:val="22"/>
        </w:rPr>
        <w:t>bezpredmetné </w:t>
      </w:r>
    </w:p>
    <w:p w:rsidR="003A234B" w:rsidRPr="008B5FAE" w:rsidRDefault="003A234B" w:rsidP="003A234B">
      <w:pPr>
        <w:spacing w:before="120"/>
        <w:ind w:left="567" w:hanging="567"/>
        <w:jc w:val="both"/>
        <w:rPr>
          <w:rFonts w:ascii="Book Antiqua" w:hAnsi="Book Antiqua"/>
          <w:b/>
          <w:bCs/>
          <w:sz w:val="22"/>
          <w:szCs w:val="22"/>
        </w:rPr>
      </w:pPr>
    </w:p>
    <w:p w:rsidR="003A234B" w:rsidRPr="008B5FAE" w:rsidRDefault="003A234B" w:rsidP="003A234B">
      <w:pPr>
        <w:spacing w:before="120"/>
        <w:ind w:left="567" w:hanging="567"/>
        <w:jc w:val="both"/>
        <w:rPr>
          <w:rFonts w:ascii="Book Antiqua" w:hAnsi="Book Antiqua"/>
          <w:sz w:val="22"/>
          <w:szCs w:val="22"/>
        </w:rPr>
      </w:pPr>
      <w:r w:rsidRPr="008B5FAE">
        <w:rPr>
          <w:rFonts w:ascii="Book Antiqua" w:hAnsi="Book Antiqua"/>
          <w:b/>
          <w:bCs/>
          <w:sz w:val="22"/>
          <w:szCs w:val="22"/>
        </w:rPr>
        <w:t xml:space="preserve">A.5. </w:t>
      </w:r>
      <w:r w:rsidRPr="008B5FAE">
        <w:rPr>
          <w:rFonts w:ascii="Book Antiqua" w:hAnsi="Book Antiqua"/>
          <w:b/>
          <w:bCs/>
          <w:sz w:val="22"/>
          <w:szCs w:val="22"/>
        </w:rPr>
        <w:tab/>
        <w:t>Stanovisko gestorov</w:t>
      </w:r>
    </w:p>
    <w:p w:rsidR="00DB728A" w:rsidRPr="008B5FAE" w:rsidRDefault="003A234B" w:rsidP="003A234B">
      <w:pPr>
        <w:spacing w:before="120" w:line="276" w:lineRule="auto"/>
        <w:jc w:val="both"/>
        <w:rPr>
          <w:rFonts w:ascii="Book Antiqua" w:hAnsi="Book Antiqua" w:cs="Calibri"/>
          <w:i/>
          <w:sz w:val="22"/>
          <w:szCs w:val="22"/>
        </w:rPr>
      </w:pPr>
      <w:r w:rsidRPr="008B5FAE">
        <w:rPr>
          <w:rFonts w:ascii="Book Antiqua" w:hAnsi="Book Antiqua"/>
          <w:i/>
          <w:sz w:val="22"/>
          <w:szCs w:val="22"/>
        </w:rPr>
        <w:t>Návrh zákona bol zaslaný na vyjadrenie Ministerstvu financií Slovenskej republiky a stanovisko tohto ministerstva tvorí súčasť predkladaného materiálu.</w:t>
      </w:r>
    </w:p>
    <w:p w:rsidR="00DB728A" w:rsidRPr="001B345C" w:rsidRDefault="00DB728A" w:rsidP="001B345C">
      <w:pPr>
        <w:spacing w:before="120" w:line="276" w:lineRule="auto"/>
        <w:jc w:val="both"/>
        <w:rPr>
          <w:rFonts w:ascii="Book Antiqua" w:hAnsi="Book Antiqua" w:cs="Calibri"/>
          <w:sz w:val="22"/>
          <w:szCs w:val="22"/>
        </w:rPr>
      </w:pPr>
    </w:p>
    <w:p w:rsidR="009C7803" w:rsidRPr="00E24F61" w:rsidRDefault="009C7803" w:rsidP="00E24F61">
      <w:pPr>
        <w:suppressAutoHyphens w:val="0"/>
        <w:spacing w:before="120" w:line="276" w:lineRule="auto"/>
        <w:rPr>
          <w:rFonts w:ascii="Book Antiqua" w:hAnsi="Book Antiqua" w:cs="Calibri"/>
          <w:sz w:val="22"/>
          <w:szCs w:val="22"/>
        </w:rPr>
      </w:pPr>
    </w:p>
    <w:sectPr w:rsidR="009C7803" w:rsidRPr="00E24F61">
      <w:footerReference w:type="default" r:id="rId8"/>
      <w:pgSz w:w="11906" w:h="16838"/>
      <w:pgMar w:top="1417" w:right="1417" w:bottom="1417" w:left="1417"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A3D" w:rsidRDefault="00074A3D">
      <w:pPr>
        <w:spacing w:line="240" w:lineRule="auto"/>
      </w:pPr>
      <w:r>
        <w:separator/>
      </w:r>
    </w:p>
  </w:endnote>
  <w:endnote w:type="continuationSeparator" w:id="0">
    <w:p w:rsidR="00074A3D" w:rsidRDefault="00074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229889"/>
      <w:docPartObj>
        <w:docPartGallery w:val="Page Numbers (Bottom of Page)"/>
        <w:docPartUnique/>
      </w:docPartObj>
    </w:sdtPr>
    <w:sdtEndPr/>
    <w:sdtContent>
      <w:p w:rsidR="00F26EC5" w:rsidRDefault="00F26EC5">
        <w:pPr>
          <w:pStyle w:val="Pta"/>
          <w:jc w:val="right"/>
        </w:pPr>
        <w:r>
          <w:fldChar w:fldCharType="begin"/>
        </w:r>
        <w:r>
          <w:instrText>PAGE   \* MERGEFORMAT</w:instrText>
        </w:r>
        <w:r>
          <w:fldChar w:fldCharType="separate"/>
        </w:r>
        <w:r w:rsidR="00A25661">
          <w:rPr>
            <w:noProof/>
          </w:rPr>
          <w:t>2</w:t>
        </w:r>
        <w:r>
          <w:fldChar w:fldCharType="end"/>
        </w:r>
      </w:p>
    </w:sdtContent>
  </w:sdt>
  <w:p w:rsidR="00941B10" w:rsidRDefault="00941B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A3D" w:rsidRDefault="00074A3D">
      <w:pPr>
        <w:spacing w:line="240" w:lineRule="auto"/>
      </w:pPr>
      <w:r>
        <w:separator/>
      </w:r>
    </w:p>
  </w:footnote>
  <w:footnote w:type="continuationSeparator" w:id="0">
    <w:p w:rsidR="00074A3D" w:rsidRDefault="00074A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63CF"/>
    <w:multiLevelType w:val="hybridMultilevel"/>
    <w:tmpl w:val="97C0465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23B03DBD"/>
    <w:multiLevelType w:val="hybridMultilevel"/>
    <w:tmpl w:val="1FE605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1CD478A"/>
    <w:multiLevelType w:val="hybridMultilevel"/>
    <w:tmpl w:val="3DAEB0CE"/>
    <w:lvl w:ilvl="0" w:tplc="618815A8">
      <w:start w:val="1"/>
      <w:numFmt w:val="lowerLetter"/>
      <w:lvlText w:val="%1)"/>
      <w:lvlJc w:val="left"/>
      <w:pPr>
        <w:ind w:left="720" w:hanging="360"/>
      </w:pPr>
      <w:rPr>
        <w:rFonts w:cs="Times New Roman"/>
        <w:rtl w:val="0"/>
        <w:cs w:val="0"/>
      </w:rPr>
    </w:lvl>
    <w:lvl w:ilvl="1" w:tplc="500428E2">
      <w:start w:val="1"/>
      <w:numFmt w:val="lowerLetter"/>
      <w:lvlText w:val="%2."/>
      <w:lvlJc w:val="left"/>
      <w:pPr>
        <w:ind w:left="1440" w:hanging="360"/>
      </w:pPr>
      <w:rPr>
        <w:rFonts w:cs="Times New Roman"/>
        <w:rtl w:val="0"/>
        <w:cs w:val="0"/>
      </w:rPr>
    </w:lvl>
    <w:lvl w:ilvl="2" w:tplc="CBD2CB54">
      <w:start w:val="1"/>
      <w:numFmt w:val="lowerRoman"/>
      <w:lvlText w:val="%3."/>
      <w:lvlJc w:val="right"/>
      <w:pPr>
        <w:ind w:left="2160" w:hanging="180"/>
      </w:pPr>
      <w:rPr>
        <w:rFonts w:cs="Times New Roman"/>
        <w:rtl w:val="0"/>
        <w:cs w:val="0"/>
      </w:rPr>
    </w:lvl>
    <w:lvl w:ilvl="3" w:tplc="03285986">
      <w:start w:val="1"/>
      <w:numFmt w:val="decimal"/>
      <w:lvlText w:val="%4."/>
      <w:lvlJc w:val="left"/>
      <w:pPr>
        <w:ind w:left="2880" w:hanging="360"/>
      </w:pPr>
      <w:rPr>
        <w:rFonts w:cs="Times New Roman"/>
        <w:rtl w:val="0"/>
        <w:cs w:val="0"/>
      </w:rPr>
    </w:lvl>
    <w:lvl w:ilvl="4" w:tplc="CD803508">
      <w:start w:val="1"/>
      <w:numFmt w:val="lowerLetter"/>
      <w:lvlText w:val="%5."/>
      <w:lvlJc w:val="left"/>
      <w:pPr>
        <w:ind w:left="3600" w:hanging="360"/>
      </w:pPr>
      <w:rPr>
        <w:rFonts w:cs="Times New Roman"/>
        <w:rtl w:val="0"/>
        <w:cs w:val="0"/>
      </w:rPr>
    </w:lvl>
    <w:lvl w:ilvl="5" w:tplc="DD20AD6E">
      <w:start w:val="1"/>
      <w:numFmt w:val="lowerRoman"/>
      <w:lvlText w:val="%6."/>
      <w:lvlJc w:val="right"/>
      <w:pPr>
        <w:ind w:left="4320" w:hanging="180"/>
      </w:pPr>
      <w:rPr>
        <w:rFonts w:cs="Times New Roman"/>
        <w:rtl w:val="0"/>
        <w:cs w:val="0"/>
      </w:rPr>
    </w:lvl>
    <w:lvl w:ilvl="6" w:tplc="DDEA0510">
      <w:start w:val="1"/>
      <w:numFmt w:val="decimal"/>
      <w:lvlText w:val="%7."/>
      <w:lvlJc w:val="left"/>
      <w:pPr>
        <w:ind w:left="5040" w:hanging="360"/>
      </w:pPr>
      <w:rPr>
        <w:rFonts w:cs="Times New Roman"/>
        <w:rtl w:val="0"/>
        <w:cs w:val="0"/>
      </w:rPr>
    </w:lvl>
    <w:lvl w:ilvl="7" w:tplc="840C4866">
      <w:start w:val="1"/>
      <w:numFmt w:val="lowerLetter"/>
      <w:lvlText w:val="%8."/>
      <w:lvlJc w:val="left"/>
      <w:pPr>
        <w:ind w:left="5760" w:hanging="360"/>
      </w:pPr>
      <w:rPr>
        <w:rFonts w:cs="Times New Roman"/>
        <w:rtl w:val="0"/>
        <w:cs w:val="0"/>
      </w:rPr>
    </w:lvl>
    <w:lvl w:ilvl="8" w:tplc="FB58F0BC">
      <w:start w:val="1"/>
      <w:numFmt w:val="lowerRoman"/>
      <w:lvlText w:val="%9."/>
      <w:lvlJc w:val="right"/>
      <w:pPr>
        <w:ind w:left="6480" w:hanging="180"/>
      </w:pPr>
      <w:rPr>
        <w:rFonts w:cs="Times New Roman"/>
        <w:rtl w:val="0"/>
        <w:cs w:val="0"/>
      </w:rPr>
    </w:lvl>
  </w:abstractNum>
  <w:abstractNum w:abstractNumId="3" w15:restartNumberingAfterBreak="0">
    <w:nsid w:val="38A97C1E"/>
    <w:multiLevelType w:val="hybridMultilevel"/>
    <w:tmpl w:val="1FE605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9C"/>
    <w:rsid w:val="00074A3D"/>
    <w:rsid w:val="00127BE0"/>
    <w:rsid w:val="001A1E32"/>
    <w:rsid w:val="001B345C"/>
    <w:rsid w:val="00261133"/>
    <w:rsid w:val="003A234B"/>
    <w:rsid w:val="00774511"/>
    <w:rsid w:val="008B5FAE"/>
    <w:rsid w:val="00941B10"/>
    <w:rsid w:val="009C7803"/>
    <w:rsid w:val="00A05E62"/>
    <w:rsid w:val="00A25661"/>
    <w:rsid w:val="00A35A07"/>
    <w:rsid w:val="00AD4698"/>
    <w:rsid w:val="00B41114"/>
    <w:rsid w:val="00B428DE"/>
    <w:rsid w:val="00BC197B"/>
    <w:rsid w:val="00C57F9C"/>
    <w:rsid w:val="00D95693"/>
    <w:rsid w:val="00DB728A"/>
    <w:rsid w:val="00E24F61"/>
    <w:rsid w:val="00E664ED"/>
    <w:rsid w:val="00F26EC5"/>
    <w:rsid w:val="00F84D04"/>
    <w:rsid w:val="00F935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86C53D1-F70D-459D-B596-45FB83D2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line="100" w:lineRule="atLeast"/>
    </w:pPr>
    <w:rPr>
      <w:color w:val="000000"/>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style>
  <w:style w:type="character" w:customStyle="1" w:styleId="Textzstupnhosymbolu1">
    <w:name w:val="Text zástupného symbolu1"/>
    <w:basedOn w:val="Predvolenpsmoodseku1"/>
    <w:rPr>
      <w:rFonts w:ascii="Times New Roman" w:hAnsi="Times New Roman" w:cs="Times New Roman"/>
      <w:color w:val="808080"/>
    </w:rPr>
  </w:style>
  <w:style w:type="character" w:customStyle="1" w:styleId="TextbublinyChar">
    <w:name w:val="Text bubliny Char"/>
    <w:basedOn w:val="Predvolenpsmoodseku1"/>
    <w:rPr>
      <w:rFonts w:ascii="Tahoma" w:eastAsia="Times New Roman" w:hAnsi="Tahoma" w:cs="Tahoma"/>
      <w:sz w:val="16"/>
      <w:szCs w:val="16"/>
    </w:rPr>
  </w:style>
  <w:style w:type="character" w:customStyle="1" w:styleId="Odkaznakomentr1">
    <w:name w:val="Odkaz na komentár1"/>
    <w:basedOn w:val="Predvolenpsmoodseku1"/>
    <w:rPr>
      <w:rFonts w:cs="Times New Roman"/>
      <w:sz w:val="16"/>
      <w:szCs w:val="16"/>
    </w:rPr>
  </w:style>
  <w:style w:type="character" w:customStyle="1" w:styleId="TextkomentraChar">
    <w:name w:val="Text komentára Char"/>
    <w:basedOn w:val="Predvolenpsmoodseku1"/>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1"/>
    <w:rPr>
      <w:rFonts w:ascii="Times New Roman" w:eastAsia="Times New Roman" w:hAnsi="Times New Roman" w:cs="Times New Roman"/>
      <w:sz w:val="20"/>
      <w:szCs w:val="20"/>
    </w:rPr>
  </w:style>
  <w:style w:type="character" w:customStyle="1" w:styleId="Odkaznapoznmkupodiarou1">
    <w:name w:val="Odkaz na poznámku pod čiarou1"/>
    <w:basedOn w:val="Predvolenpsmoodseku1"/>
    <w:rPr>
      <w:rFonts w:cs="Times New Roman"/>
      <w:vertAlign w:val="superscript"/>
    </w:rPr>
  </w:style>
  <w:style w:type="character" w:customStyle="1" w:styleId="PredmetkomentraChar">
    <w:name w:val="Predmet komentára Char"/>
    <w:basedOn w:val="TextkomentraChar"/>
    <w:rPr>
      <w:rFonts w:ascii="Times New Roman" w:eastAsia="Times New Roman" w:hAnsi="Times New Roman" w:cs="Times New Roman"/>
      <w:b/>
      <w:bCs/>
      <w:sz w:val="20"/>
      <w:szCs w:val="20"/>
    </w:rPr>
  </w:style>
  <w:style w:type="character" w:customStyle="1" w:styleId="HlavikaChar">
    <w:name w:val="Hlavička Char"/>
    <w:basedOn w:val="Predvolenpsmoodseku1"/>
    <w:rPr>
      <w:rFonts w:ascii="Times New Roman" w:eastAsia="Times New Roman" w:hAnsi="Times New Roman" w:cs="Times New Roman"/>
      <w:sz w:val="24"/>
      <w:szCs w:val="24"/>
    </w:rPr>
  </w:style>
  <w:style w:type="character" w:customStyle="1" w:styleId="PtaChar">
    <w:name w:val="Päta Char"/>
    <w:basedOn w:val="Predvolenpsmoodseku1"/>
    <w:uiPriority w:val="99"/>
    <w:rPr>
      <w:rFonts w:ascii="Times New Roman" w:eastAsia="Times New Roman" w:hAnsi="Times New Roman" w:cs="Times New Roman"/>
      <w:sz w:val="24"/>
      <w:szCs w:val="24"/>
    </w:rPr>
  </w:style>
  <w:style w:type="character" w:customStyle="1" w:styleId="ZkladntextChar">
    <w:name w:val="Základný text Char"/>
    <w:basedOn w:val="Predvolenpsmoodseku1"/>
    <w:rPr>
      <w:rFonts w:ascii="Calibri" w:eastAsia="Calibri" w:hAnsi="Calibri" w:cs="Calibri"/>
      <w:sz w:val="24"/>
      <w:szCs w:val="24"/>
    </w:rPr>
  </w:style>
  <w:style w:type="character" w:customStyle="1" w:styleId="Zkladntext2Char">
    <w:name w:val="Základný text 2 Char"/>
    <w:basedOn w:val="Predvolenpsmoodseku1"/>
    <w:rPr>
      <w:rFonts w:ascii="Times New Roman" w:eastAsia="Times New Roman" w:hAnsi="Times New Roman" w:cs="Times New Roman"/>
      <w:sz w:val="24"/>
      <w:szCs w:val="24"/>
    </w:rPr>
  </w:style>
  <w:style w:type="character" w:customStyle="1" w:styleId="Zkladntext2Char1">
    <w:name w:val="Základný text 2 Char1"/>
    <w:rPr>
      <w:rFonts w:ascii="Times New Roman" w:eastAsia="Calibri" w:hAnsi="Times New Roman" w:cs="Times New Roman"/>
      <w:sz w:val="24"/>
      <w:szCs w:val="24"/>
      <w:lang w:val="en-US"/>
    </w:rPr>
  </w:style>
  <w:style w:type="character" w:customStyle="1" w:styleId="ListLabel1">
    <w:name w:val="ListLabel 1"/>
    <w:rPr>
      <w:rFonts w:cs="Times New Roman"/>
      <w:color w:val="00000A"/>
    </w:rPr>
  </w:style>
  <w:style w:type="character" w:customStyle="1" w:styleId="ListLabel2">
    <w:name w:val="ListLabel 2"/>
    <w:rPr>
      <w:rFonts w:cs="Times New Roman"/>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Heading">
    <w:name w:val="Heading"/>
    <w:basedOn w:val="Normlny"/>
    <w:next w:val="Zkladntext"/>
    <w:pPr>
      <w:keepNext/>
      <w:spacing w:before="240" w:after="120"/>
    </w:pPr>
    <w:rPr>
      <w:rFonts w:ascii="Arial" w:eastAsia="Microsoft YaHei" w:hAnsi="Arial" w:cs="Lucida Sans"/>
      <w:sz w:val="28"/>
      <w:szCs w:val="28"/>
    </w:rPr>
  </w:style>
  <w:style w:type="paragraph" w:styleId="Zkladntext">
    <w:name w:val="Body Text"/>
    <w:basedOn w:val="Normlny"/>
    <w:pPr>
      <w:spacing w:after="120"/>
    </w:pPr>
    <w:rPr>
      <w:rFonts w:ascii="Calibri" w:eastAsia="Calibri" w:hAnsi="Calibri" w:cs="Calibri"/>
    </w:rPr>
  </w:style>
  <w:style w:type="paragraph" w:styleId="Zoznam">
    <w:name w:val="List"/>
    <w:basedOn w:val="Zkladntext"/>
    <w:rPr>
      <w:rFonts w:cs="Lucida Sans"/>
    </w:rPr>
  </w:style>
  <w:style w:type="paragraph" w:customStyle="1" w:styleId="Popis1">
    <w:name w:val="Popis1"/>
    <w:basedOn w:val="Normlny"/>
    <w:pPr>
      <w:suppressLineNumbers/>
      <w:spacing w:before="120" w:after="120"/>
    </w:pPr>
    <w:rPr>
      <w:rFonts w:cs="Lucida Sans"/>
      <w:i/>
      <w:iCs/>
    </w:rPr>
  </w:style>
  <w:style w:type="paragraph" w:customStyle="1" w:styleId="Index">
    <w:name w:val="Index"/>
    <w:basedOn w:val="Normlny"/>
    <w:pPr>
      <w:suppressLineNumbers/>
    </w:pPr>
    <w:rPr>
      <w:rFonts w:cs="Lucida Sans"/>
    </w:rPr>
  </w:style>
  <w:style w:type="paragraph" w:customStyle="1" w:styleId="Odsekzoznamu1">
    <w:name w:val="Odsek zoznamu1"/>
    <w:basedOn w:val="Normlny"/>
    <w:pPr>
      <w:ind w:left="720"/>
    </w:pPr>
  </w:style>
  <w:style w:type="paragraph" w:customStyle="1" w:styleId="CharChar1">
    <w:name w:val="Char Char1"/>
    <w:basedOn w:val="Normlny"/>
    <w:pPr>
      <w:spacing w:after="160" w:line="240" w:lineRule="exact"/>
      <w:jc w:val="both"/>
    </w:pPr>
    <w:rPr>
      <w:rFonts w:ascii="Tahoma" w:hAnsi="Tahoma" w:cs="Tahoma"/>
      <w:sz w:val="20"/>
      <w:szCs w:val="20"/>
    </w:rPr>
  </w:style>
  <w:style w:type="paragraph" w:customStyle="1" w:styleId="CarCharCharCharCharChar1">
    <w:name w:val="Car Char Char Char Char Char1"/>
    <w:basedOn w:val="Normlny"/>
    <w:pPr>
      <w:spacing w:after="160" w:line="240" w:lineRule="exact"/>
    </w:pPr>
    <w:rPr>
      <w:rFonts w:ascii="Tahoma" w:hAnsi="Tahoma" w:cs="Tahoma"/>
      <w:sz w:val="20"/>
      <w:szCs w:val="20"/>
      <w:lang w:val="en-US"/>
    </w:rPr>
  </w:style>
  <w:style w:type="paragraph" w:customStyle="1" w:styleId="Textbubliny1">
    <w:name w:val="Text bubliny1"/>
    <w:basedOn w:val="Normlny"/>
    <w:rPr>
      <w:rFonts w:ascii="Tahoma" w:hAnsi="Tahoma" w:cs="Tahoma"/>
      <w:sz w:val="16"/>
      <w:szCs w:val="16"/>
    </w:rPr>
  </w:style>
  <w:style w:type="paragraph" w:customStyle="1" w:styleId="Textkomentra1">
    <w:name w:val="Text komentára1"/>
    <w:basedOn w:val="Normlny"/>
    <w:rPr>
      <w:sz w:val="20"/>
      <w:szCs w:val="20"/>
    </w:rPr>
  </w:style>
  <w:style w:type="paragraph" w:customStyle="1" w:styleId="Textpoznmkypodiarou1">
    <w:name w:val="Text poznámky pod čiarou1"/>
    <w:basedOn w:val="Normlny"/>
    <w:rPr>
      <w:sz w:val="20"/>
      <w:szCs w:val="20"/>
    </w:rPr>
  </w:style>
  <w:style w:type="paragraph" w:customStyle="1" w:styleId="Predmetkomentra1">
    <w:name w:val="Predmet komentára1"/>
    <w:basedOn w:val="Textkomentra1"/>
    <w:pPr>
      <w:widowControl w:val="0"/>
    </w:pPr>
    <w:rPr>
      <w:b/>
      <w:bCs/>
    </w:rPr>
  </w:style>
  <w:style w:type="paragraph" w:styleId="Hlavika">
    <w:name w:val="header"/>
    <w:basedOn w:val="Normlny"/>
    <w:pPr>
      <w:suppressLineNumbers/>
      <w:tabs>
        <w:tab w:val="center" w:pos="4536"/>
        <w:tab w:val="right" w:pos="9072"/>
      </w:tabs>
    </w:pPr>
  </w:style>
  <w:style w:type="paragraph" w:styleId="Pta">
    <w:name w:val="footer"/>
    <w:basedOn w:val="Normlny"/>
    <w:uiPriority w:val="99"/>
    <w:pPr>
      <w:suppressLineNumbers/>
      <w:tabs>
        <w:tab w:val="center" w:pos="4536"/>
        <w:tab w:val="right" w:pos="9072"/>
      </w:tabs>
    </w:pPr>
  </w:style>
  <w:style w:type="paragraph" w:customStyle="1" w:styleId="Zkladntext21">
    <w:name w:val="Základný text 21"/>
    <w:basedOn w:val="Normlny"/>
    <w:pPr>
      <w:spacing w:after="120" w:line="480" w:lineRule="auto"/>
    </w:pPr>
    <w:rPr>
      <w:rFonts w:eastAsia="Calibri"/>
      <w:lang w:val="en-US"/>
    </w:rPr>
  </w:style>
  <w:style w:type="paragraph" w:customStyle="1" w:styleId="TableContents">
    <w:name w:val="Table Contents"/>
    <w:basedOn w:val="Normlny"/>
    <w:pPr>
      <w:suppressLineNumbers/>
    </w:pPr>
  </w:style>
  <w:style w:type="character" w:customStyle="1" w:styleId="OdsekzoznamuChar">
    <w:name w:val="Odsek zoznamu Char"/>
    <w:aliases w:val="body Char,Odsek zoznamu2 Char,Normal bullet 2 Char,Bullet list Char,1st level - Bullet List Paragraph Char,Lettre d'introduction Char,Paragrafo elenco Char,List Paragraph à moi Char,Paragraph Char,Bullet EY Char,List Paragraph11 Char"/>
    <w:link w:val="Odsekzoznamu"/>
    <w:uiPriority w:val="34"/>
    <w:qFormat/>
    <w:locked/>
    <w:rsid w:val="00127BE0"/>
  </w:style>
  <w:style w:type="paragraph" w:styleId="Odsekzoznamu">
    <w:name w:val="List Paragraph"/>
    <w:aliases w:val="body,Odsek zoznamu2,Normal bullet 2,Bullet list,1st level - Bullet List Paragraph,Lettre d'introduction,Paragrafo elenco,List Paragraph à moi,Paragraph,Bullet EY,List Paragraph11,Normal bullet 21,List Paragraph111,Bullet list1,lp,Dot pt,3"/>
    <w:basedOn w:val="Normlny"/>
    <w:link w:val="OdsekzoznamuChar"/>
    <w:uiPriority w:val="34"/>
    <w:qFormat/>
    <w:rsid w:val="00127BE0"/>
    <w:pPr>
      <w:suppressAutoHyphens w:val="0"/>
      <w:spacing w:line="240" w:lineRule="auto"/>
      <w:ind w:left="720"/>
      <w:contextualSpacing/>
    </w:pPr>
    <w:rPr>
      <w:color w:val="auto"/>
      <w:sz w:val="20"/>
      <w:szCs w:val="20"/>
      <w:lang w:eastAsia="sk-SK"/>
    </w:rPr>
  </w:style>
  <w:style w:type="paragraph" w:styleId="Normlnywebov">
    <w:name w:val="Normal (Web)"/>
    <w:basedOn w:val="Normlny"/>
    <w:uiPriority w:val="99"/>
    <w:rsid w:val="003A234B"/>
    <w:pPr>
      <w:suppressAutoHyphens w:val="0"/>
      <w:spacing w:before="100" w:beforeAutospacing="1" w:after="100" w:afterAutospacing="1" w:line="240" w:lineRule="auto"/>
    </w:pPr>
    <w:rPr>
      <w:color w:val="auto"/>
      <w:lang w:eastAsia="sk-SK"/>
    </w:rPr>
  </w:style>
  <w:style w:type="paragraph" w:styleId="Textbubliny">
    <w:name w:val="Balloon Text"/>
    <w:basedOn w:val="Normlny"/>
    <w:link w:val="TextbublinyChar1"/>
    <w:uiPriority w:val="99"/>
    <w:semiHidden/>
    <w:unhideWhenUsed/>
    <w:rsid w:val="00A25661"/>
    <w:pPr>
      <w:spacing w:line="240" w:lineRule="auto"/>
    </w:pPr>
    <w:rPr>
      <w:rFonts w:ascii="Segoe UI" w:hAnsi="Segoe UI" w:cs="Segoe UI"/>
      <w:sz w:val="18"/>
      <w:szCs w:val="18"/>
    </w:rPr>
  </w:style>
  <w:style w:type="character" w:customStyle="1" w:styleId="TextbublinyChar1">
    <w:name w:val="Text bubliny Char1"/>
    <w:basedOn w:val="Predvolenpsmoodseku"/>
    <w:link w:val="Textbubliny"/>
    <w:uiPriority w:val="99"/>
    <w:semiHidden/>
    <w:rsid w:val="00A25661"/>
    <w:rPr>
      <w:rFonts w:ascii="Segoe UI" w:hAnsi="Segoe UI" w:cs="Segoe UI"/>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86399">
      <w:bodyDiv w:val="1"/>
      <w:marLeft w:val="0"/>
      <w:marRight w:val="0"/>
      <w:marTop w:val="0"/>
      <w:marBottom w:val="0"/>
      <w:divBdr>
        <w:top w:val="none" w:sz="0" w:space="0" w:color="auto"/>
        <w:left w:val="none" w:sz="0" w:space="0" w:color="auto"/>
        <w:bottom w:val="none" w:sz="0" w:space="0" w:color="auto"/>
        <w:right w:val="none" w:sz="0" w:space="0" w:color="auto"/>
      </w:divBdr>
    </w:div>
    <w:div w:id="621304151">
      <w:bodyDiv w:val="1"/>
      <w:marLeft w:val="0"/>
      <w:marRight w:val="0"/>
      <w:marTop w:val="0"/>
      <w:marBottom w:val="0"/>
      <w:divBdr>
        <w:top w:val="none" w:sz="0" w:space="0" w:color="auto"/>
        <w:left w:val="none" w:sz="0" w:space="0" w:color="auto"/>
        <w:bottom w:val="none" w:sz="0" w:space="0" w:color="auto"/>
        <w:right w:val="none" w:sz="0" w:space="0" w:color="auto"/>
      </w:divBdr>
    </w:div>
    <w:div w:id="174221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EB6EF-8078-409D-A0B0-58674EB6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7613</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Viktória  Knappová</dc:creator>
  <cp:lastModifiedBy>Vetrák, Milan</cp:lastModifiedBy>
  <cp:revision>2</cp:revision>
  <cp:lastPrinted>2023-04-14T11:46:00Z</cp:lastPrinted>
  <dcterms:created xsi:type="dcterms:W3CDTF">2023-04-14T11:49:00Z</dcterms:created>
  <dcterms:modified xsi:type="dcterms:W3CDTF">2023-04-14T11:49:00Z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