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10" w:rsidRPr="00A350B4" w:rsidRDefault="00BE5A10" w:rsidP="00A350B4">
      <w:pPr>
        <w:pStyle w:val="Normlnywebov"/>
        <w:spacing w:before="120" w:beforeAutospacing="0" w:after="0" w:afterAutospacing="0"/>
        <w:jc w:val="center"/>
        <w:rPr>
          <w:rFonts w:ascii="Book Antiqua" w:hAnsi="Book Antiqua"/>
          <w:b/>
          <w:caps/>
          <w:spacing w:val="30"/>
          <w:sz w:val="22"/>
          <w:szCs w:val="22"/>
        </w:rPr>
      </w:pPr>
      <w:r w:rsidRPr="00A350B4">
        <w:rPr>
          <w:rFonts w:ascii="Book Antiqua" w:hAnsi="Book Antiqua"/>
          <w:b/>
          <w:caps/>
          <w:spacing w:val="30"/>
          <w:sz w:val="22"/>
          <w:szCs w:val="22"/>
        </w:rPr>
        <w:t>Dôvodová správa</w:t>
      </w:r>
      <w:r w:rsidRPr="00A350B4">
        <w:rPr>
          <w:rFonts w:ascii="Book Antiqua" w:hAnsi="Book Antiqua"/>
          <w:sz w:val="22"/>
          <w:szCs w:val="22"/>
        </w:rPr>
        <w:t> </w:t>
      </w:r>
    </w:p>
    <w:p w:rsidR="000F6093" w:rsidRPr="00A350B4" w:rsidRDefault="000F6093" w:rsidP="00A350B4">
      <w:pPr>
        <w:pStyle w:val="Nadpis1"/>
        <w:spacing w:before="120"/>
        <w:jc w:val="left"/>
        <w:rPr>
          <w:rFonts w:ascii="Book Antiqua" w:hAnsi="Book Antiqua"/>
          <w:sz w:val="22"/>
          <w:szCs w:val="22"/>
        </w:rPr>
      </w:pPr>
      <w:r w:rsidRPr="00A350B4">
        <w:rPr>
          <w:rFonts w:ascii="Book Antiqua" w:hAnsi="Book Antiqua"/>
          <w:sz w:val="22"/>
          <w:szCs w:val="22"/>
        </w:rPr>
        <w:t xml:space="preserve">A. Všeobecná </w:t>
      </w:r>
      <w:r w:rsidRPr="00A350B4">
        <w:rPr>
          <w:rFonts w:ascii="Book Antiqua" w:hAnsi="Book Antiqua"/>
          <w:sz w:val="22"/>
          <w:szCs w:val="22"/>
          <w:lang w:eastAsia="x-none"/>
        </w:rPr>
        <w:t>časť</w:t>
      </w:r>
    </w:p>
    <w:p w:rsidR="00A350B4" w:rsidRPr="00B83FC3" w:rsidRDefault="000F6093" w:rsidP="00A350B4">
      <w:pPr>
        <w:pStyle w:val="F2-ZkladnText"/>
        <w:spacing w:before="120" w:line="360" w:lineRule="auto"/>
        <w:rPr>
          <w:rFonts w:ascii="Book Antiqua" w:hAnsi="Book Antiqua"/>
          <w:sz w:val="22"/>
          <w:szCs w:val="22"/>
        </w:rPr>
      </w:pPr>
      <w:r w:rsidRPr="00A350B4">
        <w:rPr>
          <w:rFonts w:ascii="Book Antiqua" w:hAnsi="Book Antiqua"/>
          <w:sz w:val="22"/>
          <w:szCs w:val="22"/>
        </w:rPr>
        <w:tab/>
      </w:r>
      <w:r w:rsidRPr="00B83FC3">
        <w:rPr>
          <w:rFonts w:ascii="Book Antiqua" w:hAnsi="Book Antiqua"/>
          <w:sz w:val="22"/>
          <w:szCs w:val="22"/>
        </w:rPr>
        <w:t xml:space="preserve">Návrh zákona, </w:t>
      </w:r>
      <w:r w:rsidR="00A350B4" w:rsidRPr="00B83FC3">
        <w:rPr>
          <w:rFonts w:ascii="Book Antiqua" w:hAnsi="Book Antiqua"/>
          <w:sz w:val="22"/>
          <w:szCs w:val="22"/>
        </w:rPr>
        <w:t>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w:t>
      </w:r>
      <w:r w:rsidRPr="00B83FC3">
        <w:rPr>
          <w:rFonts w:ascii="Book Antiqua" w:hAnsi="Book Antiqua"/>
          <w:sz w:val="22"/>
          <w:szCs w:val="22"/>
        </w:rPr>
        <w:t xml:space="preserve"> (ďalej len „ná</w:t>
      </w:r>
      <w:r w:rsidR="00A350B4" w:rsidRPr="00B83FC3">
        <w:rPr>
          <w:rFonts w:ascii="Book Antiqua" w:hAnsi="Book Antiqua"/>
          <w:sz w:val="22"/>
          <w:szCs w:val="22"/>
        </w:rPr>
        <w:t>vrh zákona“) predkladá poslanec Národnej rady Slovenskej republiky Milan Vetrák.</w:t>
      </w:r>
    </w:p>
    <w:p w:rsidR="00A350B4" w:rsidRDefault="00A350B4" w:rsidP="00A350B4">
      <w:pPr>
        <w:pStyle w:val="F2-ZkladnText"/>
        <w:spacing w:before="120" w:line="360" w:lineRule="auto"/>
        <w:ind w:firstLine="708"/>
        <w:rPr>
          <w:rFonts w:ascii="Book Antiqua" w:hAnsi="Book Antiqua"/>
          <w:b/>
          <w:sz w:val="22"/>
          <w:szCs w:val="22"/>
        </w:rPr>
      </w:pPr>
      <w:r w:rsidRPr="00A350B4">
        <w:rPr>
          <w:rFonts w:ascii="Book Antiqua" w:hAnsi="Book Antiqua"/>
          <w:b/>
          <w:sz w:val="22"/>
          <w:szCs w:val="22"/>
        </w:rPr>
        <w:t xml:space="preserve">Cieľom návrhu zákona je priniesť </w:t>
      </w:r>
      <w:r w:rsidR="000F6093" w:rsidRPr="00A350B4">
        <w:rPr>
          <w:rFonts w:ascii="Book Antiqua" w:hAnsi="Book Antiqua"/>
          <w:b/>
          <w:sz w:val="22"/>
          <w:szCs w:val="22"/>
        </w:rPr>
        <w:t>riešenie vzájomných vzťahov prenajímateľ – nájomca – obec – štát a to tak, aby tieto vzťahy boli vyvážené a v prospech všetkých za</w:t>
      </w:r>
      <w:r>
        <w:rPr>
          <w:rFonts w:ascii="Book Antiqua" w:hAnsi="Book Antiqua"/>
          <w:b/>
          <w:sz w:val="22"/>
          <w:szCs w:val="22"/>
        </w:rPr>
        <w:t>interesovaných skupín. Hlavným prínosom je</w:t>
      </w:r>
      <w:r w:rsidR="000F6093" w:rsidRPr="00A350B4">
        <w:rPr>
          <w:rFonts w:ascii="Book Antiqua" w:hAnsi="Book Antiqua"/>
          <w:b/>
          <w:sz w:val="22"/>
          <w:szCs w:val="22"/>
        </w:rPr>
        <w:t xml:space="preserve"> zavedenie finančnej náhrady (tak, ako si to želá viac ako 80% dotknutých nájomcov), princíp dobrovoľnosti a slobodného výberu nájomcu medzi bytovou náhradou a finančnou náhradou, spravodlivý mechanizmus prispievania na nájomné zo strany obce prenajímateľovi a možnosť obce získať dotáciu od štátu na poskytovanie finančných náhrad.</w:t>
      </w:r>
      <w:r w:rsidR="00B83FC3">
        <w:rPr>
          <w:rFonts w:ascii="Book Antiqua" w:hAnsi="Book Antiqua"/>
          <w:b/>
          <w:sz w:val="22"/>
          <w:szCs w:val="22"/>
        </w:rPr>
        <w:t xml:space="preserve"> V Bratislave tento neriešený problém aj po rokoch spôsobuje samospráve nemalé finančné ťažkosti.</w:t>
      </w:r>
      <w:bookmarkStart w:id="0" w:name="_GoBack"/>
      <w:bookmarkEnd w:id="0"/>
    </w:p>
    <w:p w:rsidR="000F6093" w:rsidRPr="00A350B4" w:rsidRDefault="000F6093" w:rsidP="00A350B4">
      <w:pPr>
        <w:pStyle w:val="F2-ZkladnText"/>
        <w:spacing w:before="120" w:line="360" w:lineRule="auto"/>
        <w:ind w:firstLine="708"/>
        <w:rPr>
          <w:rFonts w:ascii="Book Antiqua" w:hAnsi="Book Antiqua"/>
          <w:sz w:val="22"/>
          <w:szCs w:val="22"/>
        </w:rPr>
      </w:pPr>
      <w:r w:rsidRPr="00A350B4">
        <w:rPr>
          <w:rFonts w:ascii="Book Antiqua" w:hAnsi="Book Antiqua"/>
          <w:sz w:val="22"/>
          <w:szCs w:val="22"/>
        </w:rPr>
        <w:t xml:space="preserve">Predkladaný návrh zákona má pozitívny </w:t>
      </w:r>
      <w:r w:rsidR="00A350B4">
        <w:rPr>
          <w:rFonts w:ascii="Book Antiqua" w:hAnsi="Book Antiqua"/>
          <w:sz w:val="22"/>
          <w:szCs w:val="22"/>
        </w:rPr>
        <w:t xml:space="preserve">vplyv na </w:t>
      </w:r>
      <w:r w:rsidRPr="00A350B4">
        <w:rPr>
          <w:rFonts w:ascii="Book Antiqua" w:hAnsi="Book Antiqua"/>
          <w:sz w:val="22"/>
          <w:szCs w:val="22"/>
        </w:rPr>
        <w:t>rozpočet verejn</w:t>
      </w:r>
      <w:r w:rsidR="00A350B4">
        <w:rPr>
          <w:rFonts w:ascii="Book Antiqua" w:hAnsi="Book Antiqua"/>
          <w:sz w:val="22"/>
          <w:szCs w:val="22"/>
        </w:rPr>
        <w:t xml:space="preserve">ej správy. </w:t>
      </w:r>
      <w:r w:rsidR="00B83FC3">
        <w:rPr>
          <w:rFonts w:ascii="Book Antiqua" w:hAnsi="Book Antiqua"/>
          <w:sz w:val="22"/>
          <w:szCs w:val="22"/>
        </w:rPr>
        <w:t>Návrh zákona môže mať minimálny negatívny vplyv</w:t>
      </w:r>
      <w:r w:rsidR="003E39C3" w:rsidRPr="00A350B4">
        <w:rPr>
          <w:rFonts w:ascii="Book Antiqua" w:hAnsi="Book Antiqua"/>
          <w:sz w:val="22"/>
          <w:szCs w:val="22"/>
        </w:rPr>
        <w:t xml:space="preserve"> na podnikateľské prostredie, </w:t>
      </w:r>
      <w:r w:rsidR="00A350B4">
        <w:rPr>
          <w:rFonts w:ascii="Book Antiqua" w:hAnsi="Book Antiqua"/>
          <w:color w:val="000000"/>
          <w:sz w:val="22"/>
          <w:szCs w:val="22"/>
        </w:rPr>
        <w:t xml:space="preserve">nemá </w:t>
      </w:r>
      <w:r w:rsidR="00B83FC3">
        <w:rPr>
          <w:rFonts w:ascii="Book Antiqua" w:hAnsi="Book Antiqua"/>
          <w:color w:val="000000"/>
          <w:sz w:val="22"/>
          <w:szCs w:val="22"/>
        </w:rPr>
        <w:t xml:space="preserve">však </w:t>
      </w:r>
      <w:r w:rsidR="003E39C3" w:rsidRPr="00A350B4">
        <w:rPr>
          <w:rFonts w:ascii="Book Antiqua" w:hAnsi="Book Antiqua"/>
          <w:sz w:val="22"/>
          <w:szCs w:val="22"/>
        </w:rPr>
        <w:t xml:space="preserve">sociálne vplyvy,  </w:t>
      </w:r>
      <w:r w:rsidR="00A350B4">
        <w:rPr>
          <w:rFonts w:ascii="Book Antiqua" w:hAnsi="Book Antiqua"/>
          <w:sz w:val="22"/>
          <w:szCs w:val="22"/>
        </w:rPr>
        <w:t xml:space="preserve">nemá vplyv </w:t>
      </w:r>
      <w:r w:rsidR="003E39C3" w:rsidRPr="00A350B4">
        <w:rPr>
          <w:rFonts w:ascii="Book Antiqua" w:hAnsi="Book Antiqua"/>
          <w:sz w:val="22"/>
          <w:szCs w:val="22"/>
        </w:rPr>
        <w:t xml:space="preserve">na životné prostredie a ani vplyvy na </w:t>
      </w:r>
      <w:r w:rsidR="00A350B4">
        <w:rPr>
          <w:rFonts w:ascii="Book Antiqua" w:hAnsi="Book Antiqua"/>
          <w:sz w:val="22"/>
          <w:szCs w:val="22"/>
        </w:rPr>
        <w:t>informatizáciu spoločnosti.</w:t>
      </w:r>
    </w:p>
    <w:p w:rsidR="000F6093" w:rsidRPr="00A350B4" w:rsidRDefault="000F6093" w:rsidP="00A350B4">
      <w:pPr>
        <w:pStyle w:val="Normlnywebov"/>
        <w:spacing w:before="120" w:beforeAutospacing="0" w:after="0" w:afterAutospacing="0" w:line="360" w:lineRule="auto"/>
        <w:ind w:firstLine="708"/>
        <w:jc w:val="both"/>
        <w:rPr>
          <w:rFonts w:ascii="Book Antiqua" w:hAnsi="Book Antiqua"/>
          <w:sz w:val="22"/>
          <w:szCs w:val="22"/>
        </w:rPr>
      </w:pPr>
      <w:r w:rsidRPr="00A350B4">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3E39C3" w:rsidRDefault="003E39C3" w:rsidP="00A350B4">
      <w:pPr>
        <w:pStyle w:val="Normlnywebov"/>
        <w:spacing w:before="120" w:beforeAutospacing="0" w:after="0" w:afterAutospacing="0" w:line="360" w:lineRule="auto"/>
        <w:jc w:val="both"/>
        <w:rPr>
          <w:rFonts w:ascii="Book Antiqua" w:hAnsi="Book Antiqua"/>
          <w:b/>
          <w:sz w:val="22"/>
          <w:szCs w:val="22"/>
        </w:rPr>
      </w:pPr>
    </w:p>
    <w:p w:rsidR="00A350B4" w:rsidRDefault="00A350B4" w:rsidP="00A350B4">
      <w:pPr>
        <w:pStyle w:val="Normlnywebov"/>
        <w:spacing w:before="120" w:beforeAutospacing="0" w:after="0" w:afterAutospacing="0" w:line="360" w:lineRule="auto"/>
        <w:jc w:val="both"/>
        <w:rPr>
          <w:rFonts w:ascii="Book Antiqua" w:hAnsi="Book Antiqua"/>
          <w:b/>
          <w:sz w:val="22"/>
          <w:szCs w:val="22"/>
        </w:rPr>
      </w:pPr>
    </w:p>
    <w:p w:rsidR="00A350B4" w:rsidRDefault="00A350B4" w:rsidP="00A350B4">
      <w:pPr>
        <w:pStyle w:val="Normlnywebov"/>
        <w:spacing w:before="120" w:beforeAutospacing="0" w:after="0" w:afterAutospacing="0" w:line="360" w:lineRule="auto"/>
        <w:jc w:val="both"/>
        <w:rPr>
          <w:rFonts w:ascii="Book Antiqua" w:hAnsi="Book Antiqua"/>
          <w:b/>
          <w:sz w:val="22"/>
          <w:szCs w:val="22"/>
        </w:rPr>
      </w:pPr>
    </w:p>
    <w:p w:rsidR="00A350B4" w:rsidRDefault="00A350B4" w:rsidP="00A350B4">
      <w:pPr>
        <w:pStyle w:val="Normlnywebov"/>
        <w:spacing w:before="120" w:beforeAutospacing="0" w:after="0" w:afterAutospacing="0" w:line="360" w:lineRule="auto"/>
        <w:jc w:val="both"/>
        <w:rPr>
          <w:rFonts w:ascii="Book Antiqua" w:hAnsi="Book Antiqua"/>
          <w:b/>
          <w:sz w:val="22"/>
          <w:szCs w:val="22"/>
        </w:rPr>
      </w:pPr>
    </w:p>
    <w:p w:rsidR="00A350B4" w:rsidRDefault="00A350B4" w:rsidP="00A350B4">
      <w:pPr>
        <w:pStyle w:val="Normlnywebov"/>
        <w:spacing w:before="120" w:beforeAutospacing="0" w:after="0" w:afterAutospacing="0" w:line="360" w:lineRule="auto"/>
        <w:jc w:val="both"/>
        <w:rPr>
          <w:rFonts w:ascii="Book Antiqua" w:hAnsi="Book Antiqua"/>
          <w:b/>
          <w:sz w:val="22"/>
          <w:szCs w:val="22"/>
        </w:rPr>
      </w:pPr>
    </w:p>
    <w:p w:rsidR="00A350B4" w:rsidRDefault="00A350B4" w:rsidP="00A350B4">
      <w:pPr>
        <w:pStyle w:val="Normlnywebov"/>
        <w:spacing w:before="120" w:beforeAutospacing="0" w:after="0" w:afterAutospacing="0" w:line="360" w:lineRule="auto"/>
        <w:jc w:val="both"/>
        <w:rPr>
          <w:rFonts w:ascii="Book Antiqua" w:hAnsi="Book Antiqua"/>
          <w:b/>
          <w:sz w:val="22"/>
          <w:szCs w:val="22"/>
        </w:rPr>
      </w:pPr>
    </w:p>
    <w:p w:rsidR="00A350B4" w:rsidRDefault="00A350B4" w:rsidP="00A350B4">
      <w:pPr>
        <w:pStyle w:val="Normlnywebov"/>
        <w:spacing w:before="120" w:beforeAutospacing="0" w:after="0" w:afterAutospacing="0" w:line="360" w:lineRule="auto"/>
        <w:jc w:val="both"/>
        <w:rPr>
          <w:rFonts w:ascii="Book Antiqua" w:hAnsi="Book Antiqua"/>
          <w:b/>
          <w:sz w:val="22"/>
          <w:szCs w:val="22"/>
        </w:rPr>
      </w:pPr>
    </w:p>
    <w:p w:rsidR="00A350B4" w:rsidRDefault="00A350B4" w:rsidP="00A350B4">
      <w:pPr>
        <w:pStyle w:val="Normlnywebov"/>
        <w:spacing w:before="120" w:beforeAutospacing="0" w:after="0" w:afterAutospacing="0" w:line="360" w:lineRule="auto"/>
        <w:jc w:val="both"/>
        <w:rPr>
          <w:rFonts w:ascii="Book Antiqua" w:hAnsi="Book Antiqua"/>
          <w:b/>
          <w:sz w:val="22"/>
          <w:szCs w:val="22"/>
        </w:rPr>
      </w:pPr>
    </w:p>
    <w:p w:rsidR="00A350B4" w:rsidRDefault="00A350B4" w:rsidP="00A350B4">
      <w:pPr>
        <w:pStyle w:val="Normlnywebov"/>
        <w:spacing w:before="120" w:beforeAutospacing="0" w:after="0" w:afterAutospacing="0" w:line="360" w:lineRule="auto"/>
        <w:jc w:val="both"/>
        <w:rPr>
          <w:rFonts w:ascii="Book Antiqua" w:hAnsi="Book Antiqua"/>
          <w:b/>
          <w:sz w:val="22"/>
          <w:szCs w:val="22"/>
        </w:rPr>
      </w:pPr>
    </w:p>
    <w:p w:rsidR="00A350B4" w:rsidRPr="00A350B4" w:rsidRDefault="00A350B4" w:rsidP="00A350B4">
      <w:pPr>
        <w:pStyle w:val="Normlnywebov"/>
        <w:spacing w:before="120" w:beforeAutospacing="0" w:after="0" w:afterAutospacing="0" w:line="360" w:lineRule="auto"/>
        <w:jc w:val="both"/>
        <w:rPr>
          <w:rFonts w:ascii="Book Antiqua" w:hAnsi="Book Antiqua"/>
          <w:b/>
          <w:sz w:val="22"/>
          <w:szCs w:val="22"/>
        </w:rPr>
      </w:pPr>
    </w:p>
    <w:p w:rsidR="000F6093" w:rsidRPr="00A350B4" w:rsidRDefault="000F6093" w:rsidP="00A350B4">
      <w:pPr>
        <w:pStyle w:val="Normlnywebov"/>
        <w:spacing w:before="120" w:beforeAutospacing="0" w:after="0" w:afterAutospacing="0" w:line="360" w:lineRule="auto"/>
        <w:jc w:val="both"/>
        <w:rPr>
          <w:rFonts w:ascii="Book Antiqua" w:hAnsi="Book Antiqua"/>
          <w:sz w:val="22"/>
          <w:szCs w:val="22"/>
        </w:rPr>
      </w:pPr>
      <w:r w:rsidRPr="00A350B4">
        <w:rPr>
          <w:rFonts w:ascii="Book Antiqua" w:hAnsi="Book Antiqua"/>
          <w:b/>
          <w:sz w:val="22"/>
          <w:szCs w:val="22"/>
        </w:rPr>
        <w:t>Osobitná časť</w:t>
      </w:r>
    </w:p>
    <w:p w:rsidR="00A350B4" w:rsidRPr="00A350B4" w:rsidRDefault="00A350B4" w:rsidP="00A350B4">
      <w:pPr>
        <w:pStyle w:val="Normlnywebov"/>
        <w:spacing w:before="120" w:beforeAutospacing="0" w:after="0" w:afterAutospacing="0" w:line="360" w:lineRule="auto"/>
        <w:jc w:val="both"/>
        <w:rPr>
          <w:rFonts w:ascii="Book Antiqua" w:hAnsi="Book Antiqua"/>
          <w:b/>
          <w:sz w:val="22"/>
          <w:szCs w:val="22"/>
        </w:rPr>
      </w:pPr>
      <w:r w:rsidRPr="00A350B4">
        <w:rPr>
          <w:rFonts w:ascii="Book Antiqua" w:hAnsi="Book Antiqua"/>
          <w:b/>
          <w:sz w:val="22"/>
          <w:szCs w:val="22"/>
        </w:rPr>
        <w:t>K Čl. I</w:t>
      </w:r>
    </w:p>
    <w:p w:rsidR="000F6093" w:rsidRPr="00A350B4" w:rsidRDefault="000F6093" w:rsidP="00A350B4">
      <w:pPr>
        <w:pStyle w:val="Normlnywebov"/>
        <w:spacing w:before="120" w:beforeAutospacing="0" w:after="0" w:afterAutospacing="0" w:line="360" w:lineRule="auto"/>
        <w:jc w:val="both"/>
        <w:rPr>
          <w:rFonts w:ascii="Book Antiqua" w:hAnsi="Book Antiqua"/>
          <w:sz w:val="22"/>
          <w:szCs w:val="22"/>
        </w:rPr>
      </w:pPr>
      <w:r w:rsidRPr="00A350B4">
        <w:rPr>
          <w:rFonts w:ascii="Book Antiqua" w:hAnsi="Book Antiqua"/>
          <w:sz w:val="22"/>
          <w:szCs w:val="22"/>
          <w:u w:val="single"/>
        </w:rPr>
        <w:t>K bodu 1</w:t>
      </w:r>
    </w:p>
    <w:p w:rsid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 xml:space="preserve">Ide o novo ustanovenú možnosť poskytnutia finančnej náhrady za vypratávaný byt, ktorá je upravená v novom § 5 zákona, pričom suma tejto náhrady, resp. spôsob jej určenia vyrovnáva podmienky, za ktorých nadobudli vlastníctvo svojho bytu nájomcovia porovnateľného bytového fondu podľa zákona Národnej rady Slovenskej republiky </w:t>
      </w:r>
      <w:r w:rsidR="00A350B4">
        <w:rPr>
          <w:rFonts w:ascii="Book Antiqua" w:hAnsi="Book Antiqua"/>
          <w:sz w:val="22"/>
          <w:szCs w:val="22"/>
        </w:rPr>
        <w:t xml:space="preserve">              </w:t>
      </w:r>
      <w:r w:rsidRPr="00A350B4">
        <w:rPr>
          <w:rFonts w:ascii="Book Antiqua" w:hAnsi="Book Antiqua"/>
          <w:sz w:val="22"/>
          <w:szCs w:val="22"/>
        </w:rPr>
        <w:t xml:space="preserve">č. 182/1993 Z. z. o vlastníctve bytov a nebytových priestorov v znení neskorších predpisov (majetkové nadobudnutie). </w:t>
      </w:r>
    </w:p>
    <w:p w:rsidR="000F6093" w:rsidRPr="00A350B4" w:rsidRDefault="000F6093" w:rsidP="00A350B4">
      <w:pPr>
        <w:spacing w:before="120" w:line="360" w:lineRule="auto"/>
        <w:jc w:val="both"/>
        <w:rPr>
          <w:rFonts w:ascii="Book Antiqua" w:hAnsi="Book Antiqua"/>
          <w:sz w:val="22"/>
          <w:szCs w:val="22"/>
        </w:rPr>
      </w:pPr>
      <w:r w:rsidRPr="00A350B4">
        <w:rPr>
          <w:rFonts w:ascii="Book Antiqua" w:hAnsi="Book Antiqua"/>
          <w:sz w:val="22"/>
          <w:szCs w:val="22"/>
          <w:u w:val="single"/>
        </w:rPr>
        <w:t>K bodu 2</w:t>
      </w:r>
    </w:p>
    <w:p w:rsidR="00A350B4" w:rsidRDefault="000F6093" w:rsidP="00A350B4">
      <w:pPr>
        <w:pStyle w:val="Normlnywebov"/>
        <w:spacing w:before="120" w:beforeAutospacing="0" w:after="0" w:afterAutospacing="0" w:line="360" w:lineRule="auto"/>
        <w:ind w:firstLine="708"/>
        <w:jc w:val="both"/>
        <w:rPr>
          <w:rFonts w:ascii="Book Antiqua" w:hAnsi="Book Antiqua"/>
          <w:sz w:val="22"/>
          <w:szCs w:val="22"/>
        </w:rPr>
      </w:pPr>
      <w:r w:rsidRPr="00A350B4">
        <w:rPr>
          <w:rFonts w:ascii="Book Antiqua" w:hAnsi="Book Antiqua"/>
          <w:sz w:val="22"/>
          <w:szCs w:val="22"/>
        </w:rPr>
        <w:t xml:space="preserve">Navrhuje sa ustanoviť možnosť poskytnutia finančnej náhrady pre dotknutých nájomcov a spoločne posudzované osoby a zároveň sa určujú podmienky na poskytnutie takejto formy náhrady. Takéto riešenie je aj z pohľadu nájomcov vnímané ako prijateľnejšie, rýchlejšie a jednoduchšie a je ho možné zrealizovať v priebehu 2 rokov. </w:t>
      </w:r>
    </w:p>
    <w:p w:rsidR="00A350B4" w:rsidRDefault="000F6093" w:rsidP="00A350B4">
      <w:pPr>
        <w:pStyle w:val="Normlnywebov"/>
        <w:spacing w:before="120" w:beforeAutospacing="0" w:after="0" w:afterAutospacing="0" w:line="360" w:lineRule="auto"/>
        <w:ind w:firstLine="708"/>
        <w:jc w:val="both"/>
        <w:rPr>
          <w:rFonts w:ascii="Book Antiqua" w:hAnsi="Book Antiqua"/>
          <w:sz w:val="22"/>
          <w:szCs w:val="22"/>
        </w:rPr>
      </w:pPr>
      <w:r w:rsidRPr="00A350B4">
        <w:rPr>
          <w:rFonts w:ascii="Book Antiqua" w:hAnsi="Book Antiqua"/>
          <w:sz w:val="22"/>
          <w:szCs w:val="22"/>
        </w:rPr>
        <w:t xml:space="preserve">Finančná náhrada z hľadiska nárokov na prostriedky zo štátneho rozpočtu predstavuje spoľahlivejší predpoklad nákladov, keďže v tomto prípade nehrozí riziko „neočakávaného navýšenia nákladov“, ktoré je časté pri realizácii stavieb z verejných zdrojov. Formu finančnej náhrady si praje veľká väčšina dotknutých nájomcov. Táto forma umožní najmä tým, ktorí ju budú môcť skombinovať s vlastnými zdrojmi, zaobstarať si bývanie podľa vlastných predstáv. </w:t>
      </w:r>
    </w:p>
    <w:p w:rsidR="00B15A13" w:rsidRDefault="000F6093" w:rsidP="00A350B4">
      <w:pPr>
        <w:pStyle w:val="Normlnywebov"/>
        <w:spacing w:before="120" w:beforeAutospacing="0" w:after="0" w:afterAutospacing="0" w:line="360" w:lineRule="auto"/>
        <w:ind w:firstLine="708"/>
        <w:jc w:val="both"/>
        <w:rPr>
          <w:rFonts w:ascii="Book Antiqua" w:hAnsi="Book Antiqua"/>
          <w:sz w:val="22"/>
          <w:szCs w:val="22"/>
        </w:rPr>
      </w:pPr>
      <w:r w:rsidRPr="00A350B4">
        <w:rPr>
          <w:rFonts w:ascii="Book Antiqua" w:hAnsi="Book Antiqua"/>
          <w:sz w:val="22"/>
          <w:szCs w:val="22"/>
        </w:rPr>
        <w:t xml:space="preserve">Forma finančnej náhrady uľahčí situáciu aj obciam, pre ktoré je realizácia navrhovaného jediného variantu bytových náhrad problematická. Navyše, je legitímne očakávať od štátu, ktorý celý problém nájomných vzťahov v reštituovaných a privatizovaných domoch spôsobil sériou krokov (znárodnenie domov, následné pridelenie bytov občanom, následné vrátenie - vydanie domov oprávneným osobám aj s nájomcami, vytvorenie inej štartovacej čiary pre ostatných občanov neštandardne výhodnou a celoplošnou privatizáciou bytového fondu s vylúčením nájomcov v reštituovaných a privatizovaných domoch a pod.), aby pri riešení problému pristupoval k dotknutým </w:t>
      </w:r>
      <w:r w:rsidRPr="00A350B4">
        <w:rPr>
          <w:rFonts w:ascii="Book Antiqua" w:hAnsi="Book Antiqua"/>
          <w:sz w:val="22"/>
          <w:szCs w:val="22"/>
        </w:rPr>
        <w:lastRenderedPageBreak/>
        <w:t>nájomcom korektne a rešpektoval formu náhrady tak, ako ju drvivá väčšina postihnutých nájomcov požaduje.</w:t>
      </w:r>
    </w:p>
    <w:p w:rsidR="00A350B4" w:rsidRPr="00A350B4" w:rsidRDefault="00A350B4" w:rsidP="00A350B4">
      <w:pPr>
        <w:pStyle w:val="Normlnywebov"/>
        <w:spacing w:before="120" w:beforeAutospacing="0" w:after="0" w:afterAutospacing="0" w:line="360" w:lineRule="auto"/>
        <w:ind w:firstLine="708"/>
        <w:jc w:val="both"/>
        <w:rPr>
          <w:rFonts w:ascii="Book Antiqua" w:hAnsi="Book Antiqua"/>
          <w:sz w:val="22"/>
          <w:szCs w:val="22"/>
        </w:rPr>
      </w:pPr>
    </w:p>
    <w:p w:rsidR="000F6093" w:rsidRPr="00A350B4" w:rsidRDefault="000F6093" w:rsidP="00A350B4">
      <w:pPr>
        <w:spacing w:before="120" w:line="360" w:lineRule="auto"/>
        <w:contextualSpacing/>
        <w:jc w:val="both"/>
        <w:rPr>
          <w:rFonts w:ascii="Book Antiqua" w:hAnsi="Book Antiqua"/>
          <w:sz w:val="22"/>
          <w:szCs w:val="22"/>
          <w:u w:val="single"/>
        </w:rPr>
      </w:pPr>
      <w:r w:rsidRPr="00A350B4">
        <w:rPr>
          <w:rFonts w:ascii="Book Antiqua" w:hAnsi="Book Antiqua"/>
          <w:sz w:val="22"/>
          <w:szCs w:val="22"/>
          <w:u w:val="single"/>
        </w:rPr>
        <w:t>K bodom 3 až 5</w:t>
      </w:r>
    </w:p>
    <w:p w:rsidR="000F6093" w:rsidRP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Ide o terminologické zosúladenie jednotlivých ustanovení s  § 7, ako aj s novým znením § 5 ods. 1, ktorý rozlišuje dve formy náhrady a to finančnú náhradu a bytovú náhradu</w:t>
      </w:r>
      <w:r w:rsidRPr="00A350B4">
        <w:rPr>
          <w:rFonts w:ascii="Book Antiqua" w:hAnsi="Book Antiqua"/>
          <w:i/>
          <w:sz w:val="22"/>
          <w:szCs w:val="22"/>
        </w:rPr>
        <w:t>.</w:t>
      </w:r>
    </w:p>
    <w:p w:rsidR="000F6093" w:rsidRPr="00A350B4" w:rsidRDefault="000F6093" w:rsidP="00A350B4">
      <w:pPr>
        <w:spacing w:before="120" w:line="360" w:lineRule="auto"/>
        <w:jc w:val="both"/>
        <w:rPr>
          <w:rFonts w:ascii="Book Antiqua" w:hAnsi="Book Antiqua"/>
          <w:sz w:val="22"/>
          <w:szCs w:val="22"/>
          <w:u w:val="single"/>
        </w:rPr>
      </w:pPr>
      <w:r w:rsidRPr="00A350B4">
        <w:rPr>
          <w:rFonts w:ascii="Book Antiqua" w:hAnsi="Book Antiqua"/>
          <w:sz w:val="22"/>
          <w:szCs w:val="22"/>
          <w:u w:val="single"/>
        </w:rPr>
        <w:t>K bodu 6</w:t>
      </w:r>
    </w:p>
    <w:p w:rsidR="000F6093" w:rsidRP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Ide o legislatívno-technickú úpravu bezprostredne súvisiacu s novým znení</w:t>
      </w:r>
      <w:r w:rsidR="005D0448" w:rsidRPr="00A350B4">
        <w:rPr>
          <w:rFonts w:ascii="Book Antiqua" w:hAnsi="Book Antiqua"/>
          <w:sz w:val="22"/>
          <w:szCs w:val="22"/>
        </w:rPr>
        <w:t>m</w:t>
      </w:r>
      <w:r w:rsidRPr="00A350B4">
        <w:rPr>
          <w:rFonts w:ascii="Book Antiqua" w:hAnsi="Book Antiqua"/>
          <w:sz w:val="22"/>
          <w:szCs w:val="22"/>
        </w:rPr>
        <w:t xml:space="preserve"> § 5 návrhu zákona.</w:t>
      </w:r>
    </w:p>
    <w:p w:rsidR="000F6093" w:rsidRPr="00A350B4" w:rsidRDefault="000F6093" w:rsidP="00A350B4">
      <w:pPr>
        <w:spacing w:before="120" w:line="360" w:lineRule="auto"/>
        <w:jc w:val="both"/>
        <w:rPr>
          <w:rFonts w:ascii="Book Antiqua" w:hAnsi="Book Antiqua"/>
          <w:sz w:val="22"/>
          <w:szCs w:val="22"/>
          <w:u w:val="single"/>
        </w:rPr>
      </w:pPr>
      <w:r w:rsidRPr="00A350B4">
        <w:rPr>
          <w:rFonts w:ascii="Book Antiqua" w:hAnsi="Book Antiqua"/>
          <w:sz w:val="22"/>
          <w:szCs w:val="22"/>
          <w:u w:val="single"/>
        </w:rPr>
        <w:t>K bodu 7</w:t>
      </w:r>
    </w:p>
    <w:p w:rsidR="000F6093" w:rsidRP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Rovnako, ako v prípade, ak sa dodatočne zistí, že žiadateľovi bola poskytnutá bytová náhrada neoprávnene, čo sa s konečnou platnosťou konštatuje v právoplatnom rozhodnutí obce o zániku nároku na bytovú náhradu a takáto osoba je povinná podľa § 10 ods. 3 vypratať byt, návrh zákona zavádza túto povinnosť aj v prípade finančnej náhrady, ktorú je takáto osoba povinná vrátiť, ak sa dodatočne zistí, že bola poskytnutá neoprávnene podľa § 10 ods. 1.</w:t>
      </w:r>
    </w:p>
    <w:p w:rsidR="000F6093" w:rsidRPr="00A350B4" w:rsidRDefault="000F6093" w:rsidP="00A350B4">
      <w:pPr>
        <w:spacing w:before="120" w:line="360" w:lineRule="auto"/>
        <w:jc w:val="both"/>
        <w:rPr>
          <w:rFonts w:ascii="Book Antiqua" w:hAnsi="Book Antiqua"/>
          <w:sz w:val="22"/>
          <w:szCs w:val="22"/>
          <w:u w:val="single"/>
        </w:rPr>
      </w:pPr>
      <w:r w:rsidRPr="00A350B4">
        <w:rPr>
          <w:rFonts w:ascii="Book Antiqua" w:hAnsi="Book Antiqua"/>
          <w:sz w:val="22"/>
          <w:szCs w:val="22"/>
          <w:u w:val="single"/>
        </w:rPr>
        <w:t>K bodom 8, 9 a 11</w:t>
      </w:r>
    </w:p>
    <w:p w:rsidR="000F6093" w:rsidRP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Na to, aby obec mohla finančne zvládnuť bremeno vyplácania bytových náhrad jej zákon v      § 11 ods. 3 priznáva oprávnenie žiadať od štátu dotácie na obstaranie náhradných nájomných bytov, obstaranie pozemkov a súvisiacej technickej vybavenosti.</w:t>
      </w:r>
    </w:p>
    <w:p w:rsidR="000F6093" w:rsidRPr="00A350B4" w:rsidRDefault="000F6093" w:rsidP="00A350B4">
      <w:pPr>
        <w:spacing w:before="120" w:line="360" w:lineRule="auto"/>
        <w:jc w:val="both"/>
        <w:rPr>
          <w:rFonts w:ascii="Book Antiqua" w:hAnsi="Book Antiqua"/>
          <w:sz w:val="22"/>
          <w:szCs w:val="22"/>
          <w:u w:val="single"/>
        </w:rPr>
      </w:pPr>
      <w:r w:rsidRPr="00A350B4">
        <w:rPr>
          <w:rFonts w:ascii="Book Antiqua" w:hAnsi="Book Antiqua"/>
          <w:sz w:val="22"/>
          <w:szCs w:val="22"/>
          <w:u w:val="single"/>
        </w:rPr>
        <w:t>K bodu 10</w:t>
      </w:r>
    </w:p>
    <w:p w:rsidR="001F1883" w:rsidRPr="00A350B4" w:rsidRDefault="001F1883" w:rsidP="00A350B4">
      <w:pPr>
        <w:pStyle w:val="Normlnywebov"/>
        <w:spacing w:before="120" w:beforeAutospacing="0" w:after="0" w:afterAutospacing="0" w:line="360" w:lineRule="auto"/>
        <w:ind w:firstLine="708"/>
        <w:jc w:val="both"/>
        <w:rPr>
          <w:rFonts w:ascii="Book Antiqua" w:hAnsi="Book Antiqua"/>
          <w:sz w:val="22"/>
          <w:szCs w:val="22"/>
        </w:rPr>
      </w:pPr>
      <w:r w:rsidRPr="00A350B4">
        <w:rPr>
          <w:rFonts w:ascii="Book Antiqua" w:hAnsi="Book Antiqua"/>
          <w:sz w:val="22"/>
          <w:szCs w:val="22"/>
        </w:rPr>
        <w:t>Keďže finančná náhrada nie je podmienená výstavbou nových bytov, termín 31. december 20</w:t>
      </w:r>
      <w:r w:rsidR="00B25B80" w:rsidRPr="00A350B4">
        <w:rPr>
          <w:rFonts w:ascii="Book Antiqua" w:hAnsi="Book Antiqua"/>
          <w:sz w:val="22"/>
          <w:szCs w:val="22"/>
        </w:rPr>
        <w:t>2</w:t>
      </w:r>
      <w:r w:rsidR="00B15A13" w:rsidRPr="00A350B4">
        <w:rPr>
          <w:rFonts w:ascii="Book Antiqua" w:hAnsi="Book Antiqua"/>
          <w:sz w:val="22"/>
          <w:szCs w:val="22"/>
        </w:rPr>
        <w:t>1</w:t>
      </w:r>
      <w:r w:rsidRPr="00A350B4">
        <w:rPr>
          <w:rFonts w:ascii="Book Antiqua" w:hAnsi="Book Antiqua"/>
          <w:sz w:val="22"/>
          <w:szCs w:val="22"/>
        </w:rPr>
        <w:t xml:space="preserve"> sa javí ako vhodnejší najmä z dôvodu čo najskoršieho vyriešenia problému nájomcov a vzhľadom na existenciu finančných prostriedkov vyčlenených na tento účel. </w:t>
      </w:r>
      <w:r w:rsidR="00B15A13" w:rsidRPr="00A350B4">
        <w:rPr>
          <w:rFonts w:ascii="Book Antiqua" w:hAnsi="Book Antiqua"/>
          <w:sz w:val="22"/>
          <w:szCs w:val="22"/>
        </w:rPr>
        <w:t>Zároveň sa navrhuje upraviť dedenie nároku na finančnú náhradu.</w:t>
      </w:r>
    </w:p>
    <w:p w:rsidR="000F6093" w:rsidRPr="00A350B4" w:rsidRDefault="000F6093" w:rsidP="00A350B4">
      <w:pPr>
        <w:spacing w:before="120" w:line="360" w:lineRule="auto"/>
        <w:jc w:val="both"/>
        <w:rPr>
          <w:rFonts w:ascii="Book Antiqua" w:hAnsi="Book Antiqua"/>
          <w:sz w:val="22"/>
          <w:szCs w:val="22"/>
          <w:u w:val="single"/>
        </w:rPr>
      </w:pPr>
      <w:r w:rsidRPr="00A350B4">
        <w:rPr>
          <w:rFonts w:ascii="Book Antiqua" w:hAnsi="Book Antiqua"/>
          <w:sz w:val="22"/>
          <w:szCs w:val="22"/>
          <w:u w:val="single"/>
        </w:rPr>
        <w:t>K bodu 12</w:t>
      </w:r>
    </w:p>
    <w:p w:rsidR="000F6093" w:rsidRP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 xml:space="preserve">Z dôvodu zavedenia novej formy náhrady je potrebné priamo v zákone upraviť aj náležitosti zmluvy, ktorú obec uzatvorí s nájomcom v prípade poskytnutia finančnej náhrady. Náležitosti takejto zmluvy vykazujú niektoré osobitosti a preto ju nie je možné </w:t>
      </w:r>
      <w:r w:rsidRPr="00A350B4">
        <w:rPr>
          <w:rFonts w:ascii="Book Antiqua" w:hAnsi="Book Antiqua"/>
          <w:sz w:val="22"/>
          <w:szCs w:val="22"/>
        </w:rPr>
        <w:lastRenderedPageBreak/>
        <w:t>podriadiť režimu nájomnej zmluvy podľa § 13 platného zákona. Návrhom zákona sa ustanovuje len demonštratívny výpočet náležitostí, ktoré má zmluva obsahovať, čo umožňuje každej obci prispôsobiť si jednotlivé ustanovenia zmluvy o poskytnutí finančnej náhrady tak, ako je potrebné vzhľadom na miestne špecifiká a špecifiká daného prípadu.</w:t>
      </w:r>
    </w:p>
    <w:p w:rsidR="000F6093" w:rsidRPr="00A350B4" w:rsidRDefault="000F6093" w:rsidP="00A350B4">
      <w:pPr>
        <w:spacing w:before="120" w:line="360" w:lineRule="auto"/>
        <w:jc w:val="both"/>
        <w:rPr>
          <w:rFonts w:ascii="Book Antiqua" w:hAnsi="Book Antiqua"/>
          <w:sz w:val="22"/>
          <w:szCs w:val="22"/>
          <w:u w:val="single"/>
        </w:rPr>
      </w:pPr>
      <w:r w:rsidRPr="00A350B4">
        <w:rPr>
          <w:rFonts w:ascii="Book Antiqua" w:hAnsi="Book Antiqua"/>
          <w:sz w:val="22"/>
          <w:szCs w:val="22"/>
          <w:u w:val="single"/>
        </w:rPr>
        <w:t>K bodu 13 až 15</w:t>
      </w:r>
    </w:p>
    <w:p w:rsidR="000F6093" w:rsidRP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Ide o legislatívno-technickú úpravu bezprostredne súvisiacu s novým znení</w:t>
      </w:r>
      <w:r w:rsidR="005D0448" w:rsidRPr="00A350B4">
        <w:rPr>
          <w:rFonts w:ascii="Book Antiqua" w:hAnsi="Book Antiqua"/>
          <w:sz w:val="22"/>
          <w:szCs w:val="22"/>
        </w:rPr>
        <w:t>m</w:t>
      </w:r>
      <w:r w:rsidRPr="00A350B4">
        <w:rPr>
          <w:rFonts w:ascii="Book Antiqua" w:hAnsi="Book Antiqua"/>
          <w:sz w:val="22"/>
          <w:szCs w:val="22"/>
        </w:rPr>
        <w:t xml:space="preserve"> § 5 zákona.</w:t>
      </w:r>
    </w:p>
    <w:p w:rsidR="000F6093" w:rsidRPr="00A350B4" w:rsidRDefault="000F6093" w:rsidP="00A350B4">
      <w:pPr>
        <w:spacing w:before="120" w:line="360" w:lineRule="auto"/>
        <w:jc w:val="both"/>
        <w:rPr>
          <w:rFonts w:ascii="Book Antiqua" w:hAnsi="Book Antiqua"/>
          <w:sz w:val="22"/>
          <w:szCs w:val="22"/>
          <w:u w:val="single"/>
        </w:rPr>
      </w:pPr>
      <w:r w:rsidRPr="00A350B4">
        <w:rPr>
          <w:rFonts w:ascii="Book Antiqua" w:hAnsi="Book Antiqua"/>
          <w:sz w:val="22"/>
          <w:szCs w:val="22"/>
          <w:u w:val="single"/>
        </w:rPr>
        <w:t>K bodu 16</w:t>
      </w:r>
    </w:p>
    <w:p w:rsidR="000F6093" w:rsidRP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 xml:space="preserve">Javí sa ako spravodlivé, aby tí nájomcovia, ktorí nemali možnosť požiadať o finančnú náhradu, hoci takýchto nájomcov je prevažná väčšina (odhaduje sa na viac ako 80% všetkých dotknutých nájomcov), mohli podať novú žiadosť, ak uprednostňujú takúto formu náhrady pred bytovou náhradou. Keďže nájomcovi môže byť priznaná len jedna forma náhrady za vypratávaný byt, je náležité, aby nájomca stiahol svoju pôvodnú žiadosť o bytovú náhradu s cieľom zamedziť duplicite žiadostí, resp. predbežných žiadostí a znížiť administratívnu záťaž obcí posudzujúcich žiadosť (resp. súdov v sporných prípadoch). </w:t>
      </w:r>
    </w:p>
    <w:p w:rsidR="000F6093" w:rsidRP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V odseku 2 sa upravuje štandardné ustanovenie týkajúce sa konaní o priznaní nároku na náhradu za vypratávaný byt, ktoré podľa § 9 zákona prebieha na obci a vo výnimočných prípadoch, keď sa nájomca odvolá voči rozhodnutiu obce, na súde. Konania, ktoré boli začaté, ale neboli právoplatne ukončené pred nadobudnutím účinnosti novely zákona, sa dokončia podľa doterajších predpisov, čím sa zamedzí retroaktívnemu pôsobeniu ustanovení novely zákona.</w:t>
      </w:r>
    </w:p>
    <w:p w:rsidR="000F6093" w:rsidRPr="00A350B4" w:rsidRDefault="000F6093" w:rsidP="00A350B4">
      <w:pPr>
        <w:spacing w:before="120" w:line="360" w:lineRule="auto"/>
        <w:jc w:val="both"/>
        <w:rPr>
          <w:rFonts w:ascii="Book Antiqua" w:hAnsi="Book Antiqua"/>
          <w:sz w:val="22"/>
          <w:szCs w:val="22"/>
        </w:rPr>
      </w:pPr>
    </w:p>
    <w:p w:rsidR="000F6093" w:rsidRPr="00A350B4" w:rsidRDefault="000F6093" w:rsidP="00A350B4">
      <w:pPr>
        <w:pStyle w:val="Normlnywebov"/>
        <w:spacing w:before="120" w:beforeAutospacing="0" w:after="0" w:afterAutospacing="0" w:line="360" w:lineRule="auto"/>
        <w:jc w:val="both"/>
        <w:rPr>
          <w:rFonts w:ascii="Book Antiqua" w:hAnsi="Book Antiqua"/>
          <w:b/>
          <w:sz w:val="22"/>
          <w:szCs w:val="22"/>
        </w:rPr>
      </w:pPr>
      <w:r w:rsidRPr="00A350B4">
        <w:rPr>
          <w:rFonts w:ascii="Book Antiqua" w:hAnsi="Book Antiqua"/>
          <w:b/>
          <w:sz w:val="22"/>
          <w:szCs w:val="22"/>
        </w:rPr>
        <w:t>K Čl. II</w:t>
      </w:r>
    </w:p>
    <w:p w:rsidR="000F6093" w:rsidRPr="00A350B4" w:rsidRDefault="000F6093" w:rsidP="00A350B4">
      <w:pPr>
        <w:spacing w:before="120" w:line="360" w:lineRule="auto"/>
        <w:jc w:val="both"/>
        <w:rPr>
          <w:rFonts w:ascii="Book Antiqua" w:hAnsi="Book Antiqua"/>
          <w:sz w:val="22"/>
          <w:szCs w:val="22"/>
          <w:u w:val="single"/>
        </w:rPr>
      </w:pPr>
      <w:r w:rsidRPr="00A350B4">
        <w:rPr>
          <w:rFonts w:ascii="Book Antiqua" w:hAnsi="Book Antiqua"/>
          <w:sz w:val="22"/>
          <w:szCs w:val="22"/>
          <w:u w:val="single"/>
        </w:rPr>
        <w:t>K bodu 1</w:t>
      </w:r>
    </w:p>
    <w:p w:rsidR="000F6093" w:rsidRPr="00A350B4" w:rsidRDefault="000F6093" w:rsidP="00A350B4">
      <w:pPr>
        <w:spacing w:before="120" w:line="360" w:lineRule="auto"/>
        <w:ind w:firstLine="708"/>
        <w:jc w:val="both"/>
        <w:rPr>
          <w:rFonts w:ascii="Book Antiqua" w:hAnsi="Book Antiqua"/>
          <w:sz w:val="22"/>
          <w:szCs w:val="22"/>
        </w:rPr>
      </w:pPr>
      <w:r w:rsidRPr="00A350B4">
        <w:rPr>
          <w:rFonts w:ascii="Book Antiqua" w:hAnsi="Book Antiqua"/>
          <w:sz w:val="22"/>
          <w:szCs w:val="22"/>
        </w:rPr>
        <w:t xml:space="preserve">Vzhľadom na to, že návrh zákona </w:t>
      </w:r>
      <w:r w:rsidRPr="00A350B4">
        <w:rPr>
          <w:rFonts w:ascii="Book Antiqua" w:hAnsi="Book Antiqua"/>
          <w:bCs/>
          <w:sz w:val="22"/>
          <w:szCs w:val="22"/>
        </w:rPr>
        <w:t xml:space="preserve"> č. 260/2011 Z. z.  o ukončení a spôsobe usporiadania niektorých nájomných bytov a o doplnení zákona Národnej rady Slovenskej republiky č. 18/1996 Z. z. o cenách v znení neskorších predpisov </w:t>
      </w:r>
      <w:r w:rsidRPr="00A350B4">
        <w:rPr>
          <w:rFonts w:ascii="Book Antiqua" w:hAnsi="Book Antiqua"/>
          <w:sz w:val="22"/>
          <w:szCs w:val="22"/>
        </w:rPr>
        <w:t xml:space="preserve">zavádza novú formu bytovej náhrady, ktorou je finančná náhrada,  je potrebné rozšíriť účel poskytovania dotácií o bytovú náhradu. Táto otázka má zásadný význam, keďže viac ako 80% súčasných nájomcov bytov, ktorých sa tieto zákony týkajú, uprednostňuje finančnú náhradu pred </w:t>
      </w:r>
      <w:r w:rsidRPr="00A350B4">
        <w:rPr>
          <w:rFonts w:ascii="Book Antiqua" w:hAnsi="Book Antiqua"/>
          <w:sz w:val="22"/>
          <w:szCs w:val="22"/>
        </w:rPr>
        <w:lastRenderedPageBreak/>
        <w:t xml:space="preserve">bytovou náhradou. Bez prijatia takéhoto osobitného dotačného zákona nebude možné realizovať ani príslušné ustanovenia zákona č. 260/2011 Z. z. v znení tohto návrhu zákona, </w:t>
      </w:r>
    </w:p>
    <w:p w:rsidR="00A350B4" w:rsidRDefault="00A350B4" w:rsidP="00A350B4">
      <w:pPr>
        <w:spacing w:before="120" w:line="360" w:lineRule="auto"/>
        <w:rPr>
          <w:rFonts w:ascii="Book Antiqua" w:hAnsi="Book Antiqua"/>
          <w:bCs/>
          <w:sz w:val="22"/>
          <w:szCs w:val="22"/>
        </w:rPr>
      </w:pPr>
    </w:p>
    <w:p w:rsidR="000F6093" w:rsidRPr="00A350B4" w:rsidRDefault="000F6093" w:rsidP="00A350B4">
      <w:pPr>
        <w:spacing w:before="120" w:line="360" w:lineRule="auto"/>
        <w:rPr>
          <w:rFonts w:ascii="Book Antiqua" w:hAnsi="Book Antiqua"/>
          <w:bCs/>
          <w:sz w:val="22"/>
          <w:szCs w:val="22"/>
          <w:u w:val="single"/>
        </w:rPr>
      </w:pPr>
      <w:r w:rsidRPr="00A350B4">
        <w:rPr>
          <w:rFonts w:ascii="Book Antiqua" w:hAnsi="Book Antiqua"/>
          <w:bCs/>
          <w:sz w:val="22"/>
          <w:szCs w:val="22"/>
          <w:u w:val="single"/>
        </w:rPr>
        <w:t>K bodu 2</w:t>
      </w:r>
    </w:p>
    <w:p w:rsidR="000F6093" w:rsidRPr="00A350B4" w:rsidRDefault="000F6093" w:rsidP="00A350B4">
      <w:pPr>
        <w:spacing w:before="120" w:line="360" w:lineRule="auto"/>
        <w:ind w:firstLine="708"/>
        <w:jc w:val="both"/>
        <w:rPr>
          <w:rFonts w:ascii="Book Antiqua" w:hAnsi="Book Antiqua"/>
          <w:bCs/>
          <w:sz w:val="22"/>
          <w:szCs w:val="22"/>
        </w:rPr>
      </w:pPr>
      <w:r w:rsidRPr="00A350B4">
        <w:rPr>
          <w:rFonts w:ascii="Book Antiqua" w:hAnsi="Book Antiqua"/>
          <w:bCs/>
          <w:sz w:val="22"/>
          <w:szCs w:val="22"/>
        </w:rPr>
        <w:t>V § 5a sa definujú podmienky a oprávnené náklady na vyplatenie finančnej náhrady ako nov</w:t>
      </w:r>
      <w:r w:rsidR="005D0448" w:rsidRPr="00A350B4">
        <w:rPr>
          <w:rFonts w:ascii="Book Antiqua" w:hAnsi="Book Antiqua"/>
          <w:bCs/>
          <w:sz w:val="22"/>
          <w:szCs w:val="22"/>
        </w:rPr>
        <w:t>á</w:t>
      </w:r>
      <w:r w:rsidRPr="00A350B4">
        <w:rPr>
          <w:rFonts w:ascii="Book Antiqua" w:hAnsi="Book Antiqua"/>
          <w:bCs/>
          <w:sz w:val="22"/>
          <w:szCs w:val="22"/>
        </w:rPr>
        <w:t xml:space="preserve"> form</w:t>
      </w:r>
      <w:r w:rsidR="005D0448" w:rsidRPr="00A350B4">
        <w:rPr>
          <w:rFonts w:ascii="Book Antiqua" w:hAnsi="Book Antiqua"/>
          <w:bCs/>
          <w:sz w:val="22"/>
          <w:szCs w:val="22"/>
        </w:rPr>
        <w:t>a</w:t>
      </w:r>
      <w:r w:rsidRPr="00A350B4">
        <w:rPr>
          <w:rFonts w:ascii="Book Antiqua" w:hAnsi="Book Antiqua"/>
          <w:bCs/>
          <w:sz w:val="22"/>
          <w:szCs w:val="22"/>
        </w:rPr>
        <w:t xml:space="preserve">  poskytnutia dotácie za bytovú náhradu, </w:t>
      </w:r>
      <w:r w:rsidRPr="00A350B4">
        <w:rPr>
          <w:rFonts w:ascii="Book Antiqua" w:hAnsi="Book Antiqua"/>
          <w:sz w:val="22"/>
          <w:szCs w:val="22"/>
        </w:rPr>
        <w:t xml:space="preserve"> ktoré môžu získať obce za účelom vyplatenia finančnej náhrady nájomníkovi za byt, musí vypratať  v súlade so zákonom č. </w:t>
      </w:r>
      <w:r w:rsidRPr="00A350B4">
        <w:rPr>
          <w:rFonts w:ascii="Book Antiqua" w:hAnsi="Book Antiqua"/>
          <w:bCs/>
          <w:sz w:val="22"/>
          <w:szCs w:val="22"/>
        </w:rPr>
        <w:t xml:space="preserve"> 260/2011 Z. z.  </w:t>
      </w:r>
      <w:r w:rsidR="005D0448" w:rsidRPr="00A350B4">
        <w:rPr>
          <w:rFonts w:ascii="Book Antiqua" w:hAnsi="Book Antiqua"/>
          <w:bCs/>
          <w:sz w:val="22"/>
          <w:szCs w:val="22"/>
        </w:rPr>
        <w:t xml:space="preserve">o </w:t>
      </w:r>
      <w:r w:rsidRPr="00A350B4">
        <w:rPr>
          <w:rFonts w:ascii="Book Antiqua" w:hAnsi="Book Antiqua"/>
          <w:bCs/>
          <w:sz w:val="22"/>
          <w:szCs w:val="22"/>
        </w:rPr>
        <w:t>ukončení a spôsobe usporiadania niektorých nájomných bytov</w:t>
      </w:r>
      <w:r w:rsidRPr="00A350B4">
        <w:rPr>
          <w:rFonts w:ascii="Book Antiqua" w:hAnsi="Book Antiqua"/>
          <w:sz w:val="22"/>
          <w:szCs w:val="22"/>
        </w:rPr>
        <w:t>.</w:t>
      </w:r>
      <w:r w:rsidRPr="00A350B4">
        <w:rPr>
          <w:rFonts w:ascii="Book Antiqua" w:hAnsi="Book Antiqua"/>
          <w:bCs/>
          <w:sz w:val="22"/>
          <w:szCs w:val="22"/>
        </w:rPr>
        <w:t xml:space="preserve"> </w:t>
      </w:r>
    </w:p>
    <w:p w:rsidR="000F6093" w:rsidRPr="00A350B4" w:rsidRDefault="000F6093" w:rsidP="00A350B4">
      <w:pPr>
        <w:spacing w:before="120" w:line="360" w:lineRule="auto"/>
        <w:ind w:firstLine="708"/>
        <w:jc w:val="both"/>
        <w:rPr>
          <w:rFonts w:ascii="Book Antiqua" w:hAnsi="Book Antiqua"/>
          <w:bCs/>
          <w:sz w:val="22"/>
          <w:szCs w:val="22"/>
        </w:rPr>
      </w:pPr>
      <w:r w:rsidRPr="00A350B4">
        <w:rPr>
          <w:rFonts w:ascii="Book Antiqua" w:hAnsi="Book Antiqua"/>
          <w:bCs/>
          <w:sz w:val="22"/>
          <w:szCs w:val="22"/>
        </w:rPr>
        <w:t xml:space="preserve">Oprávnené náklady sa definujú ako súčin </w:t>
      </w:r>
      <w:r w:rsidRPr="00A350B4">
        <w:rPr>
          <w:rFonts w:ascii="Book Antiqua" w:hAnsi="Book Antiqua"/>
          <w:sz w:val="22"/>
          <w:szCs w:val="22"/>
        </w:rPr>
        <w:t>podlahovej plochy vyprataného bytu v m</w:t>
      </w:r>
      <w:r w:rsidRPr="00A350B4">
        <w:rPr>
          <w:rFonts w:ascii="Book Antiqua" w:hAnsi="Book Antiqua"/>
          <w:sz w:val="22"/>
          <w:szCs w:val="22"/>
          <w:vertAlign w:val="superscript"/>
        </w:rPr>
        <w:t>2</w:t>
      </w:r>
      <w:r w:rsidRPr="00A350B4">
        <w:rPr>
          <w:rFonts w:ascii="Book Antiqua" w:hAnsi="Book Antiqua"/>
          <w:sz w:val="22"/>
          <w:szCs w:val="22"/>
        </w:rPr>
        <w:t xml:space="preserve"> a priemernej ceny nehnuteľnosti na  bývanie za m</w:t>
      </w:r>
      <w:r w:rsidRPr="00A350B4">
        <w:rPr>
          <w:rFonts w:ascii="Book Antiqua" w:hAnsi="Book Antiqua"/>
          <w:sz w:val="22"/>
          <w:szCs w:val="22"/>
          <w:vertAlign w:val="superscript"/>
        </w:rPr>
        <w:t>2</w:t>
      </w:r>
      <w:r w:rsidRPr="00A350B4">
        <w:rPr>
          <w:rFonts w:ascii="Book Antiqua" w:hAnsi="Book Antiqua"/>
          <w:sz w:val="22"/>
          <w:szCs w:val="22"/>
        </w:rPr>
        <w:t xml:space="preserve"> za príslušný kraj</w:t>
      </w:r>
      <w:r w:rsidRPr="00A350B4">
        <w:rPr>
          <w:rFonts w:ascii="Book Antiqua" w:hAnsi="Book Antiqua"/>
          <w:sz w:val="22"/>
          <w:szCs w:val="22"/>
          <w:vertAlign w:val="superscript"/>
        </w:rPr>
        <w:t xml:space="preserve"> </w:t>
      </w:r>
      <w:r w:rsidRPr="00A350B4">
        <w:rPr>
          <w:rFonts w:ascii="Book Antiqua" w:hAnsi="Book Antiqua"/>
          <w:sz w:val="22"/>
          <w:szCs w:val="22"/>
        </w:rPr>
        <w:t>zverejnenej na webovom sídle Národnej banky Slovenska za príslušný štvrťrok, v ktorom bola podaná žiadosť o finančnú náhradu a súčin koeficientu  0,</w:t>
      </w:r>
      <w:r w:rsidR="00B15A13" w:rsidRPr="00A350B4">
        <w:rPr>
          <w:rFonts w:ascii="Book Antiqua" w:hAnsi="Book Antiqua"/>
          <w:sz w:val="22"/>
          <w:szCs w:val="22"/>
        </w:rPr>
        <w:t>8</w:t>
      </w:r>
      <w:r w:rsidRPr="00A350B4">
        <w:rPr>
          <w:rFonts w:ascii="Book Antiqua" w:hAnsi="Book Antiqua"/>
          <w:sz w:val="22"/>
          <w:szCs w:val="22"/>
        </w:rPr>
        <w:t xml:space="preserve"> (plocha vypratávaného bytu x cena jedného m</w:t>
      </w:r>
      <w:r w:rsidRPr="00A350B4">
        <w:rPr>
          <w:rFonts w:ascii="Book Antiqua" w:hAnsi="Book Antiqua"/>
          <w:sz w:val="22"/>
          <w:szCs w:val="22"/>
          <w:vertAlign w:val="superscript"/>
        </w:rPr>
        <w:t>2</w:t>
      </w:r>
      <w:r w:rsidRPr="00A350B4">
        <w:rPr>
          <w:rFonts w:ascii="Book Antiqua" w:hAnsi="Book Antiqua"/>
          <w:sz w:val="22"/>
          <w:szCs w:val="22"/>
        </w:rPr>
        <w:t xml:space="preserve"> nehnuteľnosti v danom kraji uvedená Národnou b</w:t>
      </w:r>
      <w:r w:rsidR="00B15A13" w:rsidRPr="00A350B4">
        <w:rPr>
          <w:rFonts w:ascii="Book Antiqua" w:hAnsi="Book Antiqua"/>
          <w:sz w:val="22"/>
          <w:szCs w:val="22"/>
        </w:rPr>
        <w:t>ankou Slovenska x koeficient 0,8</w:t>
      </w:r>
      <w:r w:rsidRPr="00A350B4">
        <w:rPr>
          <w:rFonts w:ascii="Book Antiqua" w:hAnsi="Book Antiqua"/>
          <w:sz w:val="22"/>
          <w:szCs w:val="22"/>
        </w:rPr>
        <w:t>).</w:t>
      </w:r>
    </w:p>
    <w:p w:rsidR="000F6093" w:rsidRPr="00A350B4" w:rsidRDefault="00A350B4" w:rsidP="00A350B4">
      <w:pPr>
        <w:spacing w:before="120" w:line="360" w:lineRule="auto"/>
        <w:rPr>
          <w:rFonts w:ascii="Book Antiqua" w:hAnsi="Book Antiqua"/>
          <w:bCs/>
          <w:sz w:val="22"/>
          <w:szCs w:val="22"/>
          <w:u w:val="single"/>
        </w:rPr>
      </w:pPr>
      <w:r>
        <w:rPr>
          <w:rFonts w:ascii="Book Antiqua" w:hAnsi="Book Antiqua"/>
          <w:bCs/>
          <w:sz w:val="22"/>
          <w:szCs w:val="22"/>
          <w:u w:val="single"/>
        </w:rPr>
        <w:t>K bodom</w:t>
      </w:r>
      <w:r w:rsidR="000F6093" w:rsidRPr="00A350B4">
        <w:rPr>
          <w:rFonts w:ascii="Book Antiqua" w:hAnsi="Book Antiqua"/>
          <w:bCs/>
          <w:sz w:val="22"/>
          <w:szCs w:val="22"/>
          <w:u w:val="single"/>
        </w:rPr>
        <w:t xml:space="preserve"> 3 až 6</w:t>
      </w:r>
    </w:p>
    <w:p w:rsidR="000F6093" w:rsidRPr="00A350B4" w:rsidRDefault="000F6093" w:rsidP="00A350B4">
      <w:pPr>
        <w:spacing w:before="120" w:line="360" w:lineRule="auto"/>
        <w:jc w:val="both"/>
        <w:rPr>
          <w:rFonts w:ascii="Book Antiqua" w:hAnsi="Book Antiqua"/>
          <w:bCs/>
          <w:sz w:val="22"/>
          <w:szCs w:val="22"/>
        </w:rPr>
      </w:pPr>
      <w:r w:rsidRPr="00A350B4">
        <w:rPr>
          <w:rFonts w:ascii="Book Antiqua" w:hAnsi="Book Antiqua"/>
          <w:bCs/>
          <w:sz w:val="22"/>
          <w:szCs w:val="22"/>
        </w:rPr>
        <w:t xml:space="preserve">Ide o legislatívno-technickú úpravu súvisiacu s novou formou bytovej náhrady – finančná náhrada. </w:t>
      </w:r>
    </w:p>
    <w:p w:rsidR="00A350B4" w:rsidRDefault="00A350B4" w:rsidP="00A350B4">
      <w:pPr>
        <w:pStyle w:val="Odsekzoznamu"/>
        <w:spacing w:before="120" w:line="360" w:lineRule="auto"/>
        <w:ind w:left="0"/>
        <w:jc w:val="both"/>
        <w:rPr>
          <w:rFonts w:ascii="Book Antiqua" w:hAnsi="Book Antiqua"/>
          <w:b/>
          <w:bCs/>
          <w:sz w:val="22"/>
          <w:szCs w:val="22"/>
        </w:rPr>
      </w:pPr>
    </w:p>
    <w:p w:rsidR="000F6093" w:rsidRPr="00A350B4" w:rsidRDefault="00A350B4" w:rsidP="00A350B4">
      <w:pPr>
        <w:pStyle w:val="Odsekzoznamu"/>
        <w:spacing w:before="120" w:line="360" w:lineRule="auto"/>
        <w:ind w:left="0"/>
        <w:jc w:val="both"/>
        <w:rPr>
          <w:rFonts w:ascii="Book Antiqua" w:hAnsi="Book Antiqua"/>
          <w:b/>
          <w:bCs/>
          <w:sz w:val="22"/>
          <w:szCs w:val="22"/>
        </w:rPr>
      </w:pPr>
      <w:r w:rsidRPr="00A350B4">
        <w:rPr>
          <w:rFonts w:ascii="Book Antiqua" w:hAnsi="Book Antiqua"/>
          <w:b/>
          <w:bCs/>
          <w:sz w:val="22"/>
          <w:szCs w:val="22"/>
        </w:rPr>
        <w:t>K Čl. III</w:t>
      </w:r>
    </w:p>
    <w:p w:rsidR="00A350B4" w:rsidRPr="00A350B4" w:rsidRDefault="00A350B4" w:rsidP="00A350B4">
      <w:pPr>
        <w:pStyle w:val="Odsekzoznamu"/>
        <w:spacing w:before="120" w:line="360" w:lineRule="auto"/>
        <w:ind w:left="0"/>
        <w:jc w:val="both"/>
        <w:rPr>
          <w:rFonts w:ascii="Book Antiqua" w:hAnsi="Book Antiqua"/>
          <w:bCs/>
          <w:sz w:val="22"/>
          <w:szCs w:val="22"/>
        </w:rPr>
      </w:pPr>
      <w:r>
        <w:rPr>
          <w:rFonts w:ascii="Book Antiqua" w:hAnsi="Book Antiqua"/>
          <w:bCs/>
          <w:sz w:val="22"/>
          <w:szCs w:val="22"/>
        </w:rPr>
        <w:tab/>
        <w:t>Zakotvuje sa povinnosť pre správcov bytových domov, aby viedli pre každý bytový dom, ktorý spravujú, samostatný účet v banke. Viacerí správcovia to tak aj robia a prispieva to k prehľadnosti a transparentnosti hospodárenia a nakladania s peniazmi, ktoré spravujú.</w:t>
      </w:r>
    </w:p>
    <w:p w:rsidR="00A350B4" w:rsidRDefault="00A350B4" w:rsidP="00A350B4">
      <w:pPr>
        <w:pStyle w:val="Odsekzoznamu"/>
        <w:spacing w:before="120" w:line="360" w:lineRule="auto"/>
        <w:ind w:left="0"/>
        <w:rPr>
          <w:rFonts w:ascii="Book Antiqua" w:hAnsi="Book Antiqua"/>
          <w:b/>
          <w:bCs/>
          <w:sz w:val="22"/>
          <w:szCs w:val="22"/>
        </w:rPr>
      </w:pPr>
    </w:p>
    <w:p w:rsidR="000F6093" w:rsidRPr="00A350B4" w:rsidRDefault="00A350B4" w:rsidP="00A350B4">
      <w:pPr>
        <w:pStyle w:val="Odsekzoznamu"/>
        <w:spacing w:before="120" w:line="360" w:lineRule="auto"/>
        <w:ind w:left="0"/>
        <w:rPr>
          <w:rFonts w:ascii="Book Antiqua" w:hAnsi="Book Antiqua"/>
          <w:b/>
          <w:bCs/>
          <w:sz w:val="22"/>
          <w:szCs w:val="22"/>
        </w:rPr>
      </w:pPr>
      <w:r>
        <w:rPr>
          <w:rFonts w:ascii="Book Antiqua" w:hAnsi="Book Antiqua"/>
          <w:b/>
          <w:bCs/>
          <w:sz w:val="22"/>
          <w:szCs w:val="22"/>
        </w:rPr>
        <w:t xml:space="preserve">K </w:t>
      </w:r>
      <w:r w:rsidR="000F6093" w:rsidRPr="00A350B4">
        <w:rPr>
          <w:rFonts w:ascii="Book Antiqua" w:hAnsi="Book Antiqua"/>
          <w:b/>
          <w:bCs/>
          <w:sz w:val="22"/>
          <w:szCs w:val="22"/>
        </w:rPr>
        <w:t>Č</w:t>
      </w:r>
      <w:r>
        <w:rPr>
          <w:rFonts w:ascii="Book Antiqua" w:hAnsi="Book Antiqua"/>
          <w:b/>
          <w:bCs/>
          <w:sz w:val="22"/>
          <w:szCs w:val="22"/>
        </w:rPr>
        <w:t>l. IV</w:t>
      </w:r>
    </w:p>
    <w:p w:rsidR="000F6093" w:rsidRPr="00A350B4" w:rsidRDefault="000F6093" w:rsidP="00A350B4">
      <w:pPr>
        <w:pStyle w:val="Odsekzoznamu"/>
        <w:spacing w:before="120" w:line="360" w:lineRule="auto"/>
        <w:ind w:left="0"/>
        <w:jc w:val="both"/>
        <w:rPr>
          <w:rFonts w:ascii="Book Antiqua" w:hAnsi="Book Antiqua"/>
          <w:bCs/>
          <w:sz w:val="22"/>
          <w:szCs w:val="22"/>
        </w:rPr>
      </w:pPr>
      <w:r w:rsidRPr="00A350B4">
        <w:rPr>
          <w:rFonts w:ascii="Book Antiqua" w:hAnsi="Book Antiqua"/>
          <w:sz w:val="22"/>
          <w:szCs w:val="22"/>
        </w:rPr>
        <w:t xml:space="preserve">Navrhuje  sa  účinnosť predkladaného zákona so zohľadnením </w:t>
      </w:r>
      <w:proofErr w:type="spellStart"/>
      <w:r w:rsidRPr="00A350B4">
        <w:rPr>
          <w:rFonts w:ascii="Book Antiqua" w:hAnsi="Book Antiqua"/>
          <w:sz w:val="22"/>
          <w:szCs w:val="22"/>
        </w:rPr>
        <w:t>legisvakančnej</w:t>
      </w:r>
      <w:proofErr w:type="spellEnd"/>
      <w:r w:rsidRPr="00A350B4">
        <w:rPr>
          <w:rFonts w:ascii="Book Antiqua" w:hAnsi="Book Antiqua"/>
          <w:sz w:val="22"/>
          <w:szCs w:val="22"/>
        </w:rPr>
        <w:t xml:space="preserve"> lehoty</w:t>
      </w:r>
      <w:r w:rsidR="00A350B4">
        <w:rPr>
          <w:rFonts w:ascii="Book Antiqua" w:hAnsi="Book Antiqua"/>
          <w:sz w:val="22"/>
          <w:szCs w:val="22"/>
        </w:rPr>
        <w:t>,</w:t>
      </w:r>
      <w:r w:rsidRPr="00A350B4">
        <w:rPr>
          <w:rFonts w:ascii="Book Antiqua" w:hAnsi="Book Antiqua"/>
          <w:sz w:val="22"/>
          <w:szCs w:val="22"/>
        </w:rPr>
        <w:t xml:space="preserve"> a to od 1. januára 20</w:t>
      </w:r>
      <w:r w:rsidR="00A350B4">
        <w:rPr>
          <w:rFonts w:ascii="Book Antiqua" w:hAnsi="Book Antiqua"/>
          <w:sz w:val="22"/>
          <w:szCs w:val="22"/>
        </w:rPr>
        <w:t>24</w:t>
      </w:r>
      <w:r w:rsidRPr="00A350B4">
        <w:rPr>
          <w:rFonts w:ascii="Book Antiqua" w:hAnsi="Book Antiqua"/>
          <w:sz w:val="22"/>
          <w:szCs w:val="22"/>
        </w:rPr>
        <w:t>.</w:t>
      </w:r>
    </w:p>
    <w:p w:rsidR="00BE5A10" w:rsidRDefault="00BE5A10" w:rsidP="00A350B4">
      <w:pPr>
        <w:pStyle w:val="Nadpis1"/>
        <w:spacing w:before="120"/>
        <w:jc w:val="left"/>
        <w:rPr>
          <w:rFonts w:ascii="Book Antiqua" w:hAnsi="Book Antiqua"/>
          <w:bCs w:val="0"/>
          <w:sz w:val="22"/>
          <w:szCs w:val="22"/>
        </w:rPr>
      </w:pPr>
    </w:p>
    <w:p w:rsidR="00A350B4" w:rsidRDefault="00A350B4" w:rsidP="00A350B4"/>
    <w:p w:rsidR="00A350B4" w:rsidRDefault="00A350B4" w:rsidP="00A350B4"/>
    <w:p w:rsidR="00A350B4" w:rsidRDefault="00A350B4" w:rsidP="00A350B4">
      <w:pPr>
        <w:rPr>
          <w:rFonts w:ascii="Book Antiqua" w:hAnsi="Book Antiqua"/>
          <w:sz w:val="22"/>
          <w:szCs w:val="22"/>
        </w:rPr>
      </w:pPr>
      <w:r w:rsidRPr="00A350B4">
        <w:rPr>
          <w:rFonts w:ascii="Book Antiqua" w:hAnsi="Book Antiqua"/>
          <w:sz w:val="22"/>
          <w:szCs w:val="22"/>
        </w:rPr>
        <w:t xml:space="preserve">Predkladaný návrh zákona má pozitívny vplyv na štátny rozpočet, resp. rozpočet verejnej správy, keďže riešenie formou finančnej náhrady vyčíslené na 54 191 000 eur. Je to  lacnejšie ako riešenie formou výstavby náhradných bytov, ktorých predpokladané náklady prevyšujú 70 miliónov eur. Návrh zákona nemá vplyvy na podnikateľské prostredie, </w:t>
      </w:r>
      <w:r w:rsidRPr="00A350B4">
        <w:rPr>
          <w:rFonts w:ascii="Book Antiqua" w:hAnsi="Book Antiqua"/>
          <w:color w:val="000000"/>
          <w:sz w:val="22"/>
          <w:szCs w:val="22"/>
        </w:rPr>
        <w:t xml:space="preserve">nemá   </w:t>
      </w:r>
      <w:r w:rsidRPr="00A350B4">
        <w:rPr>
          <w:rFonts w:ascii="Book Antiqua" w:hAnsi="Book Antiqua"/>
          <w:sz w:val="22"/>
          <w:szCs w:val="22"/>
        </w:rPr>
        <w:t xml:space="preserve">vplyv  na </w:t>
      </w:r>
      <w:r w:rsidRPr="00A350B4">
        <w:rPr>
          <w:rFonts w:ascii="Book Antiqua" w:hAnsi="Book Antiqua"/>
          <w:sz w:val="22"/>
          <w:szCs w:val="22"/>
        </w:rPr>
        <w:lastRenderedPageBreak/>
        <w:t xml:space="preserve">manželstvo, rodičovstvo a rodinu, </w:t>
      </w:r>
      <w:r w:rsidRPr="00A350B4">
        <w:rPr>
          <w:rFonts w:ascii="Book Antiqua" w:hAnsi="Book Antiqua"/>
          <w:color w:val="000000"/>
          <w:sz w:val="22"/>
          <w:szCs w:val="22"/>
        </w:rPr>
        <w:t xml:space="preserve"> </w:t>
      </w:r>
      <w:r w:rsidRPr="00A350B4">
        <w:rPr>
          <w:rFonts w:ascii="Book Antiqua" w:hAnsi="Book Antiqua"/>
          <w:sz w:val="22"/>
          <w:szCs w:val="22"/>
        </w:rPr>
        <w:t>sociálne vplyvy,  na životné prostredie a ani vplyvy na informatizáciu spoločnosti a služby verejnej správy pre občana.</w:t>
      </w:r>
    </w:p>
    <w:p w:rsidR="00A350B4" w:rsidRDefault="00A350B4" w:rsidP="00A350B4">
      <w:pPr>
        <w:rPr>
          <w:rFonts w:ascii="Book Antiqua" w:hAnsi="Book Antiqua"/>
          <w:sz w:val="22"/>
          <w:szCs w:val="22"/>
        </w:rPr>
      </w:pPr>
    </w:p>
    <w:p w:rsidR="00A350B4" w:rsidRDefault="00A350B4" w:rsidP="00A350B4">
      <w:pPr>
        <w:rPr>
          <w:rFonts w:ascii="Book Antiqua" w:hAnsi="Book Antiqua"/>
          <w:sz w:val="22"/>
          <w:szCs w:val="22"/>
        </w:rPr>
      </w:pPr>
    </w:p>
    <w:p w:rsidR="00A350B4" w:rsidRDefault="00A350B4" w:rsidP="00A350B4">
      <w:pPr>
        <w:rPr>
          <w:rFonts w:ascii="Book Antiqua" w:hAnsi="Book Antiqua"/>
          <w:sz w:val="22"/>
          <w:szCs w:val="22"/>
        </w:rPr>
      </w:pPr>
    </w:p>
    <w:p w:rsidR="00A350B4" w:rsidRDefault="00A350B4" w:rsidP="00A350B4">
      <w:pPr>
        <w:rPr>
          <w:rFonts w:ascii="Book Antiqua" w:hAnsi="Book Antiqua"/>
          <w:sz w:val="22"/>
          <w:szCs w:val="22"/>
        </w:rPr>
      </w:pPr>
    </w:p>
    <w:p w:rsidR="00A350B4" w:rsidRPr="00B83FC3" w:rsidRDefault="00A350B4" w:rsidP="00A350B4">
      <w:pPr>
        <w:spacing w:before="120" w:line="276" w:lineRule="auto"/>
        <w:jc w:val="center"/>
        <w:rPr>
          <w:rFonts w:ascii="Book Antiqua" w:hAnsi="Book Antiqua"/>
          <w:b/>
          <w:smallCaps/>
          <w:sz w:val="22"/>
          <w:szCs w:val="22"/>
        </w:rPr>
      </w:pPr>
      <w:r w:rsidRPr="00B83FC3">
        <w:rPr>
          <w:rFonts w:ascii="Book Antiqua" w:hAnsi="Book Antiqua"/>
          <w:b/>
          <w:smallCaps/>
          <w:sz w:val="22"/>
          <w:szCs w:val="22"/>
        </w:rPr>
        <w:t>DOLOŽKA ZLUČITEĽNOSTI</w:t>
      </w:r>
    </w:p>
    <w:p w:rsidR="00A350B4" w:rsidRPr="00B83FC3" w:rsidRDefault="00A350B4" w:rsidP="00A350B4">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b/>
          <w:color w:val="000000"/>
          <w:sz w:val="22"/>
          <w:szCs w:val="22"/>
        </w:rPr>
        <w:t>návrhu zákona</w:t>
      </w:r>
      <w:r w:rsidRPr="00B83FC3">
        <w:rPr>
          <w:rFonts w:ascii="Book Antiqua" w:hAnsi="Book Antiqua"/>
          <w:color w:val="000000"/>
          <w:sz w:val="22"/>
          <w:szCs w:val="22"/>
        </w:rPr>
        <w:t xml:space="preserve"> </w:t>
      </w:r>
      <w:r w:rsidRPr="00B83FC3">
        <w:rPr>
          <w:rFonts w:ascii="Book Antiqua" w:hAnsi="Book Antiqua"/>
          <w:b/>
          <w:color w:val="000000"/>
          <w:sz w:val="22"/>
          <w:szCs w:val="22"/>
        </w:rPr>
        <w:t>s právom Európskej únie</w:t>
      </w:r>
    </w:p>
    <w:p w:rsidR="00A350B4" w:rsidRPr="00B83FC3" w:rsidRDefault="00A350B4" w:rsidP="00A350B4">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 </w:t>
      </w:r>
    </w:p>
    <w:p w:rsidR="00A350B4" w:rsidRPr="00B83FC3" w:rsidRDefault="00A350B4" w:rsidP="00A350B4">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b/>
          <w:color w:val="000000"/>
          <w:sz w:val="22"/>
          <w:szCs w:val="22"/>
        </w:rPr>
        <w:t>1. Navrhovateľ zákona:</w:t>
      </w:r>
      <w:r w:rsidRPr="00B83FC3">
        <w:rPr>
          <w:rFonts w:ascii="Book Antiqua" w:hAnsi="Book Antiqua"/>
          <w:color w:val="000000"/>
          <w:sz w:val="22"/>
          <w:szCs w:val="22"/>
        </w:rPr>
        <w:t xml:space="preserve"> </w:t>
      </w:r>
      <w:r w:rsidR="00B83FC3" w:rsidRPr="00B83FC3">
        <w:rPr>
          <w:rFonts w:ascii="Book Antiqua" w:hAnsi="Book Antiqua"/>
          <w:color w:val="000000"/>
          <w:sz w:val="22"/>
          <w:szCs w:val="22"/>
        </w:rPr>
        <w:t>poslanec</w:t>
      </w:r>
      <w:r w:rsidRPr="00B83FC3">
        <w:rPr>
          <w:rFonts w:ascii="Book Antiqua" w:hAnsi="Book Antiqua"/>
          <w:color w:val="000000"/>
          <w:sz w:val="22"/>
          <w:szCs w:val="22"/>
        </w:rPr>
        <w:t xml:space="preserve"> Národnej rady Slovenskej republiky</w:t>
      </w:r>
      <w:r w:rsidR="00B83FC3" w:rsidRPr="00B83FC3">
        <w:rPr>
          <w:rFonts w:ascii="Book Antiqua" w:hAnsi="Book Antiqua"/>
          <w:color w:val="000000"/>
          <w:sz w:val="22"/>
          <w:szCs w:val="22"/>
        </w:rPr>
        <w:t xml:space="preserve"> Milan Vetrák</w:t>
      </w:r>
    </w:p>
    <w:p w:rsidR="00A350B4" w:rsidRPr="00B83FC3" w:rsidRDefault="00A350B4" w:rsidP="00A350B4">
      <w:pPr>
        <w:pBdr>
          <w:top w:val="nil"/>
          <w:left w:val="nil"/>
          <w:bottom w:val="nil"/>
          <w:right w:val="nil"/>
          <w:between w:val="nil"/>
        </w:pBdr>
        <w:spacing w:before="120" w:line="276" w:lineRule="auto"/>
        <w:jc w:val="both"/>
        <w:rPr>
          <w:rFonts w:ascii="Book Antiqua" w:hAnsi="Book Antiqua"/>
          <w:color w:val="000000"/>
          <w:sz w:val="22"/>
          <w:szCs w:val="22"/>
        </w:rPr>
      </w:pPr>
    </w:p>
    <w:p w:rsidR="00A350B4" w:rsidRPr="00B83FC3" w:rsidRDefault="00A350B4" w:rsidP="00A350B4">
      <w:pPr>
        <w:spacing w:before="120" w:line="276" w:lineRule="auto"/>
        <w:jc w:val="both"/>
        <w:rPr>
          <w:rFonts w:ascii="Book Antiqua" w:hAnsi="Book Antiqua"/>
          <w:b/>
          <w:sz w:val="22"/>
          <w:szCs w:val="22"/>
        </w:rPr>
      </w:pPr>
      <w:r w:rsidRPr="00B83FC3">
        <w:rPr>
          <w:rFonts w:ascii="Book Antiqua" w:hAnsi="Book Antiqua"/>
          <w:b/>
          <w:sz w:val="22"/>
          <w:szCs w:val="22"/>
        </w:rPr>
        <w:t>2. Názov návrhu zákona:</w:t>
      </w:r>
      <w:r w:rsidRPr="00B83FC3">
        <w:rPr>
          <w:rFonts w:ascii="Book Antiqua" w:hAnsi="Book Antiqua"/>
          <w:sz w:val="22"/>
          <w:szCs w:val="22"/>
        </w:rPr>
        <w:t xml:space="preserve"> návrh zákona, </w:t>
      </w:r>
      <w:r w:rsidR="00B83FC3" w:rsidRPr="00B83FC3">
        <w:rPr>
          <w:rFonts w:ascii="Book Antiqua" w:hAnsi="Book Antiqua"/>
          <w:sz w:val="22"/>
          <w:szCs w:val="22"/>
        </w:rPr>
        <w:t>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w:t>
      </w:r>
    </w:p>
    <w:p w:rsidR="00A350B4" w:rsidRPr="00B83FC3" w:rsidRDefault="00A350B4" w:rsidP="00A350B4">
      <w:pPr>
        <w:spacing w:before="120" w:line="276" w:lineRule="auto"/>
        <w:jc w:val="both"/>
        <w:rPr>
          <w:rFonts w:ascii="Book Antiqua" w:hAnsi="Book Antiqua"/>
          <w:b/>
          <w:sz w:val="22"/>
          <w:szCs w:val="22"/>
        </w:rPr>
      </w:pPr>
    </w:p>
    <w:p w:rsidR="00A350B4" w:rsidRPr="00B83FC3" w:rsidRDefault="00A350B4" w:rsidP="00A350B4">
      <w:pPr>
        <w:pStyle w:val="Normlnywebov"/>
        <w:spacing w:before="120" w:beforeAutospacing="0" w:after="0" w:afterAutospacing="0"/>
        <w:jc w:val="both"/>
        <w:rPr>
          <w:rFonts w:ascii="Book Antiqua" w:hAnsi="Book Antiqua"/>
          <w:sz w:val="22"/>
          <w:szCs w:val="22"/>
        </w:rPr>
      </w:pPr>
      <w:r w:rsidRPr="00B83FC3">
        <w:rPr>
          <w:rFonts w:ascii="Book Antiqua" w:hAnsi="Book Antiqua"/>
          <w:b/>
          <w:sz w:val="22"/>
          <w:szCs w:val="22"/>
        </w:rPr>
        <w:t xml:space="preserve">3. </w:t>
      </w:r>
      <w:r w:rsidRPr="00B83FC3">
        <w:rPr>
          <w:rFonts w:ascii="Book Antiqua" w:hAnsi="Book Antiqua" w:cs="Book Antiqua"/>
          <w:b/>
          <w:bCs/>
          <w:sz w:val="22"/>
          <w:szCs w:val="22"/>
        </w:rPr>
        <w:t>Predmet návrhu zákona:</w:t>
      </w:r>
    </w:p>
    <w:p w:rsidR="00A350B4" w:rsidRPr="00B83FC3" w:rsidRDefault="00A350B4" w:rsidP="00A350B4">
      <w:pPr>
        <w:pStyle w:val="Vchodzie"/>
        <w:numPr>
          <w:ilvl w:val="0"/>
          <w:numId w:val="18"/>
        </w:numPr>
        <w:autoSpaceDE/>
        <w:autoSpaceDN/>
        <w:adjustRightInd/>
        <w:spacing w:before="120" w:after="0"/>
        <w:jc w:val="both"/>
        <w:rPr>
          <w:rFonts w:ascii="Book Antiqua" w:hAnsi="Book Antiqua"/>
        </w:rPr>
      </w:pPr>
      <w:r w:rsidRPr="00B83FC3">
        <w:rPr>
          <w:rFonts w:ascii="Book Antiqua" w:hAnsi="Book Antiqua"/>
        </w:rPr>
        <w:t>nie je upravený v primárnom práve Európskej únie,</w:t>
      </w:r>
    </w:p>
    <w:p w:rsidR="00A350B4" w:rsidRPr="00B83FC3" w:rsidRDefault="00A350B4" w:rsidP="00A350B4">
      <w:pPr>
        <w:pStyle w:val="Normlnywebov"/>
        <w:numPr>
          <w:ilvl w:val="0"/>
          <w:numId w:val="18"/>
        </w:numPr>
        <w:spacing w:before="120" w:beforeAutospacing="0" w:after="0" w:afterAutospacing="0" w:line="276" w:lineRule="auto"/>
        <w:jc w:val="both"/>
        <w:rPr>
          <w:rFonts w:ascii="Book Antiqua" w:hAnsi="Book Antiqua"/>
          <w:sz w:val="22"/>
          <w:szCs w:val="22"/>
        </w:rPr>
      </w:pPr>
      <w:r w:rsidRPr="00B83FC3">
        <w:rPr>
          <w:rFonts w:ascii="Book Antiqua" w:hAnsi="Book Antiqua"/>
          <w:sz w:val="22"/>
          <w:szCs w:val="22"/>
        </w:rPr>
        <w:t>nie</w:t>
      </w:r>
      <w:r w:rsidRPr="00B83FC3">
        <w:rPr>
          <w:rFonts w:ascii="Book Antiqua" w:hAnsi="Book Antiqua" w:cs="Book Antiqua"/>
          <w:sz w:val="22"/>
          <w:szCs w:val="22"/>
        </w:rPr>
        <w:t xml:space="preserve"> je upravený v sekundárnom práve Európskej únie, </w:t>
      </w:r>
    </w:p>
    <w:p w:rsidR="00A350B4" w:rsidRPr="00B83FC3" w:rsidRDefault="00A350B4" w:rsidP="00A350B4">
      <w:pPr>
        <w:pStyle w:val="Normlnywebov"/>
        <w:numPr>
          <w:ilvl w:val="0"/>
          <w:numId w:val="18"/>
        </w:numPr>
        <w:spacing w:before="120" w:beforeAutospacing="0" w:after="0" w:afterAutospacing="0" w:line="276" w:lineRule="auto"/>
        <w:jc w:val="both"/>
        <w:rPr>
          <w:rFonts w:ascii="Book Antiqua" w:hAnsi="Book Antiqua"/>
          <w:sz w:val="22"/>
          <w:szCs w:val="22"/>
        </w:rPr>
      </w:pPr>
      <w:r w:rsidRPr="00B83FC3">
        <w:rPr>
          <w:rFonts w:ascii="Book Antiqua" w:hAnsi="Book Antiqua"/>
          <w:sz w:val="22"/>
          <w:szCs w:val="22"/>
        </w:rPr>
        <w:t>nie</w:t>
      </w:r>
      <w:r w:rsidRPr="00B83FC3">
        <w:rPr>
          <w:rFonts w:ascii="Book Antiqua" w:hAnsi="Book Antiqua" w:cs="Book Antiqua"/>
          <w:sz w:val="22"/>
          <w:szCs w:val="22"/>
        </w:rPr>
        <w:t xml:space="preserve"> je obsiahnutý v judikatúre Súdneho dvora Európskej únie.</w:t>
      </w:r>
    </w:p>
    <w:p w:rsidR="00A350B4" w:rsidRPr="00B83FC3" w:rsidRDefault="00A350B4" w:rsidP="00A350B4">
      <w:pPr>
        <w:pStyle w:val="Normlnywebov"/>
        <w:spacing w:before="120" w:beforeAutospacing="0" w:after="0" w:afterAutospacing="0"/>
        <w:ind w:left="720"/>
        <w:jc w:val="both"/>
        <w:rPr>
          <w:rFonts w:ascii="Book Antiqua" w:hAnsi="Book Antiqua" w:cs="Book Antiqua"/>
          <w:sz w:val="22"/>
          <w:szCs w:val="22"/>
        </w:rPr>
      </w:pPr>
    </w:p>
    <w:p w:rsidR="00A350B4" w:rsidRPr="00B83FC3" w:rsidRDefault="00A350B4" w:rsidP="00A350B4">
      <w:pPr>
        <w:pStyle w:val="Normlnywebov"/>
        <w:spacing w:before="120" w:beforeAutospacing="0" w:after="0" w:afterAutospacing="0"/>
        <w:jc w:val="both"/>
        <w:rPr>
          <w:rFonts w:ascii="Book Antiqua" w:hAnsi="Book Antiqua" w:cs="Book Antiqua"/>
          <w:sz w:val="22"/>
          <w:szCs w:val="22"/>
        </w:rPr>
      </w:pPr>
      <w:r w:rsidRPr="00B83FC3">
        <w:rPr>
          <w:rFonts w:ascii="Book Antiqua" w:hAnsi="Book Antiqua" w:cs="Book Antiqua"/>
          <w:sz w:val="22"/>
          <w:szCs w:val="22"/>
        </w:rPr>
        <w:t>Vzhľadom na to, že predmet návrhu zákona nie je upravený v práve Európskej únie, je bezpredmetné vyjadrovať sa k bodom 4. a 5.</w:t>
      </w:r>
    </w:p>
    <w:p w:rsidR="00A350B4" w:rsidRPr="001C448F" w:rsidRDefault="00A350B4" w:rsidP="00A350B4">
      <w:pPr>
        <w:pStyle w:val="Normlnywebov"/>
        <w:spacing w:before="120" w:beforeAutospacing="0" w:after="0" w:afterAutospacing="0"/>
        <w:jc w:val="both"/>
        <w:rPr>
          <w:rFonts w:ascii="Book Antiqua" w:hAnsi="Book Antiqua"/>
          <w:sz w:val="22"/>
          <w:szCs w:val="22"/>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1C448F" w:rsidRDefault="00A350B4" w:rsidP="00A350B4">
      <w:pPr>
        <w:spacing w:before="120" w:line="276" w:lineRule="auto"/>
        <w:rPr>
          <w:rFonts w:ascii="Book Antiqua" w:hAnsi="Book Antiqua"/>
          <w:b/>
          <w:smallCaps/>
        </w:rPr>
      </w:pPr>
    </w:p>
    <w:p w:rsidR="00A350B4" w:rsidRPr="00B83FC3" w:rsidRDefault="00A350B4" w:rsidP="00A350B4">
      <w:pPr>
        <w:spacing w:before="120" w:line="276" w:lineRule="auto"/>
        <w:jc w:val="center"/>
        <w:rPr>
          <w:rFonts w:ascii="Book Antiqua" w:hAnsi="Book Antiqua"/>
          <w:sz w:val="22"/>
          <w:szCs w:val="22"/>
        </w:rPr>
      </w:pPr>
      <w:r w:rsidRPr="00B83FC3">
        <w:rPr>
          <w:rFonts w:ascii="Book Antiqua" w:hAnsi="Book Antiqua"/>
          <w:b/>
          <w:smallCaps/>
          <w:sz w:val="22"/>
          <w:szCs w:val="22"/>
        </w:rPr>
        <w:t>DOLOŽKA</w:t>
      </w:r>
    </w:p>
    <w:p w:rsidR="00A350B4" w:rsidRPr="00B83FC3" w:rsidRDefault="00A350B4" w:rsidP="00A350B4">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b/>
          <w:color w:val="000000"/>
          <w:sz w:val="22"/>
          <w:szCs w:val="22"/>
        </w:rPr>
        <w:t>vybraných vplyvov</w:t>
      </w:r>
    </w:p>
    <w:p w:rsidR="00A350B4" w:rsidRPr="00B83FC3" w:rsidRDefault="00A350B4" w:rsidP="00A350B4">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 </w:t>
      </w:r>
    </w:p>
    <w:p w:rsidR="00B83FC3" w:rsidRPr="00B83FC3" w:rsidRDefault="00A350B4" w:rsidP="00A350B4">
      <w:pPr>
        <w:spacing w:before="120" w:line="276" w:lineRule="auto"/>
        <w:jc w:val="both"/>
        <w:rPr>
          <w:rFonts w:ascii="Book Antiqua" w:hAnsi="Book Antiqua"/>
          <w:sz w:val="22"/>
          <w:szCs w:val="22"/>
        </w:rPr>
      </w:pPr>
      <w:r w:rsidRPr="00B83FC3">
        <w:rPr>
          <w:rFonts w:ascii="Book Antiqua" w:hAnsi="Book Antiqua"/>
          <w:b/>
          <w:sz w:val="22"/>
          <w:szCs w:val="22"/>
        </w:rPr>
        <w:t xml:space="preserve">A.1. Názov materiálu: </w:t>
      </w:r>
      <w:r w:rsidRPr="00B83FC3">
        <w:rPr>
          <w:rFonts w:ascii="Book Antiqua" w:hAnsi="Book Antiqua"/>
          <w:sz w:val="22"/>
          <w:szCs w:val="22"/>
        </w:rPr>
        <w:t xml:space="preserve">návrh zákona, </w:t>
      </w:r>
      <w:r w:rsidR="00B83FC3" w:rsidRPr="00B83FC3">
        <w:rPr>
          <w:rFonts w:ascii="Book Antiqua" w:hAnsi="Book Antiqua"/>
          <w:sz w:val="22"/>
          <w:szCs w:val="22"/>
        </w:rPr>
        <w:t>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w:t>
      </w:r>
    </w:p>
    <w:p w:rsidR="00A350B4" w:rsidRPr="00B83FC3" w:rsidRDefault="00A350B4" w:rsidP="00A350B4">
      <w:pPr>
        <w:spacing w:before="120" w:line="276" w:lineRule="auto"/>
        <w:jc w:val="both"/>
        <w:rPr>
          <w:rFonts w:ascii="Book Antiqua" w:hAnsi="Book Antiqua"/>
          <w:sz w:val="22"/>
          <w:szCs w:val="22"/>
        </w:rPr>
      </w:pPr>
      <w:r w:rsidRPr="00B83FC3">
        <w:rPr>
          <w:rFonts w:ascii="Book Antiqua" w:hAnsi="Book Antiqua"/>
          <w:b/>
          <w:sz w:val="22"/>
          <w:szCs w:val="22"/>
        </w:rPr>
        <w:t>Termín začatia a ukončenia PPK:</w:t>
      </w:r>
      <w:r w:rsidRPr="00B83FC3">
        <w:rPr>
          <w:rFonts w:ascii="Book Antiqua" w:hAnsi="Book Antiqua"/>
          <w:sz w:val="22"/>
          <w:szCs w:val="22"/>
        </w:rPr>
        <w:t xml:space="preserve"> </w:t>
      </w:r>
      <w:r w:rsidRPr="00B83FC3">
        <w:rPr>
          <w:rFonts w:ascii="Book Antiqua" w:hAnsi="Book Antiqua"/>
          <w:i/>
          <w:sz w:val="22"/>
          <w:szCs w:val="22"/>
        </w:rPr>
        <w:t>bezpredmetné</w:t>
      </w:r>
    </w:p>
    <w:p w:rsidR="00A350B4" w:rsidRPr="00B83FC3" w:rsidRDefault="00A350B4" w:rsidP="00A350B4">
      <w:pPr>
        <w:spacing w:before="120" w:line="276" w:lineRule="auto"/>
        <w:jc w:val="both"/>
        <w:rPr>
          <w:rFonts w:ascii="Book Antiqua" w:hAnsi="Book Antiqua"/>
          <w:i/>
          <w:sz w:val="22"/>
          <w:szCs w:val="22"/>
        </w:rPr>
      </w:pPr>
    </w:p>
    <w:p w:rsidR="00A350B4" w:rsidRPr="00B83FC3" w:rsidRDefault="00A350B4" w:rsidP="00A350B4">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b/>
          <w:color w:val="000000"/>
          <w:sz w:val="22"/>
          <w:szCs w:val="22"/>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A350B4" w:rsidRPr="00B83FC3" w:rsidTr="006E1133">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bookmarkStart w:id="1" w:name="_Hlk115171905"/>
            <w:r w:rsidRPr="00B83FC3">
              <w:rPr>
                <w:rFonts w:ascii="Book Antiqua" w:hAnsi="Book Antiqua"/>
                <w:color w:val="000000"/>
                <w:sz w:val="22"/>
                <w:szCs w:val="22"/>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 Negatívne </w:t>
            </w:r>
          </w:p>
        </w:tc>
      </w:tr>
      <w:tr w:rsidR="00A350B4" w:rsidRPr="00B83FC3" w:rsidTr="006E1133">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color w:val="000000"/>
                <w:sz w:val="22"/>
                <w:szCs w:val="22"/>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r>
      <w:tr w:rsidR="00A350B4" w:rsidRPr="00B83FC3" w:rsidTr="006E1133">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color w:val="000000"/>
                <w:sz w:val="22"/>
                <w:szCs w:val="22"/>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r>
      <w:tr w:rsidR="00A350B4" w:rsidRPr="00B83FC3" w:rsidTr="006E1133">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color w:val="000000"/>
                <w:sz w:val="22"/>
                <w:szCs w:val="22"/>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r>
      <w:tr w:rsidR="00A350B4" w:rsidRPr="00B83FC3" w:rsidTr="006E1133">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color w:val="000000"/>
                <w:sz w:val="22"/>
                <w:szCs w:val="22"/>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r>
      <w:tr w:rsidR="00A350B4" w:rsidRPr="00B83FC3" w:rsidTr="006E1133">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 xml:space="preserve">– sociálnu </w:t>
            </w:r>
            <w:proofErr w:type="spellStart"/>
            <w:r w:rsidRPr="00B83FC3">
              <w:rPr>
                <w:rFonts w:ascii="Book Antiqua" w:hAnsi="Book Antiqua"/>
                <w:color w:val="000000"/>
                <w:sz w:val="22"/>
                <w:szCs w:val="22"/>
              </w:rPr>
              <w:t>exklúziu</w:t>
            </w:r>
            <w:proofErr w:type="spellEnd"/>
            <w:r w:rsidRPr="00B83FC3">
              <w:rPr>
                <w:rFonts w:ascii="Book Antiqua" w:hAnsi="Book Antiqua"/>
                <w:color w:val="000000"/>
                <w:sz w:val="22"/>
                <w:szCs w:val="22"/>
              </w:rPr>
              <w:t>,</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color w:val="000000"/>
                <w:sz w:val="22"/>
                <w:szCs w:val="22"/>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r>
      <w:tr w:rsidR="00A350B4" w:rsidRPr="00B83FC3" w:rsidTr="006E1133">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color w:val="000000"/>
                <w:sz w:val="22"/>
                <w:szCs w:val="22"/>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r>
      <w:tr w:rsidR="00A350B4" w:rsidRPr="00B83FC3" w:rsidTr="006E1133">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color w:val="000000"/>
                <w:sz w:val="22"/>
                <w:szCs w:val="22"/>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r>
      <w:tr w:rsidR="00A350B4" w:rsidRPr="00B83FC3" w:rsidTr="006E1133">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r w:rsidRPr="00B83FC3">
              <w:rPr>
                <w:rFonts w:ascii="Book Antiqua" w:hAnsi="Book Antiqua"/>
                <w:color w:val="000000"/>
                <w:sz w:val="22"/>
                <w:szCs w:val="22"/>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rsidR="00A350B4" w:rsidRPr="00B83FC3" w:rsidRDefault="00A350B4" w:rsidP="006E1133">
            <w:pPr>
              <w:pBdr>
                <w:top w:val="nil"/>
                <w:left w:val="nil"/>
                <w:bottom w:val="nil"/>
                <w:right w:val="nil"/>
                <w:between w:val="nil"/>
              </w:pBdr>
              <w:spacing w:before="120" w:line="276" w:lineRule="auto"/>
              <w:jc w:val="center"/>
              <w:rPr>
                <w:rFonts w:ascii="Book Antiqua" w:hAnsi="Book Antiqua"/>
                <w:color w:val="000000"/>
                <w:sz w:val="22"/>
                <w:szCs w:val="22"/>
              </w:rPr>
            </w:pPr>
          </w:p>
        </w:tc>
      </w:tr>
    </w:tbl>
    <w:bookmarkEnd w:id="1"/>
    <w:p w:rsidR="00A350B4" w:rsidRPr="00B83FC3" w:rsidRDefault="00A350B4" w:rsidP="00A350B4">
      <w:pPr>
        <w:pBdr>
          <w:top w:val="nil"/>
          <w:left w:val="nil"/>
          <w:bottom w:val="nil"/>
          <w:right w:val="nil"/>
          <w:between w:val="nil"/>
        </w:pBdr>
        <w:spacing w:before="120" w:line="276" w:lineRule="auto"/>
        <w:jc w:val="both"/>
        <w:rPr>
          <w:rFonts w:ascii="Book Antiqua" w:hAnsi="Book Antiqua"/>
          <w:color w:val="000000"/>
          <w:sz w:val="22"/>
          <w:szCs w:val="22"/>
        </w:rPr>
      </w:pPr>
      <w:r w:rsidRPr="00B83FC3">
        <w:rPr>
          <w:rFonts w:ascii="Book Antiqua" w:hAnsi="Book Antiqua"/>
          <w:color w:val="000000"/>
          <w:sz w:val="22"/>
          <w:szCs w:val="22"/>
        </w:rPr>
        <w:t> </w:t>
      </w:r>
      <w:r w:rsidRPr="00B83FC3">
        <w:rPr>
          <w:rFonts w:ascii="Book Antiqua" w:hAnsi="Book Antiqua"/>
          <w:b/>
          <w:color w:val="000000"/>
          <w:sz w:val="22"/>
          <w:szCs w:val="22"/>
        </w:rPr>
        <w:t>A.3. Poznámky</w:t>
      </w:r>
    </w:p>
    <w:p w:rsidR="00A350B4" w:rsidRPr="00B83FC3" w:rsidRDefault="00B83FC3" w:rsidP="00A350B4">
      <w:pPr>
        <w:pBdr>
          <w:top w:val="nil"/>
          <w:left w:val="nil"/>
          <w:bottom w:val="nil"/>
          <w:right w:val="nil"/>
          <w:between w:val="nil"/>
        </w:pBdr>
        <w:spacing w:before="120" w:line="276" w:lineRule="auto"/>
        <w:jc w:val="both"/>
        <w:rPr>
          <w:rFonts w:ascii="Book Antiqua" w:hAnsi="Book Antiqua"/>
          <w:i/>
          <w:sz w:val="22"/>
          <w:szCs w:val="22"/>
        </w:rPr>
      </w:pPr>
      <w:r>
        <w:rPr>
          <w:rFonts w:ascii="Book Antiqua" w:hAnsi="Book Antiqua"/>
          <w:i/>
          <w:sz w:val="22"/>
          <w:szCs w:val="22"/>
        </w:rPr>
        <w:t>N</w:t>
      </w:r>
      <w:r w:rsidRPr="00B83FC3">
        <w:rPr>
          <w:rFonts w:ascii="Book Antiqua" w:hAnsi="Book Antiqua"/>
          <w:i/>
          <w:sz w:val="22"/>
          <w:szCs w:val="22"/>
        </w:rPr>
        <w:t>ávrh zákona má pozitívny vplyv na štátny rozpočet, resp. rozpočet verejnej správy, keďže riešenie formo</w:t>
      </w:r>
      <w:r>
        <w:rPr>
          <w:rFonts w:ascii="Book Antiqua" w:hAnsi="Book Antiqua"/>
          <w:i/>
          <w:sz w:val="22"/>
          <w:szCs w:val="22"/>
        </w:rPr>
        <w:t>u finančnej náhrady predstavuje jednorazovú sumu</w:t>
      </w:r>
      <w:r w:rsidRPr="00B83FC3">
        <w:rPr>
          <w:rFonts w:ascii="Book Antiqua" w:hAnsi="Book Antiqua"/>
          <w:i/>
          <w:sz w:val="22"/>
          <w:szCs w:val="22"/>
        </w:rPr>
        <w:t xml:space="preserve"> 54 191 000 eur</w:t>
      </w:r>
      <w:r>
        <w:rPr>
          <w:rFonts w:ascii="Book Antiqua" w:hAnsi="Book Antiqua"/>
          <w:i/>
          <w:sz w:val="22"/>
          <w:szCs w:val="22"/>
        </w:rPr>
        <w:t xml:space="preserve"> (teda nejde o štrukturálny výdavok)</w:t>
      </w:r>
      <w:r w:rsidRPr="00B83FC3">
        <w:rPr>
          <w:rFonts w:ascii="Book Antiqua" w:hAnsi="Book Antiqua"/>
          <w:i/>
          <w:sz w:val="22"/>
          <w:szCs w:val="22"/>
        </w:rPr>
        <w:t>. Je to  lacnejšie ako riešenie formou výstavby náhradných bytov, ktorých predpokladané n</w:t>
      </w:r>
      <w:r>
        <w:rPr>
          <w:rFonts w:ascii="Book Antiqua" w:hAnsi="Book Antiqua"/>
          <w:i/>
          <w:sz w:val="22"/>
          <w:szCs w:val="22"/>
        </w:rPr>
        <w:t>áklady prevyšujú túto sumu. Návrh zákona môže mať minimálny vplyv na podnikateľské prostredie, a to na správcov bytových domov, ktorí si doteraz neviedli samostatný účet v banke pre každý jeden bytový dom, ktorý spravujú, samostatne.</w:t>
      </w:r>
    </w:p>
    <w:p w:rsidR="00A350B4" w:rsidRPr="00B83FC3" w:rsidRDefault="00A350B4" w:rsidP="00A350B4">
      <w:pPr>
        <w:pBdr>
          <w:top w:val="nil"/>
          <w:left w:val="nil"/>
          <w:bottom w:val="nil"/>
          <w:right w:val="nil"/>
          <w:between w:val="nil"/>
        </w:pBdr>
        <w:spacing w:before="120" w:line="276" w:lineRule="auto"/>
        <w:jc w:val="both"/>
        <w:rPr>
          <w:rFonts w:ascii="Book Antiqua" w:hAnsi="Book Antiqua"/>
          <w:b/>
          <w:color w:val="000000"/>
          <w:sz w:val="22"/>
          <w:szCs w:val="22"/>
        </w:rPr>
      </w:pPr>
    </w:p>
    <w:p w:rsidR="00A350B4" w:rsidRPr="00B83FC3" w:rsidRDefault="00A350B4" w:rsidP="00A350B4">
      <w:pPr>
        <w:pBdr>
          <w:top w:val="nil"/>
          <w:left w:val="nil"/>
          <w:bottom w:val="nil"/>
          <w:right w:val="nil"/>
          <w:between w:val="nil"/>
        </w:pBdr>
        <w:spacing w:before="120" w:line="276" w:lineRule="auto"/>
        <w:jc w:val="both"/>
        <w:rPr>
          <w:rFonts w:ascii="Book Antiqua" w:hAnsi="Book Antiqua"/>
          <w:b/>
          <w:color w:val="000000"/>
          <w:sz w:val="22"/>
          <w:szCs w:val="22"/>
        </w:rPr>
      </w:pPr>
      <w:r w:rsidRPr="00B83FC3">
        <w:rPr>
          <w:rFonts w:ascii="Book Antiqua" w:hAnsi="Book Antiqua"/>
          <w:b/>
          <w:color w:val="000000"/>
          <w:sz w:val="22"/>
          <w:szCs w:val="22"/>
        </w:rPr>
        <w:t>A.4. Alternatívne riešenia</w:t>
      </w:r>
    </w:p>
    <w:p w:rsidR="00B83FC3" w:rsidRDefault="00A350B4" w:rsidP="00A350B4">
      <w:pPr>
        <w:pBdr>
          <w:top w:val="nil"/>
          <w:left w:val="nil"/>
          <w:bottom w:val="nil"/>
          <w:right w:val="nil"/>
          <w:between w:val="nil"/>
        </w:pBdr>
        <w:spacing w:before="120" w:line="276" w:lineRule="auto"/>
        <w:jc w:val="both"/>
        <w:rPr>
          <w:rFonts w:ascii="Book Antiqua" w:hAnsi="Book Antiqua"/>
          <w:i/>
          <w:color w:val="000000"/>
          <w:sz w:val="22"/>
          <w:szCs w:val="22"/>
        </w:rPr>
      </w:pPr>
      <w:r w:rsidRPr="00B83FC3">
        <w:rPr>
          <w:rFonts w:ascii="Book Antiqua" w:hAnsi="Book Antiqua"/>
          <w:i/>
          <w:color w:val="000000"/>
          <w:sz w:val="22"/>
          <w:szCs w:val="22"/>
        </w:rPr>
        <w:t>bezpredmetné</w:t>
      </w:r>
    </w:p>
    <w:p w:rsidR="00B83FC3" w:rsidRDefault="00B83FC3" w:rsidP="00A350B4">
      <w:pPr>
        <w:pBdr>
          <w:top w:val="nil"/>
          <w:left w:val="nil"/>
          <w:bottom w:val="nil"/>
          <w:right w:val="nil"/>
          <w:between w:val="nil"/>
        </w:pBdr>
        <w:spacing w:before="120" w:line="276" w:lineRule="auto"/>
        <w:jc w:val="both"/>
        <w:rPr>
          <w:rFonts w:ascii="Book Antiqua" w:hAnsi="Book Antiqua"/>
          <w:i/>
          <w:color w:val="000000"/>
          <w:sz w:val="22"/>
          <w:szCs w:val="22"/>
        </w:rPr>
      </w:pPr>
    </w:p>
    <w:p w:rsidR="00B83FC3" w:rsidRDefault="00A350B4" w:rsidP="00B83FC3">
      <w:pPr>
        <w:pBdr>
          <w:top w:val="nil"/>
          <w:left w:val="nil"/>
          <w:bottom w:val="nil"/>
          <w:right w:val="nil"/>
          <w:between w:val="nil"/>
        </w:pBdr>
        <w:spacing w:before="120" w:line="276" w:lineRule="auto"/>
        <w:jc w:val="both"/>
        <w:rPr>
          <w:rFonts w:ascii="Book Antiqua" w:hAnsi="Book Antiqua"/>
          <w:i/>
          <w:color w:val="000000"/>
          <w:sz w:val="22"/>
          <w:szCs w:val="22"/>
        </w:rPr>
      </w:pPr>
      <w:r w:rsidRPr="00B83FC3">
        <w:rPr>
          <w:rFonts w:ascii="Book Antiqua" w:hAnsi="Book Antiqua"/>
          <w:b/>
          <w:color w:val="000000"/>
          <w:sz w:val="22"/>
          <w:szCs w:val="22"/>
        </w:rPr>
        <w:t>A.5. Stanovisko gestorov</w:t>
      </w:r>
    </w:p>
    <w:p w:rsidR="00A350B4" w:rsidRPr="00B83FC3" w:rsidRDefault="00A350B4" w:rsidP="00B83FC3">
      <w:pPr>
        <w:pBdr>
          <w:top w:val="nil"/>
          <w:left w:val="nil"/>
          <w:bottom w:val="nil"/>
          <w:right w:val="nil"/>
          <w:between w:val="nil"/>
        </w:pBdr>
        <w:spacing w:before="120" w:line="276" w:lineRule="auto"/>
        <w:jc w:val="both"/>
        <w:rPr>
          <w:rFonts w:ascii="Book Antiqua" w:hAnsi="Book Antiqua"/>
          <w:i/>
          <w:color w:val="000000"/>
          <w:sz w:val="22"/>
          <w:szCs w:val="22"/>
        </w:rPr>
      </w:pPr>
      <w:r w:rsidRPr="00B83FC3">
        <w:rPr>
          <w:rFonts w:ascii="Book Antiqua" w:hAnsi="Book Antiqua"/>
          <w:i/>
          <w:color w:val="000000"/>
          <w:sz w:val="22"/>
          <w:szCs w:val="22"/>
        </w:rPr>
        <w:t>Návrh zákona bol zaslaný na vyjadrenie Ministerstvu financií SR a stanovisko tohto ministerstva tvorí súčasť predkladaného materiálu.</w:t>
      </w:r>
    </w:p>
    <w:sectPr w:rsidR="00A350B4" w:rsidRPr="00B83FC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52E" w:rsidRDefault="004D252E">
      <w:r>
        <w:separator/>
      </w:r>
    </w:p>
  </w:endnote>
  <w:endnote w:type="continuationSeparator" w:id="0">
    <w:p w:rsidR="004D252E" w:rsidRDefault="004D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10" w:rsidRDefault="00BE5A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BE5A10" w:rsidRDefault="00BE5A1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10" w:rsidRDefault="00BE5A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83FC3">
      <w:rPr>
        <w:rStyle w:val="slostrany"/>
        <w:noProof/>
      </w:rPr>
      <w:t>1</w:t>
    </w:r>
    <w:r>
      <w:rPr>
        <w:rStyle w:val="slostrany"/>
      </w:rPr>
      <w:fldChar w:fldCharType="end"/>
    </w:r>
  </w:p>
  <w:p w:rsidR="00BE5A10" w:rsidRDefault="00BE5A10">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52E" w:rsidRDefault="004D252E">
      <w:r>
        <w:separator/>
      </w:r>
    </w:p>
  </w:footnote>
  <w:footnote w:type="continuationSeparator" w:id="0">
    <w:p w:rsidR="004D252E" w:rsidRDefault="004D2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55B"/>
    <w:multiLevelType w:val="hybridMultilevel"/>
    <w:tmpl w:val="245AF3E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19517605"/>
    <w:multiLevelType w:val="hybridMultilevel"/>
    <w:tmpl w:val="356255AE"/>
    <w:lvl w:ilvl="0" w:tplc="FFFFFFFF">
      <w:start w:val="1"/>
      <w:numFmt w:val="lowerLetter"/>
      <w:lvlText w:val="%1)"/>
      <w:lvlJc w:val="left"/>
      <w:pPr>
        <w:tabs>
          <w:tab w:val="num" w:pos="420"/>
        </w:tabs>
        <w:ind w:left="420" w:hanging="360"/>
      </w:pPr>
      <w:rPr>
        <w:rFonts w:cs="Times New Roman"/>
        <w:i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1B553BFF"/>
    <w:multiLevelType w:val="multilevel"/>
    <w:tmpl w:val="DDBE7F30"/>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4">
    <w:nsid w:val="24F4578E"/>
    <w:multiLevelType w:val="hybridMultilevel"/>
    <w:tmpl w:val="BA7E25DA"/>
    <w:lvl w:ilvl="0" w:tplc="FFFFFFFF">
      <w:start w:val="1"/>
      <w:numFmt w:val="decimal"/>
      <w:lvlText w:val="%1."/>
      <w:lvlJc w:val="left"/>
      <w:pPr>
        <w:tabs>
          <w:tab w:val="num" w:pos="0"/>
        </w:tabs>
        <w:ind w:hanging="360"/>
      </w:pPr>
      <w:rPr>
        <w:rFonts w:cs="Times New Roman" w:hint="default"/>
        <w:b/>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5">
    <w:nsid w:val="2CA45916"/>
    <w:multiLevelType w:val="hybridMultilevel"/>
    <w:tmpl w:val="311C7530"/>
    <w:lvl w:ilvl="0" w:tplc="FFFFFFFF">
      <w:start w:val="1"/>
      <w:numFmt w:val="lowerLetter"/>
      <w:lvlText w:val="%1)"/>
      <w:lvlJc w:val="left"/>
      <w:pPr>
        <w:ind w:left="360" w:hanging="360"/>
      </w:pPr>
      <w:rPr>
        <w:rFonts w:cs="Times New Roman" w:hint="default"/>
        <w:i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nsid w:val="33440678"/>
    <w:multiLevelType w:val="hybridMultilevel"/>
    <w:tmpl w:val="1A50C50E"/>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455639C9"/>
    <w:multiLevelType w:val="hybridMultilevel"/>
    <w:tmpl w:val="38F69CA4"/>
    <w:lvl w:ilvl="0" w:tplc="FFFFFFFF">
      <w:start w:val="5"/>
      <w:numFmt w:val="decimal"/>
      <w:lvlText w:val="%1."/>
      <w:lvlJc w:val="left"/>
      <w:pPr>
        <w:tabs>
          <w:tab w:val="num" w:pos="341"/>
        </w:tabs>
        <w:ind w:left="341" w:hanging="284"/>
      </w:pPr>
      <w:rPr>
        <w:rFonts w:cs="Times New Roman"/>
        <w:b/>
        <w:i w:val="0"/>
      </w:rPr>
    </w:lvl>
    <w:lvl w:ilvl="1" w:tplc="FFFFFFFF">
      <w:start w:val="6"/>
      <w:numFmt w:val="decimal"/>
      <w:lvlText w:val="%2."/>
      <w:lvlJc w:val="left"/>
      <w:pPr>
        <w:tabs>
          <w:tab w:val="num" w:pos="284"/>
        </w:tabs>
        <w:ind w:left="284" w:hanging="284"/>
      </w:pPr>
      <w:rPr>
        <w:rFonts w:cs="Times New Roman"/>
        <w:b/>
        <w:i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547269E0"/>
    <w:multiLevelType w:val="hybridMultilevel"/>
    <w:tmpl w:val="5C2A36A8"/>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588E77C9"/>
    <w:multiLevelType w:val="hybridMultilevel"/>
    <w:tmpl w:val="AB14BEFC"/>
    <w:lvl w:ilvl="0" w:tplc="FFFFFFFF">
      <w:start w:val="2"/>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60060C7F"/>
    <w:multiLevelType w:val="hybridMultilevel"/>
    <w:tmpl w:val="3DAEB0C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6B2C530F"/>
    <w:multiLevelType w:val="hybridMultilevel"/>
    <w:tmpl w:val="62D4DC4E"/>
    <w:lvl w:ilvl="0" w:tplc="FFFFFFFF">
      <w:start w:val="1"/>
      <w:numFmt w:val="bullet"/>
      <w:lvlText w:val=""/>
      <w:lvlJc w:val="left"/>
      <w:pPr>
        <w:tabs>
          <w:tab w:val="num" w:pos="567"/>
        </w:tabs>
        <w:ind w:left="567" w:hanging="397"/>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2"/>
      <w:numFmt w:val="lowerLetter"/>
      <w:lvlText w:val="%3)"/>
      <w:lvlJc w:val="left"/>
      <w:pPr>
        <w:tabs>
          <w:tab w:val="num" w:pos="510"/>
        </w:tabs>
        <w:ind w:left="567" w:hanging="510"/>
      </w:pPr>
      <w:rPr>
        <w:rFonts w:cs="Times New Roman"/>
        <w:b w:val="0"/>
        <w:i w:val="0"/>
      </w:rPr>
    </w:lvl>
    <w:lvl w:ilvl="3" w:tplc="FFFFFFFF">
      <w:start w:val="4"/>
      <w:numFmt w:val="decimal"/>
      <w:lvlText w:val="%4."/>
      <w:lvlJc w:val="left"/>
      <w:pPr>
        <w:tabs>
          <w:tab w:val="num" w:pos="284"/>
        </w:tabs>
        <w:ind w:left="284" w:hanging="284"/>
      </w:pPr>
      <w:rPr>
        <w:rFonts w:cs="Times New Roman"/>
        <w:b/>
        <w:i w:val="0"/>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nsid w:val="6CF42B97"/>
    <w:multiLevelType w:val="hybridMultilevel"/>
    <w:tmpl w:val="F1528B6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6CFB3903"/>
    <w:multiLevelType w:val="hybridMultilevel"/>
    <w:tmpl w:val="B62C5DD0"/>
    <w:lvl w:ilvl="0" w:tplc="FFFFFFFF">
      <w:start w:val="7"/>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40D689F"/>
    <w:multiLevelType w:val="hybridMultilevel"/>
    <w:tmpl w:val="0986CC38"/>
    <w:lvl w:ilvl="0" w:tplc="FFFFFFFF">
      <w:start w:val="1"/>
      <w:numFmt w:val="lowerLetter"/>
      <w:lvlText w:val="%1)"/>
      <w:lvlJc w:val="left"/>
      <w:pPr>
        <w:tabs>
          <w:tab w:val="num" w:pos="720"/>
        </w:tabs>
        <w:ind w:left="720" w:hanging="360"/>
      </w:pPr>
      <w:rPr>
        <w:rFonts w:ascii="Times New Roman" w:hAnsi="Times New Roman" w:cs="Times New Roman"/>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79CC4E99"/>
    <w:multiLevelType w:val="hybridMultilevel"/>
    <w:tmpl w:val="67581B56"/>
    <w:lvl w:ilvl="0" w:tplc="F72297BA">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2"/>
  </w:num>
  <w:num w:numId="2">
    <w:abstractNumId w:val="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5"/>
  </w:num>
  <w:num w:numId="10">
    <w:abstractNumId w:val="8"/>
  </w:num>
  <w:num w:numId="11">
    <w:abstractNumId w:val="0"/>
  </w:num>
  <w:num w:numId="12">
    <w:abstractNumId w:val="10"/>
  </w:num>
  <w:num w:numId="13">
    <w:abstractNumId w:val="11"/>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D45"/>
    <w:rsid w:val="0000217D"/>
    <w:rsid w:val="000109A1"/>
    <w:rsid w:val="000260C3"/>
    <w:rsid w:val="00035077"/>
    <w:rsid w:val="0006531E"/>
    <w:rsid w:val="000F6093"/>
    <w:rsid w:val="00120670"/>
    <w:rsid w:val="001234BA"/>
    <w:rsid w:val="00123BFA"/>
    <w:rsid w:val="0013484C"/>
    <w:rsid w:val="0014262D"/>
    <w:rsid w:val="00145CCF"/>
    <w:rsid w:val="00187152"/>
    <w:rsid w:val="001A58D7"/>
    <w:rsid w:val="001C7FC6"/>
    <w:rsid w:val="001D7F13"/>
    <w:rsid w:val="001F1883"/>
    <w:rsid w:val="002276CA"/>
    <w:rsid w:val="00277B31"/>
    <w:rsid w:val="0028120C"/>
    <w:rsid w:val="002A4060"/>
    <w:rsid w:val="003E39C3"/>
    <w:rsid w:val="003F3F67"/>
    <w:rsid w:val="00432335"/>
    <w:rsid w:val="00437C82"/>
    <w:rsid w:val="00462431"/>
    <w:rsid w:val="00473923"/>
    <w:rsid w:val="00480486"/>
    <w:rsid w:val="00481614"/>
    <w:rsid w:val="004D252E"/>
    <w:rsid w:val="004E4380"/>
    <w:rsid w:val="004E63D3"/>
    <w:rsid w:val="00501265"/>
    <w:rsid w:val="00515BEF"/>
    <w:rsid w:val="00530D74"/>
    <w:rsid w:val="00534274"/>
    <w:rsid w:val="005952F7"/>
    <w:rsid w:val="005B2AAF"/>
    <w:rsid w:val="005C487A"/>
    <w:rsid w:val="005D0448"/>
    <w:rsid w:val="00635FBC"/>
    <w:rsid w:val="006829E3"/>
    <w:rsid w:val="006C50EF"/>
    <w:rsid w:val="006F2E8B"/>
    <w:rsid w:val="007000D7"/>
    <w:rsid w:val="00700240"/>
    <w:rsid w:val="007011B0"/>
    <w:rsid w:val="00753C58"/>
    <w:rsid w:val="00787760"/>
    <w:rsid w:val="0079308A"/>
    <w:rsid w:val="007A3481"/>
    <w:rsid w:val="007A5E3A"/>
    <w:rsid w:val="007B1A08"/>
    <w:rsid w:val="007C06A8"/>
    <w:rsid w:val="007C7B5D"/>
    <w:rsid w:val="007F2CF9"/>
    <w:rsid w:val="007F375C"/>
    <w:rsid w:val="00876288"/>
    <w:rsid w:val="008E1322"/>
    <w:rsid w:val="008F6814"/>
    <w:rsid w:val="009045E7"/>
    <w:rsid w:val="00942BEF"/>
    <w:rsid w:val="0096427B"/>
    <w:rsid w:val="00981477"/>
    <w:rsid w:val="00984F24"/>
    <w:rsid w:val="009A3557"/>
    <w:rsid w:val="009D440F"/>
    <w:rsid w:val="00A1092F"/>
    <w:rsid w:val="00A119E0"/>
    <w:rsid w:val="00A12FA1"/>
    <w:rsid w:val="00A16638"/>
    <w:rsid w:val="00A350B4"/>
    <w:rsid w:val="00A777FC"/>
    <w:rsid w:val="00A95AF7"/>
    <w:rsid w:val="00A96648"/>
    <w:rsid w:val="00AB2DFE"/>
    <w:rsid w:val="00AB6AE5"/>
    <w:rsid w:val="00AC3F10"/>
    <w:rsid w:val="00AF605A"/>
    <w:rsid w:val="00B15A13"/>
    <w:rsid w:val="00B21D22"/>
    <w:rsid w:val="00B24450"/>
    <w:rsid w:val="00B25B80"/>
    <w:rsid w:val="00B83FC3"/>
    <w:rsid w:val="00BC3C26"/>
    <w:rsid w:val="00BE5A10"/>
    <w:rsid w:val="00C04E0C"/>
    <w:rsid w:val="00C05B8E"/>
    <w:rsid w:val="00C1595D"/>
    <w:rsid w:val="00C16133"/>
    <w:rsid w:val="00C16C39"/>
    <w:rsid w:val="00C25D45"/>
    <w:rsid w:val="00C751A4"/>
    <w:rsid w:val="00C91266"/>
    <w:rsid w:val="00C92502"/>
    <w:rsid w:val="00CF70FF"/>
    <w:rsid w:val="00D01C92"/>
    <w:rsid w:val="00D2305E"/>
    <w:rsid w:val="00D43BC8"/>
    <w:rsid w:val="00D82CCA"/>
    <w:rsid w:val="00D9450D"/>
    <w:rsid w:val="00DA1E5A"/>
    <w:rsid w:val="00DC46F8"/>
    <w:rsid w:val="00DD13BD"/>
    <w:rsid w:val="00E04A45"/>
    <w:rsid w:val="00E34FDC"/>
    <w:rsid w:val="00EA194B"/>
    <w:rsid w:val="00EB3F7D"/>
    <w:rsid w:val="00F2556E"/>
    <w:rsid w:val="00F6673A"/>
    <w:rsid w:val="00FD73AB"/>
    <w:rsid w:val="00FE10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link w:val="Nadpis1Char"/>
    <w:uiPriority w:val="9"/>
    <w:qFormat/>
    <w:pPr>
      <w:keepNext/>
      <w:autoSpaceDE w:val="0"/>
      <w:autoSpaceDN w:val="0"/>
      <w:adjustRightInd w:val="0"/>
      <w:jc w:val="center"/>
      <w:outlineLvl w:val="0"/>
    </w:pPr>
    <w:rPr>
      <w:rFonts w:ascii="Cambria" w:hAnsi="Cambria"/>
      <w:b/>
      <w:bCs/>
      <w:kern w:val="32"/>
      <w:sz w:val="32"/>
      <w:szCs w:val="32"/>
    </w:rPr>
  </w:style>
  <w:style w:type="paragraph" w:styleId="Nadpis3">
    <w:name w:val="heading 3"/>
    <w:basedOn w:val="Normlny"/>
    <w:next w:val="Normlny"/>
    <w:link w:val="Nadpis3Char"/>
    <w:uiPriority w:val="9"/>
    <w:qFormat/>
    <w:pPr>
      <w:keepNext/>
      <w:spacing w:before="240" w:after="60"/>
      <w:outlineLvl w:val="2"/>
    </w:pPr>
    <w:rPr>
      <w:rFonts w:ascii="Cambria" w:hAnsi="Cambria"/>
      <w:b/>
      <w:bCs/>
      <w:sz w:val="26"/>
      <w:szCs w:val="26"/>
    </w:rPr>
  </w:style>
  <w:style w:type="paragraph" w:styleId="Nadpis5">
    <w:name w:val="heading 5"/>
    <w:basedOn w:val="Normlny"/>
    <w:next w:val="Normlny"/>
    <w:link w:val="Nadpis5Char"/>
    <w:uiPriority w:val="99"/>
    <w:semiHidden/>
    <w:unhideWhenUsed/>
    <w:qFormat/>
    <w:rsid w:val="007011B0"/>
    <w:pPr>
      <w:numPr>
        <w:ilvl w:val="4"/>
        <w:numId w:val="16"/>
      </w:numPr>
      <w:autoSpaceDE w:val="0"/>
      <w:autoSpaceDN w:val="0"/>
      <w:spacing w:before="240" w:after="60"/>
      <w:outlineLvl w:val="4"/>
    </w:pPr>
    <w:rPr>
      <w:b/>
      <w:bCs/>
      <w:i/>
      <w:iCs/>
      <w:sz w:val="26"/>
      <w:szCs w:val="26"/>
    </w:rPr>
  </w:style>
  <w:style w:type="paragraph" w:styleId="Nadpis6">
    <w:name w:val="heading 6"/>
    <w:basedOn w:val="Normlny"/>
    <w:next w:val="Normlny"/>
    <w:link w:val="Nadpis6Char"/>
    <w:uiPriority w:val="99"/>
    <w:semiHidden/>
    <w:unhideWhenUsed/>
    <w:qFormat/>
    <w:rsid w:val="007011B0"/>
    <w:pPr>
      <w:numPr>
        <w:ilvl w:val="5"/>
        <w:numId w:val="16"/>
      </w:numPr>
      <w:autoSpaceDE w:val="0"/>
      <w:autoSpaceDN w:val="0"/>
      <w:spacing w:before="240" w:after="60"/>
      <w:outlineLvl w:val="5"/>
    </w:pPr>
    <w:rPr>
      <w:b/>
      <w:bCs/>
      <w:sz w:val="22"/>
      <w:szCs w:val="22"/>
    </w:rPr>
  </w:style>
  <w:style w:type="paragraph" w:styleId="Nadpis7">
    <w:name w:val="heading 7"/>
    <w:basedOn w:val="Normlny"/>
    <w:next w:val="Normlny"/>
    <w:link w:val="Nadpis7Char"/>
    <w:uiPriority w:val="99"/>
    <w:semiHidden/>
    <w:unhideWhenUsed/>
    <w:qFormat/>
    <w:rsid w:val="007011B0"/>
    <w:pPr>
      <w:numPr>
        <w:ilvl w:val="6"/>
        <w:numId w:val="16"/>
      </w:numPr>
      <w:autoSpaceDE w:val="0"/>
      <w:autoSpaceDN w:val="0"/>
      <w:spacing w:before="240" w:after="60"/>
      <w:outlineLvl w:val="6"/>
    </w:pPr>
  </w:style>
  <w:style w:type="paragraph" w:styleId="Nadpis8">
    <w:name w:val="heading 8"/>
    <w:basedOn w:val="Normlny"/>
    <w:next w:val="Normlny"/>
    <w:link w:val="Nadpis8Char"/>
    <w:uiPriority w:val="99"/>
    <w:semiHidden/>
    <w:unhideWhenUsed/>
    <w:qFormat/>
    <w:rsid w:val="007011B0"/>
    <w:pPr>
      <w:numPr>
        <w:ilvl w:val="7"/>
        <w:numId w:val="16"/>
      </w:numPr>
      <w:autoSpaceDE w:val="0"/>
      <w:autoSpaceDN w:val="0"/>
      <w:spacing w:before="240" w:after="60"/>
      <w:outlineLvl w:val="7"/>
    </w:pPr>
    <w:rPr>
      <w:i/>
      <w:iCs/>
    </w:rPr>
  </w:style>
  <w:style w:type="paragraph" w:styleId="Nadpis9">
    <w:name w:val="heading 9"/>
    <w:basedOn w:val="Normlny"/>
    <w:next w:val="Normlny"/>
    <w:link w:val="Nadpis9Char"/>
    <w:uiPriority w:val="99"/>
    <w:semiHidden/>
    <w:unhideWhenUsed/>
    <w:qFormat/>
    <w:rsid w:val="007011B0"/>
    <w:pPr>
      <w:numPr>
        <w:ilvl w:val="8"/>
        <w:numId w:val="16"/>
      </w:numPr>
      <w:autoSpaceDE w:val="0"/>
      <w:autoSpaceDN w:val="0"/>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character" w:customStyle="1" w:styleId="Nadpis3Char">
    <w:name w:val="Nadpis 3 Char"/>
    <w:basedOn w:val="Predvolenpsmoodseku"/>
    <w:link w:val="Nadpis3"/>
    <w:uiPriority w:val="9"/>
    <w:semiHidden/>
    <w:locked/>
    <w:rPr>
      <w:rFonts w:ascii="Cambria" w:hAnsi="Cambria" w:cs="Times New Roman"/>
      <w:b/>
      <w:sz w:val="26"/>
    </w:rPr>
  </w:style>
  <w:style w:type="character" w:customStyle="1" w:styleId="Nadpis5Char">
    <w:name w:val="Nadpis 5 Char"/>
    <w:basedOn w:val="Predvolenpsmoodseku"/>
    <w:link w:val="Nadpis5"/>
    <w:uiPriority w:val="99"/>
    <w:semiHidden/>
    <w:locked/>
    <w:rsid w:val="007011B0"/>
    <w:rPr>
      <w:rFonts w:cs="Times New Roman"/>
      <w:b/>
      <w:bCs/>
      <w:i/>
      <w:iCs/>
      <w:sz w:val="26"/>
      <w:szCs w:val="26"/>
    </w:rPr>
  </w:style>
  <w:style w:type="character" w:customStyle="1" w:styleId="Nadpis6Char">
    <w:name w:val="Nadpis 6 Char"/>
    <w:basedOn w:val="Predvolenpsmoodseku"/>
    <w:link w:val="Nadpis6"/>
    <w:uiPriority w:val="99"/>
    <w:semiHidden/>
    <w:locked/>
    <w:rsid w:val="007011B0"/>
    <w:rPr>
      <w:rFonts w:cs="Times New Roman"/>
      <w:b/>
      <w:bCs/>
      <w:sz w:val="22"/>
      <w:szCs w:val="22"/>
    </w:rPr>
  </w:style>
  <w:style w:type="character" w:customStyle="1" w:styleId="Nadpis7Char">
    <w:name w:val="Nadpis 7 Char"/>
    <w:basedOn w:val="Predvolenpsmoodseku"/>
    <w:link w:val="Nadpis7"/>
    <w:uiPriority w:val="99"/>
    <w:semiHidden/>
    <w:locked/>
    <w:rsid w:val="007011B0"/>
    <w:rPr>
      <w:rFonts w:cs="Times New Roman"/>
      <w:sz w:val="24"/>
      <w:szCs w:val="24"/>
    </w:rPr>
  </w:style>
  <w:style w:type="character" w:customStyle="1" w:styleId="Nadpis8Char">
    <w:name w:val="Nadpis 8 Char"/>
    <w:basedOn w:val="Predvolenpsmoodseku"/>
    <w:link w:val="Nadpis8"/>
    <w:uiPriority w:val="99"/>
    <w:semiHidden/>
    <w:locked/>
    <w:rsid w:val="007011B0"/>
    <w:rPr>
      <w:rFonts w:cs="Times New Roman"/>
      <w:i/>
      <w:iCs/>
      <w:sz w:val="24"/>
      <w:szCs w:val="24"/>
    </w:rPr>
  </w:style>
  <w:style w:type="character" w:customStyle="1" w:styleId="Nadpis9Char">
    <w:name w:val="Nadpis 9 Char"/>
    <w:basedOn w:val="Predvolenpsmoodseku"/>
    <w:link w:val="Nadpis9"/>
    <w:uiPriority w:val="99"/>
    <w:semiHidden/>
    <w:locked/>
    <w:rsid w:val="007011B0"/>
    <w:rPr>
      <w:rFonts w:ascii="Arial" w:hAnsi="Arial" w:cs="Arial"/>
      <w:sz w:val="22"/>
      <w:szCs w:val="22"/>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basedOn w:val="Predvolenpsmoodseku"/>
    <w:link w:val="Textbubliny"/>
    <w:uiPriority w:val="99"/>
    <w:semiHidden/>
    <w:locked/>
    <w:rPr>
      <w:rFonts w:ascii="Tahoma" w:hAnsi="Tahoma" w:cs="Times New Roman"/>
      <w:sz w:val="16"/>
    </w:rPr>
  </w:style>
  <w:style w:type="paragraph" w:styleId="Pta">
    <w:name w:val="footer"/>
    <w:basedOn w:val="Normlny"/>
    <w:link w:val="PtaChar"/>
    <w:uiPriority w:val="99"/>
    <w:semiHidden/>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rPr>
  </w:style>
  <w:style w:type="character" w:styleId="slostrany">
    <w:name w:val="page number"/>
    <w:basedOn w:val="Predvolenpsmoodseku"/>
    <w:uiPriority w:val="99"/>
    <w:semiHidden/>
    <w:rPr>
      <w:rFonts w:cs="Times New Roman"/>
    </w:rPr>
  </w:style>
  <w:style w:type="paragraph" w:customStyle="1" w:styleId="titulok">
    <w:name w:val="titulok"/>
    <w:basedOn w:val="Normlny"/>
    <w:pPr>
      <w:spacing w:before="100" w:beforeAutospacing="1" w:after="100" w:afterAutospacing="1"/>
      <w:jc w:val="center"/>
    </w:pPr>
    <w:rPr>
      <w:rFonts w:ascii="Arial" w:hAnsi="Arial" w:cs="Arial"/>
      <w:b/>
      <w:bCs/>
      <w:color w:val="007060"/>
    </w:rPr>
  </w:style>
  <w:style w:type="paragraph" w:styleId="Normlnywebov">
    <w:name w:val="Normal (Web)"/>
    <w:basedOn w:val="Normlny"/>
    <w:qFormat/>
    <w:pPr>
      <w:spacing w:before="100" w:beforeAutospacing="1" w:after="100" w:afterAutospacing="1"/>
    </w:pPr>
  </w:style>
  <w:style w:type="character" w:customStyle="1" w:styleId="apple-converted-space">
    <w:name w:val="apple-converted-space"/>
  </w:style>
  <w:style w:type="character" w:styleId="Hypertextovprepojenie">
    <w:name w:val="Hyperlink"/>
    <w:basedOn w:val="Predvolenpsmoodseku"/>
    <w:uiPriority w:val="99"/>
    <w:semiHidden/>
    <w:unhideWhenUsed/>
    <w:rPr>
      <w:rFonts w:cs="Times New Roman"/>
      <w:color w:val="0000FF"/>
      <w:u w:val="single"/>
    </w:rPr>
  </w:style>
  <w:style w:type="paragraph" w:styleId="Odsekzoznamu">
    <w:name w:val="List Paragraph"/>
    <w:basedOn w:val="Normlny"/>
    <w:uiPriority w:val="34"/>
    <w:qFormat/>
    <w:pPr>
      <w:ind w:left="708"/>
    </w:pPr>
  </w:style>
  <w:style w:type="paragraph" w:customStyle="1" w:styleId="Normlny0">
    <w:name w:val="_Normálny"/>
    <w:basedOn w:val="Normlny"/>
    <w:pPr>
      <w:autoSpaceDE w:val="0"/>
      <w:autoSpaceDN w:val="0"/>
    </w:pPr>
    <w:rPr>
      <w:lang w:eastAsia="en-US"/>
    </w:rPr>
  </w:style>
  <w:style w:type="character" w:customStyle="1" w:styleId="NormlnyChar">
    <w:name w:val="_Normálny Char"/>
    <w:locked/>
    <w:rPr>
      <w:sz w:val="24"/>
      <w:lang w:val="x-none" w:eastAsia="en-US"/>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pPr>
      <w:autoSpaceDE/>
      <w:autoSpaceDN/>
      <w:adjustRightInd/>
    </w:pPr>
    <w:rPr>
      <w:rFonts w:ascii="Times New Roman" w:hAnsi="Times New Roman"/>
      <w:color w:val="auto"/>
      <w:lang w:val="cs-CZ" w:eastAsia="cs-CZ"/>
    </w:rPr>
  </w:style>
  <w:style w:type="table" w:styleId="Mriekatabuky">
    <w:name w:val="Table Grid"/>
    <w:basedOn w:val="Normlnatabuka"/>
    <w:uiPriority w:val="39"/>
    <w:rsid w:val="002A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7011B0"/>
    <w:pPr>
      <w:autoSpaceDE w:val="0"/>
      <w:autoSpaceDN w:val="0"/>
      <w:jc w:val="both"/>
    </w:pPr>
    <w:rPr>
      <w:rFonts w:ascii="Verdana" w:hAnsi="Verdana" w:cs="Verdana"/>
    </w:rPr>
  </w:style>
  <w:style w:type="character" w:customStyle="1" w:styleId="ZkladntextChar">
    <w:name w:val="Základný text Char"/>
    <w:basedOn w:val="Predvolenpsmoodseku"/>
    <w:link w:val="Zkladntext"/>
    <w:uiPriority w:val="99"/>
    <w:locked/>
    <w:rsid w:val="007011B0"/>
    <w:rPr>
      <w:rFonts w:ascii="Verdana" w:hAnsi="Verdana" w:cs="Verdana"/>
      <w:sz w:val="24"/>
      <w:szCs w:val="24"/>
    </w:rPr>
  </w:style>
  <w:style w:type="paragraph" w:customStyle="1" w:styleId="Nadpis1orobas">
    <w:name w:val="Nadpis 1.Čo robí (časť)"/>
    <w:basedOn w:val="Normlny"/>
    <w:next w:val="Normlny"/>
    <w:uiPriority w:val="99"/>
    <w:rsid w:val="007011B0"/>
    <w:pPr>
      <w:keepNext/>
      <w:numPr>
        <w:numId w:val="16"/>
      </w:numPr>
      <w:autoSpaceDE w:val="0"/>
      <w:autoSpaceDN w:val="0"/>
      <w:spacing w:before="360"/>
      <w:outlineLvl w:val="0"/>
    </w:pPr>
    <w:rPr>
      <w:b/>
      <w:bCs/>
      <w:kern w:val="32"/>
      <w:sz w:val="28"/>
      <w:szCs w:val="28"/>
    </w:rPr>
  </w:style>
  <w:style w:type="paragraph" w:customStyle="1" w:styleId="Nadpis2loha">
    <w:name w:val="Nadpis 2.Úloha"/>
    <w:basedOn w:val="Normlny"/>
    <w:uiPriority w:val="99"/>
    <w:rsid w:val="007011B0"/>
    <w:pPr>
      <w:numPr>
        <w:ilvl w:val="1"/>
        <w:numId w:val="16"/>
      </w:numPr>
      <w:autoSpaceDE w:val="0"/>
      <w:autoSpaceDN w:val="0"/>
      <w:spacing w:before="120"/>
      <w:jc w:val="both"/>
      <w:outlineLvl w:val="1"/>
    </w:pPr>
  </w:style>
  <w:style w:type="paragraph" w:customStyle="1" w:styleId="Nadpis3Podloha">
    <w:name w:val="Nadpis 3.Podúloha"/>
    <w:basedOn w:val="Normlny"/>
    <w:uiPriority w:val="99"/>
    <w:rsid w:val="007011B0"/>
    <w:pPr>
      <w:keepNext/>
      <w:numPr>
        <w:ilvl w:val="2"/>
        <w:numId w:val="16"/>
      </w:numPr>
      <w:autoSpaceDE w:val="0"/>
      <w:autoSpaceDN w:val="0"/>
      <w:spacing w:before="120"/>
      <w:ind w:left="2269"/>
      <w:outlineLvl w:val="2"/>
    </w:pPr>
  </w:style>
  <w:style w:type="paragraph" w:customStyle="1" w:styleId="Nadpis4Termn">
    <w:name w:val="Nadpis 4.Termín"/>
    <w:basedOn w:val="Normlny"/>
    <w:next w:val="Nadpis2loha"/>
    <w:uiPriority w:val="99"/>
    <w:rsid w:val="007011B0"/>
    <w:pPr>
      <w:numPr>
        <w:ilvl w:val="3"/>
        <w:numId w:val="16"/>
      </w:numPr>
      <w:autoSpaceDE w:val="0"/>
      <w:autoSpaceDN w:val="0"/>
      <w:spacing w:before="120" w:after="120"/>
      <w:outlineLvl w:val="3"/>
    </w:pPr>
    <w:rPr>
      <w:i/>
      <w:iCs/>
    </w:rPr>
  </w:style>
  <w:style w:type="paragraph" w:customStyle="1" w:styleId="F2-ZkladnText">
    <w:name w:val="F2-ZákladnýText"/>
    <w:basedOn w:val="Normlny"/>
    <w:uiPriority w:val="99"/>
    <w:rsid w:val="007011B0"/>
    <w:pPr>
      <w:jc w:val="both"/>
    </w:pPr>
    <w:rPr>
      <w:szCs w:val="20"/>
    </w:rPr>
  </w:style>
  <w:style w:type="paragraph" w:customStyle="1" w:styleId="Vchodzie">
    <w:name w:val="Vchodzie"/>
    <w:qFormat/>
    <w:rsid w:val="00A350B4"/>
    <w:pPr>
      <w:widowControl w:val="0"/>
      <w:autoSpaceDE w:val="0"/>
      <w:autoSpaceDN w:val="0"/>
      <w:adjustRightInd w:val="0"/>
      <w:spacing w:after="120" w:line="276" w:lineRule="auto"/>
    </w:pPr>
    <w:rPr>
      <w:rFonts w:ascii="Calibri" w:hAnsi="Calibri" w:cs="Calibri"/>
      <w:sz w:val="22"/>
      <w:szCs w:val="22"/>
      <w:lang w:eastAsia="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link w:val="Nadpis1Char"/>
    <w:uiPriority w:val="9"/>
    <w:qFormat/>
    <w:pPr>
      <w:keepNext/>
      <w:autoSpaceDE w:val="0"/>
      <w:autoSpaceDN w:val="0"/>
      <w:adjustRightInd w:val="0"/>
      <w:jc w:val="center"/>
      <w:outlineLvl w:val="0"/>
    </w:pPr>
    <w:rPr>
      <w:rFonts w:ascii="Cambria" w:hAnsi="Cambria"/>
      <w:b/>
      <w:bCs/>
      <w:kern w:val="32"/>
      <w:sz w:val="32"/>
      <w:szCs w:val="32"/>
    </w:rPr>
  </w:style>
  <w:style w:type="paragraph" w:styleId="Nadpis3">
    <w:name w:val="heading 3"/>
    <w:basedOn w:val="Normlny"/>
    <w:next w:val="Normlny"/>
    <w:link w:val="Nadpis3Char"/>
    <w:uiPriority w:val="9"/>
    <w:qFormat/>
    <w:pPr>
      <w:keepNext/>
      <w:spacing w:before="240" w:after="60"/>
      <w:outlineLvl w:val="2"/>
    </w:pPr>
    <w:rPr>
      <w:rFonts w:ascii="Cambria" w:hAnsi="Cambria"/>
      <w:b/>
      <w:bCs/>
      <w:sz w:val="26"/>
      <w:szCs w:val="26"/>
    </w:rPr>
  </w:style>
  <w:style w:type="paragraph" w:styleId="Nadpis5">
    <w:name w:val="heading 5"/>
    <w:basedOn w:val="Normlny"/>
    <w:next w:val="Normlny"/>
    <w:link w:val="Nadpis5Char"/>
    <w:uiPriority w:val="99"/>
    <w:semiHidden/>
    <w:unhideWhenUsed/>
    <w:qFormat/>
    <w:rsid w:val="007011B0"/>
    <w:pPr>
      <w:numPr>
        <w:ilvl w:val="4"/>
        <w:numId w:val="16"/>
      </w:numPr>
      <w:autoSpaceDE w:val="0"/>
      <w:autoSpaceDN w:val="0"/>
      <w:spacing w:before="240" w:after="60"/>
      <w:outlineLvl w:val="4"/>
    </w:pPr>
    <w:rPr>
      <w:b/>
      <w:bCs/>
      <w:i/>
      <w:iCs/>
      <w:sz w:val="26"/>
      <w:szCs w:val="26"/>
    </w:rPr>
  </w:style>
  <w:style w:type="paragraph" w:styleId="Nadpis6">
    <w:name w:val="heading 6"/>
    <w:basedOn w:val="Normlny"/>
    <w:next w:val="Normlny"/>
    <w:link w:val="Nadpis6Char"/>
    <w:uiPriority w:val="99"/>
    <w:semiHidden/>
    <w:unhideWhenUsed/>
    <w:qFormat/>
    <w:rsid w:val="007011B0"/>
    <w:pPr>
      <w:numPr>
        <w:ilvl w:val="5"/>
        <w:numId w:val="16"/>
      </w:numPr>
      <w:autoSpaceDE w:val="0"/>
      <w:autoSpaceDN w:val="0"/>
      <w:spacing w:before="240" w:after="60"/>
      <w:outlineLvl w:val="5"/>
    </w:pPr>
    <w:rPr>
      <w:b/>
      <w:bCs/>
      <w:sz w:val="22"/>
      <w:szCs w:val="22"/>
    </w:rPr>
  </w:style>
  <w:style w:type="paragraph" w:styleId="Nadpis7">
    <w:name w:val="heading 7"/>
    <w:basedOn w:val="Normlny"/>
    <w:next w:val="Normlny"/>
    <w:link w:val="Nadpis7Char"/>
    <w:uiPriority w:val="99"/>
    <w:semiHidden/>
    <w:unhideWhenUsed/>
    <w:qFormat/>
    <w:rsid w:val="007011B0"/>
    <w:pPr>
      <w:numPr>
        <w:ilvl w:val="6"/>
        <w:numId w:val="16"/>
      </w:numPr>
      <w:autoSpaceDE w:val="0"/>
      <w:autoSpaceDN w:val="0"/>
      <w:spacing w:before="240" w:after="60"/>
      <w:outlineLvl w:val="6"/>
    </w:pPr>
  </w:style>
  <w:style w:type="paragraph" w:styleId="Nadpis8">
    <w:name w:val="heading 8"/>
    <w:basedOn w:val="Normlny"/>
    <w:next w:val="Normlny"/>
    <w:link w:val="Nadpis8Char"/>
    <w:uiPriority w:val="99"/>
    <w:semiHidden/>
    <w:unhideWhenUsed/>
    <w:qFormat/>
    <w:rsid w:val="007011B0"/>
    <w:pPr>
      <w:numPr>
        <w:ilvl w:val="7"/>
        <w:numId w:val="16"/>
      </w:numPr>
      <w:autoSpaceDE w:val="0"/>
      <w:autoSpaceDN w:val="0"/>
      <w:spacing w:before="240" w:after="60"/>
      <w:outlineLvl w:val="7"/>
    </w:pPr>
    <w:rPr>
      <w:i/>
      <w:iCs/>
    </w:rPr>
  </w:style>
  <w:style w:type="paragraph" w:styleId="Nadpis9">
    <w:name w:val="heading 9"/>
    <w:basedOn w:val="Normlny"/>
    <w:next w:val="Normlny"/>
    <w:link w:val="Nadpis9Char"/>
    <w:uiPriority w:val="99"/>
    <w:semiHidden/>
    <w:unhideWhenUsed/>
    <w:qFormat/>
    <w:rsid w:val="007011B0"/>
    <w:pPr>
      <w:numPr>
        <w:ilvl w:val="8"/>
        <w:numId w:val="16"/>
      </w:numPr>
      <w:autoSpaceDE w:val="0"/>
      <w:autoSpaceDN w:val="0"/>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character" w:customStyle="1" w:styleId="Nadpis3Char">
    <w:name w:val="Nadpis 3 Char"/>
    <w:basedOn w:val="Predvolenpsmoodseku"/>
    <w:link w:val="Nadpis3"/>
    <w:uiPriority w:val="9"/>
    <w:semiHidden/>
    <w:locked/>
    <w:rPr>
      <w:rFonts w:ascii="Cambria" w:hAnsi="Cambria" w:cs="Times New Roman"/>
      <w:b/>
      <w:sz w:val="26"/>
    </w:rPr>
  </w:style>
  <w:style w:type="character" w:customStyle="1" w:styleId="Nadpis5Char">
    <w:name w:val="Nadpis 5 Char"/>
    <w:basedOn w:val="Predvolenpsmoodseku"/>
    <w:link w:val="Nadpis5"/>
    <w:uiPriority w:val="99"/>
    <w:semiHidden/>
    <w:locked/>
    <w:rsid w:val="007011B0"/>
    <w:rPr>
      <w:rFonts w:cs="Times New Roman"/>
      <w:b/>
      <w:bCs/>
      <w:i/>
      <w:iCs/>
      <w:sz w:val="26"/>
      <w:szCs w:val="26"/>
    </w:rPr>
  </w:style>
  <w:style w:type="character" w:customStyle="1" w:styleId="Nadpis6Char">
    <w:name w:val="Nadpis 6 Char"/>
    <w:basedOn w:val="Predvolenpsmoodseku"/>
    <w:link w:val="Nadpis6"/>
    <w:uiPriority w:val="99"/>
    <w:semiHidden/>
    <w:locked/>
    <w:rsid w:val="007011B0"/>
    <w:rPr>
      <w:rFonts w:cs="Times New Roman"/>
      <w:b/>
      <w:bCs/>
      <w:sz w:val="22"/>
      <w:szCs w:val="22"/>
    </w:rPr>
  </w:style>
  <w:style w:type="character" w:customStyle="1" w:styleId="Nadpis7Char">
    <w:name w:val="Nadpis 7 Char"/>
    <w:basedOn w:val="Predvolenpsmoodseku"/>
    <w:link w:val="Nadpis7"/>
    <w:uiPriority w:val="99"/>
    <w:semiHidden/>
    <w:locked/>
    <w:rsid w:val="007011B0"/>
    <w:rPr>
      <w:rFonts w:cs="Times New Roman"/>
      <w:sz w:val="24"/>
      <w:szCs w:val="24"/>
    </w:rPr>
  </w:style>
  <w:style w:type="character" w:customStyle="1" w:styleId="Nadpis8Char">
    <w:name w:val="Nadpis 8 Char"/>
    <w:basedOn w:val="Predvolenpsmoodseku"/>
    <w:link w:val="Nadpis8"/>
    <w:uiPriority w:val="99"/>
    <w:semiHidden/>
    <w:locked/>
    <w:rsid w:val="007011B0"/>
    <w:rPr>
      <w:rFonts w:cs="Times New Roman"/>
      <w:i/>
      <w:iCs/>
      <w:sz w:val="24"/>
      <w:szCs w:val="24"/>
    </w:rPr>
  </w:style>
  <w:style w:type="character" w:customStyle="1" w:styleId="Nadpis9Char">
    <w:name w:val="Nadpis 9 Char"/>
    <w:basedOn w:val="Predvolenpsmoodseku"/>
    <w:link w:val="Nadpis9"/>
    <w:uiPriority w:val="99"/>
    <w:semiHidden/>
    <w:locked/>
    <w:rsid w:val="007011B0"/>
    <w:rPr>
      <w:rFonts w:ascii="Arial" w:hAnsi="Arial" w:cs="Arial"/>
      <w:sz w:val="22"/>
      <w:szCs w:val="22"/>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basedOn w:val="Predvolenpsmoodseku"/>
    <w:link w:val="Textbubliny"/>
    <w:uiPriority w:val="99"/>
    <w:semiHidden/>
    <w:locked/>
    <w:rPr>
      <w:rFonts w:ascii="Tahoma" w:hAnsi="Tahoma" w:cs="Times New Roman"/>
      <w:sz w:val="16"/>
    </w:rPr>
  </w:style>
  <w:style w:type="paragraph" w:styleId="Pta">
    <w:name w:val="footer"/>
    <w:basedOn w:val="Normlny"/>
    <w:link w:val="PtaChar"/>
    <w:uiPriority w:val="99"/>
    <w:semiHidden/>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rPr>
  </w:style>
  <w:style w:type="character" w:styleId="slostrany">
    <w:name w:val="page number"/>
    <w:basedOn w:val="Predvolenpsmoodseku"/>
    <w:uiPriority w:val="99"/>
    <w:semiHidden/>
    <w:rPr>
      <w:rFonts w:cs="Times New Roman"/>
    </w:rPr>
  </w:style>
  <w:style w:type="paragraph" w:customStyle="1" w:styleId="titulok">
    <w:name w:val="titulok"/>
    <w:basedOn w:val="Normlny"/>
    <w:pPr>
      <w:spacing w:before="100" w:beforeAutospacing="1" w:after="100" w:afterAutospacing="1"/>
      <w:jc w:val="center"/>
    </w:pPr>
    <w:rPr>
      <w:rFonts w:ascii="Arial" w:hAnsi="Arial" w:cs="Arial"/>
      <w:b/>
      <w:bCs/>
      <w:color w:val="007060"/>
    </w:rPr>
  </w:style>
  <w:style w:type="paragraph" w:styleId="Normlnywebov">
    <w:name w:val="Normal (Web)"/>
    <w:basedOn w:val="Normlny"/>
    <w:qFormat/>
    <w:pPr>
      <w:spacing w:before="100" w:beforeAutospacing="1" w:after="100" w:afterAutospacing="1"/>
    </w:pPr>
  </w:style>
  <w:style w:type="character" w:customStyle="1" w:styleId="apple-converted-space">
    <w:name w:val="apple-converted-space"/>
  </w:style>
  <w:style w:type="character" w:styleId="Hypertextovprepojenie">
    <w:name w:val="Hyperlink"/>
    <w:basedOn w:val="Predvolenpsmoodseku"/>
    <w:uiPriority w:val="99"/>
    <w:semiHidden/>
    <w:unhideWhenUsed/>
    <w:rPr>
      <w:rFonts w:cs="Times New Roman"/>
      <w:color w:val="0000FF"/>
      <w:u w:val="single"/>
    </w:rPr>
  </w:style>
  <w:style w:type="paragraph" w:styleId="Odsekzoznamu">
    <w:name w:val="List Paragraph"/>
    <w:basedOn w:val="Normlny"/>
    <w:uiPriority w:val="34"/>
    <w:qFormat/>
    <w:pPr>
      <w:ind w:left="708"/>
    </w:pPr>
  </w:style>
  <w:style w:type="paragraph" w:customStyle="1" w:styleId="Normlny0">
    <w:name w:val="_Normálny"/>
    <w:basedOn w:val="Normlny"/>
    <w:pPr>
      <w:autoSpaceDE w:val="0"/>
      <w:autoSpaceDN w:val="0"/>
    </w:pPr>
    <w:rPr>
      <w:lang w:eastAsia="en-US"/>
    </w:rPr>
  </w:style>
  <w:style w:type="character" w:customStyle="1" w:styleId="NormlnyChar">
    <w:name w:val="_Normálny Char"/>
    <w:locked/>
    <w:rPr>
      <w:sz w:val="24"/>
      <w:lang w:val="x-none" w:eastAsia="en-US"/>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pPr>
      <w:autoSpaceDE/>
      <w:autoSpaceDN/>
      <w:adjustRightInd/>
    </w:pPr>
    <w:rPr>
      <w:rFonts w:ascii="Times New Roman" w:hAnsi="Times New Roman"/>
      <w:color w:val="auto"/>
      <w:lang w:val="cs-CZ" w:eastAsia="cs-CZ"/>
    </w:rPr>
  </w:style>
  <w:style w:type="table" w:styleId="Mriekatabuky">
    <w:name w:val="Table Grid"/>
    <w:basedOn w:val="Normlnatabuka"/>
    <w:uiPriority w:val="39"/>
    <w:rsid w:val="002A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7011B0"/>
    <w:pPr>
      <w:autoSpaceDE w:val="0"/>
      <w:autoSpaceDN w:val="0"/>
      <w:jc w:val="both"/>
    </w:pPr>
    <w:rPr>
      <w:rFonts w:ascii="Verdana" w:hAnsi="Verdana" w:cs="Verdana"/>
    </w:rPr>
  </w:style>
  <w:style w:type="character" w:customStyle="1" w:styleId="ZkladntextChar">
    <w:name w:val="Základný text Char"/>
    <w:basedOn w:val="Predvolenpsmoodseku"/>
    <w:link w:val="Zkladntext"/>
    <w:uiPriority w:val="99"/>
    <w:locked/>
    <w:rsid w:val="007011B0"/>
    <w:rPr>
      <w:rFonts w:ascii="Verdana" w:hAnsi="Verdana" w:cs="Verdana"/>
      <w:sz w:val="24"/>
      <w:szCs w:val="24"/>
    </w:rPr>
  </w:style>
  <w:style w:type="paragraph" w:customStyle="1" w:styleId="Nadpis1orobas">
    <w:name w:val="Nadpis 1.Čo robí (časť)"/>
    <w:basedOn w:val="Normlny"/>
    <w:next w:val="Normlny"/>
    <w:uiPriority w:val="99"/>
    <w:rsid w:val="007011B0"/>
    <w:pPr>
      <w:keepNext/>
      <w:numPr>
        <w:numId w:val="16"/>
      </w:numPr>
      <w:autoSpaceDE w:val="0"/>
      <w:autoSpaceDN w:val="0"/>
      <w:spacing w:before="360"/>
      <w:outlineLvl w:val="0"/>
    </w:pPr>
    <w:rPr>
      <w:b/>
      <w:bCs/>
      <w:kern w:val="32"/>
      <w:sz w:val="28"/>
      <w:szCs w:val="28"/>
    </w:rPr>
  </w:style>
  <w:style w:type="paragraph" w:customStyle="1" w:styleId="Nadpis2loha">
    <w:name w:val="Nadpis 2.Úloha"/>
    <w:basedOn w:val="Normlny"/>
    <w:uiPriority w:val="99"/>
    <w:rsid w:val="007011B0"/>
    <w:pPr>
      <w:numPr>
        <w:ilvl w:val="1"/>
        <w:numId w:val="16"/>
      </w:numPr>
      <w:autoSpaceDE w:val="0"/>
      <w:autoSpaceDN w:val="0"/>
      <w:spacing w:before="120"/>
      <w:jc w:val="both"/>
      <w:outlineLvl w:val="1"/>
    </w:pPr>
  </w:style>
  <w:style w:type="paragraph" w:customStyle="1" w:styleId="Nadpis3Podloha">
    <w:name w:val="Nadpis 3.Podúloha"/>
    <w:basedOn w:val="Normlny"/>
    <w:uiPriority w:val="99"/>
    <w:rsid w:val="007011B0"/>
    <w:pPr>
      <w:keepNext/>
      <w:numPr>
        <w:ilvl w:val="2"/>
        <w:numId w:val="16"/>
      </w:numPr>
      <w:autoSpaceDE w:val="0"/>
      <w:autoSpaceDN w:val="0"/>
      <w:spacing w:before="120"/>
      <w:ind w:left="2269"/>
      <w:outlineLvl w:val="2"/>
    </w:pPr>
  </w:style>
  <w:style w:type="paragraph" w:customStyle="1" w:styleId="Nadpis4Termn">
    <w:name w:val="Nadpis 4.Termín"/>
    <w:basedOn w:val="Normlny"/>
    <w:next w:val="Nadpis2loha"/>
    <w:uiPriority w:val="99"/>
    <w:rsid w:val="007011B0"/>
    <w:pPr>
      <w:numPr>
        <w:ilvl w:val="3"/>
        <w:numId w:val="16"/>
      </w:numPr>
      <w:autoSpaceDE w:val="0"/>
      <w:autoSpaceDN w:val="0"/>
      <w:spacing w:before="120" w:after="120"/>
      <w:outlineLvl w:val="3"/>
    </w:pPr>
    <w:rPr>
      <w:i/>
      <w:iCs/>
    </w:rPr>
  </w:style>
  <w:style w:type="paragraph" w:customStyle="1" w:styleId="F2-ZkladnText">
    <w:name w:val="F2-ZákladnýText"/>
    <w:basedOn w:val="Normlny"/>
    <w:uiPriority w:val="99"/>
    <w:rsid w:val="007011B0"/>
    <w:pPr>
      <w:jc w:val="both"/>
    </w:pPr>
    <w:rPr>
      <w:szCs w:val="20"/>
    </w:rPr>
  </w:style>
  <w:style w:type="paragraph" w:customStyle="1" w:styleId="Vchodzie">
    <w:name w:val="Vchodzie"/>
    <w:qFormat/>
    <w:rsid w:val="00A350B4"/>
    <w:pPr>
      <w:widowControl w:val="0"/>
      <w:autoSpaceDE w:val="0"/>
      <w:autoSpaceDN w:val="0"/>
      <w:adjustRightInd w:val="0"/>
      <w:spacing w:after="120" w:line="276" w:lineRule="auto"/>
    </w:pPr>
    <w:rPr>
      <w:rFonts w:ascii="Calibri" w:hAnsi="Calibri" w:cs="Calibri"/>
      <w:sz w:val="22"/>
      <w:szCs w:val="22"/>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66996">
      <w:marLeft w:val="0"/>
      <w:marRight w:val="0"/>
      <w:marTop w:val="0"/>
      <w:marBottom w:val="0"/>
      <w:divBdr>
        <w:top w:val="none" w:sz="0" w:space="0" w:color="auto"/>
        <w:left w:val="none" w:sz="0" w:space="0" w:color="auto"/>
        <w:bottom w:val="none" w:sz="0" w:space="0" w:color="auto"/>
        <w:right w:val="none" w:sz="0" w:space="0" w:color="auto"/>
      </w:divBdr>
    </w:div>
    <w:div w:id="1470366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1720</Words>
  <Characters>9807</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Milan</cp:lastModifiedBy>
  <cp:revision>2</cp:revision>
  <cp:lastPrinted>2019-08-08T08:59:00Z</cp:lastPrinted>
  <dcterms:created xsi:type="dcterms:W3CDTF">2023-04-14T13:24:00Z</dcterms:created>
  <dcterms:modified xsi:type="dcterms:W3CDTF">2023-04-14T13:24:00Z</dcterms:modified>
</cp:coreProperties>
</file>