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18EE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249F0" w:rsidR="00223E53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12B92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9658F" w:rsidRPr="00D249F0" w:rsidP="002F6AD6">
      <w:pPr>
        <w:pStyle w:val="NormalWeb"/>
        <w:numPr>
          <w:ilvl w:val="0"/>
          <w:numId w:val="14"/>
        </w:numPr>
        <w:spacing w:before="120" w:beforeAutospacing="0" w:after="0" w:afterAutospacing="0" w:line="276" w:lineRule="auto"/>
        <w:rPr>
          <w:rFonts w:ascii="Book Antiqua" w:hAnsi="Book Antiqua"/>
          <w:b/>
          <w:sz w:val="22"/>
          <w:szCs w:val="22"/>
        </w:rPr>
      </w:pPr>
      <w:r w:rsidRPr="00D249F0" w:rsidR="001B1849">
        <w:rPr>
          <w:rFonts w:ascii="Book Antiqua" w:hAnsi="Book Antiqua"/>
          <w:b/>
          <w:sz w:val="22"/>
          <w:szCs w:val="22"/>
        </w:rPr>
        <w:t>Všeobecná časť</w:t>
      </w:r>
    </w:p>
    <w:p w:rsidR="00112B92" w:rsidRPr="00D249F0" w:rsidP="002F6AD6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249F0" w:rsidR="001B1849">
        <w:rPr>
          <w:rFonts w:ascii="Book Antiqua" w:hAnsi="Book Antiqua"/>
          <w:sz w:val="22"/>
          <w:szCs w:val="22"/>
        </w:rPr>
        <w:t xml:space="preserve">Návrh zákona, </w:t>
      </w:r>
      <w:r w:rsidRPr="004857B5" w:rsidR="004857B5">
        <w:rPr>
          <w:rFonts w:ascii="Book Antiqua" w:hAnsi="Book Antiqua"/>
          <w:sz w:val="22"/>
          <w:szCs w:val="22"/>
        </w:rPr>
        <w:t xml:space="preserve">ktorým sa </w:t>
      </w:r>
      <w:r w:rsidR="00D5375C">
        <w:rPr>
          <w:rFonts w:ascii="Book Antiqua" w:hAnsi="Book Antiqua"/>
          <w:sz w:val="22"/>
          <w:szCs w:val="22"/>
        </w:rPr>
        <w:t xml:space="preserve">mení a </w:t>
      </w:r>
      <w:r w:rsidRPr="004857B5" w:rsidR="004857B5">
        <w:rPr>
          <w:rFonts w:ascii="Book Antiqua" w:hAnsi="Book Antiqua"/>
          <w:sz w:val="22"/>
          <w:szCs w:val="22"/>
        </w:rPr>
        <w:t xml:space="preserve">dopĺňa zákon </w:t>
      </w:r>
      <w:r w:rsidR="004857B5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</w:t>
      </w:r>
      <w:hyperlink r:id="rId5" w:tooltip="Odkaz na predpis alebo ustanovenie" w:history="1">
        <w:r w:rsidRPr="004857B5" w:rsidR="004857B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Pr="004857B5" w:rsidR="004857B5">
        <w:rPr>
          <w:rFonts w:ascii="Book Antiqua" w:hAnsi="Book Antiqua" w:cs="Segoe UI"/>
          <w:sz w:val="22"/>
          <w:szCs w:val="22"/>
          <w:shd w:val="clear" w:color="auto" w:fill="FFFFFF"/>
        </w:rPr>
        <w:t> o peňažných príspevkoch na kompenzáciu ťažkého zdr</w:t>
      </w:r>
      <w:r w:rsidRPr="004857B5" w:rsidR="004857B5">
        <w:rPr>
          <w:rFonts w:ascii="Book Antiqua" w:hAnsi="Book Antiqua" w:cs="Segoe UI"/>
          <w:sz w:val="22"/>
          <w:szCs w:val="22"/>
          <w:shd w:val="clear" w:color="auto" w:fill="FFFFFF"/>
        </w:rPr>
        <w:t>avotného postihnutia a o zmene a doplnení niektorých zákonov</w:t>
      </w:r>
      <w:r w:rsidRPr="00D249F0">
        <w:rPr>
          <w:rFonts w:ascii="Book Antiqua" w:hAnsi="Book Antiqua"/>
          <w:sz w:val="22"/>
          <w:szCs w:val="22"/>
        </w:rPr>
        <w:t xml:space="preserve"> </w:t>
      </w:r>
      <w:r w:rsidRPr="00D249F0" w:rsidR="001B1849">
        <w:rPr>
          <w:rFonts w:ascii="Book Antiqua" w:hAnsi="Book Antiqua"/>
          <w:sz w:val="22"/>
          <w:szCs w:val="22"/>
        </w:rPr>
        <w:t>(ďalej</w:t>
      </w:r>
      <w:r w:rsidRPr="00D249F0" w:rsidR="005571D2">
        <w:rPr>
          <w:rFonts w:ascii="Book Antiqua" w:hAnsi="Book Antiqua"/>
          <w:sz w:val="22"/>
          <w:szCs w:val="22"/>
        </w:rPr>
        <w:t xml:space="preserve"> len „návrh zákon</w:t>
      </w:r>
      <w:r w:rsidRPr="00D249F0" w:rsidR="009266AC">
        <w:rPr>
          <w:rFonts w:ascii="Book Antiqua" w:hAnsi="Book Antiqua"/>
          <w:sz w:val="22"/>
          <w:szCs w:val="22"/>
        </w:rPr>
        <w:t>a</w:t>
      </w:r>
      <w:r w:rsidR="004857B5">
        <w:rPr>
          <w:rFonts w:ascii="Book Antiqua" w:hAnsi="Book Antiqua"/>
          <w:sz w:val="22"/>
          <w:szCs w:val="22"/>
        </w:rPr>
        <w:t>“) predkladá</w:t>
      </w:r>
      <w:r w:rsidRPr="00D249F0" w:rsidR="00696780">
        <w:rPr>
          <w:rFonts w:ascii="Book Antiqua" w:hAnsi="Book Antiqua"/>
          <w:sz w:val="22"/>
          <w:szCs w:val="22"/>
        </w:rPr>
        <w:t xml:space="preserve"> do</w:t>
      </w:r>
      <w:r w:rsidRPr="00D249F0" w:rsidR="00C926F5">
        <w:rPr>
          <w:rFonts w:ascii="Book Antiqua" w:hAnsi="Book Antiqua"/>
          <w:sz w:val="22"/>
          <w:szCs w:val="22"/>
        </w:rPr>
        <w:t xml:space="preserve"> legislatívneho procesu</w:t>
      </w:r>
      <w:r w:rsidRPr="00D249F0" w:rsidR="00B309F2">
        <w:rPr>
          <w:rFonts w:ascii="Book Antiqua" w:hAnsi="Book Antiqua"/>
          <w:sz w:val="22"/>
          <w:szCs w:val="22"/>
        </w:rPr>
        <w:t xml:space="preserve"> </w:t>
      </w:r>
      <w:r w:rsidR="004857B5">
        <w:rPr>
          <w:rFonts w:ascii="Book Antiqua" w:hAnsi="Book Antiqua"/>
          <w:sz w:val="22"/>
          <w:szCs w:val="22"/>
        </w:rPr>
        <w:t>skupina poslancov</w:t>
      </w:r>
      <w:r w:rsidRPr="00D249F0" w:rsidR="00C926F5">
        <w:rPr>
          <w:rFonts w:ascii="Book Antiqua" w:hAnsi="Book Antiqua"/>
          <w:sz w:val="22"/>
          <w:szCs w:val="22"/>
        </w:rPr>
        <w:t xml:space="preserve"> </w:t>
      </w:r>
      <w:r w:rsidRPr="00D249F0" w:rsidR="001B1849">
        <w:rPr>
          <w:rFonts w:ascii="Book Antiqua" w:hAnsi="Book Antiqua"/>
          <w:sz w:val="22"/>
          <w:szCs w:val="22"/>
        </w:rPr>
        <w:t>Národnej rad</w:t>
      </w:r>
      <w:r w:rsidRPr="00D249F0" w:rsidR="005F0314">
        <w:rPr>
          <w:rFonts w:ascii="Book Antiqua" w:hAnsi="Book Antiqua"/>
          <w:sz w:val="22"/>
          <w:szCs w:val="22"/>
        </w:rPr>
        <w:t>y Slovenskej republiky</w:t>
      </w:r>
      <w:r w:rsidRPr="00D249F0" w:rsidR="009266AC">
        <w:rPr>
          <w:rFonts w:ascii="Book Antiqua" w:hAnsi="Book Antiqua"/>
          <w:sz w:val="22"/>
          <w:szCs w:val="22"/>
        </w:rPr>
        <w:t>.</w:t>
      </w:r>
    </w:p>
    <w:p w:rsidR="00D5375C" w:rsidP="000D32A5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249F0" w:rsidR="009266AC">
        <w:rPr>
          <w:rFonts w:ascii="Book Antiqua" w:hAnsi="Book Antiqua"/>
          <w:b/>
          <w:sz w:val="22"/>
          <w:szCs w:val="22"/>
        </w:rPr>
        <w:t xml:space="preserve">Cieľom návrhu zákona je </w:t>
      </w:r>
      <w:r>
        <w:rPr>
          <w:rFonts w:ascii="Book Antiqua" w:hAnsi="Book Antiqua"/>
          <w:b/>
          <w:sz w:val="22"/>
          <w:szCs w:val="22"/>
        </w:rPr>
        <w:t>zohľadniť infláciu, zvýšené ceny tovarov a služieb, najmä stavebných materiálov, v roky sa nemeniacich sumách peňažných príspevkov na kompenzáciu ťažkého zdravotného postihnutia (ďalej len „ZŤP“), ako aj pri posudzovaní hodnoty majetku ZŤP osoby, a to konkrétne:</w:t>
      </w:r>
    </w:p>
    <w:p w:rsidR="00D5375C" w:rsidP="00D5375C">
      <w:pPr>
        <w:pStyle w:val="NormalWeb"/>
        <w:numPr>
          <w:ilvl w:val="0"/>
          <w:numId w:val="16"/>
        </w:numPr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zvýšením hodnoty majetku, ktorý môže ZŤP osoba vlastniť popri poberaní peňažných príspevkov, zo sumy 39 833 eur na sumu 50 000 eur,</w:t>
      </w:r>
    </w:p>
    <w:p w:rsidR="00D5375C" w:rsidP="00D5375C">
      <w:pPr>
        <w:pStyle w:val="NormalWeb"/>
        <w:numPr>
          <w:ilvl w:val="0"/>
          <w:numId w:val="16"/>
        </w:numPr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zdvojnásobením terajších súm peňažných príspevkov pri kúpe osobného motorového vozidla,</w:t>
      </w:r>
    </w:p>
    <w:p w:rsidR="00D5375C" w:rsidRPr="00D5375C" w:rsidP="00D5375C">
      <w:pPr>
        <w:pStyle w:val="NormalWeb"/>
        <w:numPr>
          <w:ilvl w:val="0"/>
          <w:numId w:val="16"/>
        </w:numPr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zdvojnásobením terajšej sumy peňažného príspevku na úpravu bytu a rodinného domu.</w:t>
      </w:r>
    </w:p>
    <w:p w:rsidR="0019658F" w:rsidRPr="00D249F0" w:rsidP="00642E1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D249F0" w:rsidR="00AC79CE">
        <w:rPr>
          <w:rFonts w:ascii="Book Antiqua" w:hAnsi="Book Antiqua"/>
          <w:sz w:val="22"/>
          <w:szCs w:val="22"/>
        </w:rPr>
        <w:t>N</w:t>
      </w:r>
      <w:r w:rsidRPr="00D249F0" w:rsidR="00AC79CE">
        <w:rPr>
          <w:rFonts w:ascii="Book Antiqua" w:hAnsi="Book Antiqua"/>
          <w:sz w:val="22"/>
          <w:szCs w:val="22"/>
        </w:rPr>
        <w:t>ávrh z</w:t>
      </w:r>
      <w:r w:rsidR="00EA4FAC">
        <w:rPr>
          <w:rFonts w:ascii="Book Antiqua" w:hAnsi="Book Antiqua"/>
          <w:sz w:val="22"/>
          <w:szCs w:val="22"/>
        </w:rPr>
        <w:t xml:space="preserve">ákona </w:t>
      </w:r>
      <w:r w:rsidRPr="00D249F0" w:rsidR="00642E16">
        <w:rPr>
          <w:rFonts w:ascii="Book Antiqua" w:hAnsi="Book Antiqua"/>
          <w:sz w:val="22"/>
          <w:szCs w:val="22"/>
        </w:rPr>
        <w:t xml:space="preserve">má </w:t>
      </w:r>
      <w:r w:rsidR="00D5375C">
        <w:rPr>
          <w:rFonts w:ascii="Book Antiqua" w:hAnsi="Book Antiqua"/>
          <w:sz w:val="22"/>
          <w:szCs w:val="22"/>
        </w:rPr>
        <w:t xml:space="preserve">negatívny </w:t>
      </w:r>
      <w:r w:rsidRPr="00D249F0" w:rsidR="00642E16">
        <w:rPr>
          <w:rFonts w:ascii="Book Antiqua" w:hAnsi="Book Antiqua"/>
          <w:sz w:val="22"/>
          <w:szCs w:val="22"/>
        </w:rPr>
        <w:t xml:space="preserve">dopad </w:t>
      </w:r>
      <w:r w:rsidRPr="00D249F0" w:rsidR="00AC79CE">
        <w:rPr>
          <w:rFonts w:ascii="Book Antiqua" w:hAnsi="Book Antiqua"/>
          <w:sz w:val="22"/>
          <w:szCs w:val="22"/>
        </w:rPr>
        <w:t>na rozpočet verejnej správy</w:t>
      </w:r>
      <w:r w:rsidRPr="00D249F0" w:rsidR="00223E53">
        <w:rPr>
          <w:rFonts w:ascii="Book Antiqua" w:hAnsi="Book Antiqua"/>
          <w:sz w:val="22"/>
          <w:szCs w:val="22"/>
        </w:rPr>
        <w:t xml:space="preserve">. Nepredpokladá vplyv </w:t>
      </w:r>
      <w:r w:rsidRPr="00D249F0" w:rsidR="00F51036">
        <w:rPr>
          <w:rFonts w:ascii="Book Antiqua" w:hAnsi="Book Antiqua"/>
          <w:sz w:val="22"/>
          <w:szCs w:val="22"/>
        </w:rPr>
        <w:t>na podnikateľské prostredie</w:t>
      </w:r>
      <w:r w:rsidRPr="00D249F0" w:rsidR="00223E53">
        <w:rPr>
          <w:rFonts w:ascii="Book Antiqua" w:hAnsi="Book Antiqua"/>
          <w:sz w:val="22"/>
          <w:szCs w:val="22"/>
        </w:rPr>
        <w:t xml:space="preserve"> ani </w:t>
      </w:r>
      <w:r w:rsidRPr="00D249F0" w:rsidR="009F080A">
        <w:rPr>
          <w:rFonts w:ascii="Book Antiqua" w:hAnsi="Book Antiqua"/>
          <w:sz w:val="22"/>
          <w:szCs w:val="22"/>
        </w:rPr>
        <w:t>na životné prostredie</w:t>
      </w:r>
      <w:r w:rsidR="00EA4FAC">
        <w:rPr>
          <w:rFonts w:ascii="Book Antiqua" w:hAnsi="Book Antiqua"/>
          <w:sz w:val="22"/>
          <w:szCs w:val="22"/>
        </w:rPr>
        <w:t xml:space="preserve">, avšak </w:t>
      </w:r>
      <w:r w:rsidRPr="00D249F0" w:rsidR="00207834">
        <w:rPr>
          <w:rFonts w:ascii="Book Antiqua" w:hAnsi="Book Antiqua"/>
          <w:sz w:val="22"/>
          <w:szCs w:val="22"/>
        </w:rPr>
        <w:t>vyvoláva</w:t>
      </w:r>
      <w:r w:rsidRPr="00D249F0" w:rsidR="008949D7">
        <w:rPr>
          <w:rFonts w:ascii="Book Antiqua" w:hAnsi="Book Antiqua"/>
          <w:sz w:val="22"/>
          <w:szCs w:val="22"/>
        </w:rPr>
        <w:t xml:space="preserve"> </w:t>
      </w:r>
      <w:r w:rsidR="00EA4FAC">
        <w:rPr>
          <w:rFonts w:ascii="Book Antiqua" w:hAnsi="Book Antiqua"/>
          <w:sz w:val="22"/>
          <w:szCs w:val="22"/>
        </w:rPr>
        <w:t xml:space="preserve">pozitívne </w:t>
      </w:r>
      <w:r w:rsidRPr="00D249F0" w:rsidR="008949D7">
        <w:rPr>
          <w:rFonts w:ascii="Book Antiqua" w:hAnsi="Book Antiqua"/>
          <w:sz w:val="22"/>
          <w:szCs w:val="22"/>
        </w:rPr>
        <w:t>sociálne vplyvy</w:t>
      </w:r>
      <w:r w:rsidRPr="00D249F0" w:rsidR="009F080A">
        <w:rPr>
          <w:rFonts w:ascii="Book Antiqua" w:hAnsi="Book Antiqua"/>
          <w:sz w:val="22"/>
          <w:szCs w:val="22"/>
        </w:rPr>
        <w:t>.</w:t>
      </w:r>
      <w:r w:rsidRPr="00D249F0" w:rsidR="00223E53">
        <w:rPr>
          <w:rFonts w:ascii="Book Antiqua" w:hAnsi="Book Antiqua"/>
          <w:sz w:val="22"/>
          <w:szCs w:val="22"/>
        </w:rPr>
        <w:t xml:space="preserve"> Návrh zákona </w:t>
      </w:r>
      <w:r w:rsidRPr="00D249F0" w:rsidR="00112B92">
        <w:rPr>
          <w:rFonts w:ascii="Book Antiqua" w:hAnsi="Book Antiqua"/>
          <w:sz w:val="22"/>
          <w:szCs w:val="22"/>
        </w:rPr>
        <w:t>nebude mať</w:t>
      </w:r>
      <w:r w:rsidRPr="00D249F0" w:rsidR="00223E53">
        <w:rPr>
          <w:rFonts w:ascii="Book Antiqua" w:hAnsi="Book Antiqua"/>
          <w:sz w:val="22"/>
          <w:szCs w:val="22"/>
        </w:rPr>
        <w:t xml:space="preserve"> vplyv </w:t>
      </w:r>
      <w:r w:rsidRPr="00D249F0" w:rsidR="00642E16">
        <w:rPr>
          <w:rFonts w:ascii="Book Antiqua" w:hAnsi="Book Antiqua"/>
          <w:sz w:val="22"/>
          <w:szCs w:val="22"/>
        </w:rPr>
        <w:t xml:space="preserve">ani </w:t>
      </w:r>
      <w:r w:rsidRPr="00D249F0" w:rsidR="00223E53">
        <w:rPr>
          <w:rFonts w:ascii="Book Antiqua" w:hAnsi="Book Antiqua"/>
          <w:sz w:val="22"/>
          <w:szCs w:val="22"/>
        </w:rPr>
        <w:t>na infor</w:t>
      </w:r>
      <w:r w:rsidRPr="00D249F0">
        <w:rPr>
          <w:rFonts w:ascii="Book Antiqua" w:hAnsi="Book Antiqua"/>
          <w:sz w:val="22"/>
          <w:szCs w:val="22"/>
        </w:rPr>
        <w:t>matizáciu spoločnosti.</w:t>
      </w:r>
    </w:p>
    <w:p w:rsidR="00080448" w:rsidRP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D249F0" w:rsidR="009F080A">
        <w:rPr>
          <w:rFonts w:ascii="Book Antiqua" w:hAnsi="Book Antiqua"/>
          <w:sz w:val="22"/>
          <w:szCs w:val="22"/>
        </w:rPr>
        <w:t>Návrh zákona j</w:t>
      </w:r>
      <w:r w:rsidRPr="00D249F0" w:rsidR="009F080A">
        <w:rPr>
          <w:rFonts w:ascii="Book Antiqua" w:hAnsi="Book Antiqua"/>
          <w:sz w:val="22"/>
          <w:szCs w:val="22"/>
        </w:rPr>
        <w:t>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19658F" w:rsidRP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19658F" w:rsidRP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19658F" w:rsidRP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19658F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666EB8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666EB8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EA4FAC" w:rsidP="00EA4FA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5375C" w:rsidP="00EA4FA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5375C" w:rsidP="00EA4FA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5375C" w:rsidP="00EA4FA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5375C" w:rsidRPr="00D249F0" w:rsidP="00EA4FA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D249F0" w:rsidP="002F6AD6">
      <w:pPr>
        <w:numPr>
          <w:ilvl w:val="0"/>
          <w:numId w:val="1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 xml:space="preserve"> Osobitná časť</w:t>
      </w:r>
    </w:p>
    <w:p w:rsidR="00706F69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42E16" w:rsidRPr="00D249F0" w:rsidP="00642E16">
      <w:pPr>
        <w:pStyle w:val="NormalWeb"/>
        <w:tabs>
          <w:tab w:val="left" w:pos="2505"/>
        </w:tabs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249F0" w:rsidR="00706F69">
        <w:rPr>
          <w:rFonts w:ascii="Book Antiqua" w:hAnsi="Book Antiqua"/>
          <w:b/>
          <w:bCs/>
          <w:sz w:val="22"/>
          <w:szCs w:val="22"/>
        </w:rPr>
        <w:t>K Čl. I</w:t>
      </w:r>
    </w:p>
    <w:p w:rsidR="00642E16" w:rsidRPr="00D76E7A" w:rsidP="002F6AD6">
      <w:pPr>
        <w:pStyle w:val="NormalWeb"/>
        <w:tabs>
          <w:tab w:val="left" w:pos="2505"/>
        </w:tabs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D76E7A" w:rsidR="00112B92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D76E7A" w:rsidRPr="00D76E7A" w:rsidP="00D76E7A">
      <w:pPr>
        <w:pStyle w:val="NormalWeb"/>
        <w:tabs>
          <w:tab w:val="left" w:pos="0"/>
        </w:tabs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ab/>
      </w:r>
      <w:r w:rsidRPr="00D76E7A">
        <w:rPr>
          <w:rFonts w:ascii="Book Antiqua" w:hAnsi="Book Antiqua"/>
          <w:sz w:val="22"/>
          <w:szCs w:val="22"/>
        </w:rPr>
        <w:t>Navrhuje sa zvýšiť maximálnu možná hodnota majet</w:t>
      </w:r>
      <w:r>
        <w:rPr>
          <w:rFonts w:ascii="Book Antiqua" w:hAnsi="Book Antiqua"/>
          <w:sz w:val="22"/>
          <w:szCs w:val="22"/>
        </w:rPr>
        <w:t>ku, ktorú môže vlastniť osoba s ťažkým</w:t>
      </w:r>
      <w:r w:rsidRPr="00D76E7A">
        <w:rPr>
          <w:rFonts w:ascii="Book Antiqua" w:hAnsi="Book Antiqua"/>
          <w:sz w:val="22"/>
          <w:szCs w:val="22"/>
        </w:rPr>
        <w:t xml:space="preserve"> zdravotným postihnutím žiadajúca o peňažný príspevok na kompenzáciu ťažkého zdravotného postihnutia na sumu 50 000 eur. V nadväznosti n</w:t>
      </w:r>
      <w:r w:rsidRPr="00D76E7A">
        <w:rPr>
          <w:rFonts w:ascii="Book Antiqua" w:hAnsi="Book Antiqua"/>
          <w:sz w:val="22"/>
          <w:szCs w:val="22"/>
        </w:rPr>
        <w:t xml:space="preserve">a túto zmenu </w:t>
      </w:r>
      <w:r>
        <w:rPr>
          <w:rFonts w:ascii="Book Antiqua" w:hAnsi="Book Antiqua"/>
          <w:sz w:val="22"/>
          <w:szCs w:val="22"/>
        </w:rPr>
        <w:t xml:space="preserve">v § 18 ods. 18 (vyhlásenie o majetku) zákona </w:t>
      </w:r>
      <w:r w:rsidRPr="00D76E7A">
        <w:rPr>
          <w:rFonts w:ascii="Book Antiqua" w:hAnsi="Book Antiqua"/>
          <w:sz w:val="22"/>
          <w:szCs w:val="22"/>
        </w:rPr>
        <w:t>sa primerane u</w:t>
      </w:r>
      <w:r>
        <w:rPr>
          <w:rFonts w:ascii="Book Antiqua" w:hAnsi="Book Antiqua"/>
          <w:sz w:val="22"/>
          <w:szCs w:val="22"/>
        </w:rPr>
        <w:t>pravia ustanovenia § 41 ods. 11 (sankčný postih) a § 57 ods. 1 písm. d) (oznámenie o zmenách v hodnote majetku).</w:t>
      </w:r>
    </w:p>
    <w:p w:rsidR="00D76E7A" w:rsidP="002F6AD6">
      <w:pPr>
        <w:pStyle w:val="NormalWeb"/>
        <w:tabs>
          <w:tab w:val="left" w:pos="2505"/>
        </w:tabs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bodom 2 a 3</w:t>
      </w:r>
    </w:p>
    <w:p w:rsidR="00D76E7A" w:rsidP="00D76E7A">
      <w:pPr>
        <w:pStyle w:val="NormalWeb"/>
        <w:tabs>
          <w:tab w:val="left" w:pos="0"/>
        </w:tabs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180464">
        <w:rPr>
          <w:rFonts w:ascii="Book Antiqua" w:hAnsi="Book Antiqua"/>
          <w:bCs/>
          <w:sz w:val="22"/>
          <w:szCs w:val="22"/>
        </w:rPr>
        <w:tab/>
        <w:t xml:space="preserve">Súčasná suma peňažného príspevku na úpravu bytu alebo rodinného domu vo výške cca 6 600 eur absolútne nezodpovedá dramatickému zvýšeniu cien tovarov a služieb v stavebníctve, a to osobitne pri úpravách bytov alebo domov, ktoré sú potrebné pri ZŤP osobách. Aktuálne ceny priemerne rozsiahlej úpravy </w:t>
      </w:r>
      <w:r w:rsidR="00B91FB7">
        <w:rPr>
          <w:rFonts w:ascii="Book Antiqua" w:hAnsi="Book Antiqua"/>
          <w:bCs/>
          <w:sz w:val="22"/>
          <w:szCs w:val="22"/>
        </w:rPr>
        <w:t xml:space="preserve">napr. </w:t>
      </w:r>
      <w:r w:rsidR="00180464">
        <w:rPr>
          <w:rFonts w:ascii="Book Antiqua" w:hAnsi="Book Antiqua"/>
          <w:bCs/>
          <w:sz w:val="22"/>
          <w:szCs w:val="22"/>
        </w:rPr>
        <w:t>panelákového bytu na bezbariérový sa pohybujú na úrovni cca 30 000 eur, čiže ani pri navrhovanom zdvojnásobení uvedenej sumy peňažného príspevku sa nedosiahne pokrytie aspoň 50% nákladov na takúto úpravu. ZŤP osobám však zvýšenie s</w:t>
      </w:r>
      <w:r w:rsidR="00B91FB7">
        <w:rPr>
          <w:rFonts w:ascii="Book Antiqua" w:hAnsi="Book Antiqua"/>
          <w:bCs/>
          <w:sz w:val="22"/>
          <w:szCs w:val="22"/>
        </w:rPr>
        <w:t xml:space="preserve">umy peňažného príspevku </w:t>
      </w:r>
      <w:r w:rsidR="00180464">
        <w:rPr>
          <w:rFonts w:ascii="Book Antiqua" w:hAnsi="Book Antiqua"/>
          <w:bCs/>
          <w:sz w:val="22"/>
          <w:szCs w:val="22"/>
        </w:rPr>
        <w:t>pomôže, n</w:t>
      </w:r>
      <w:r w:rsidR="00180464">
        <w:rPr>
          <w:rFonts w:ascii="Book Antiqua" w:hAnsi="Book Antiqua"/>
          <w:bCs/>
          <w:sz w:val="22"/>
          <w:szCs w:val="22"/>
        </w:rPr>
        <w:t>ajmä pri menších úpravách bytu.</w:t>
      </w:r>
    </w:p>
    <w:p w:rsidR="00180464" w:rsidRPr="00180464" w:rsidP="00D76E7A">
      <w:pPr>
        <w:pStyle w:val="NormalWeb"/>
        <w:tabs>
          <w:tab w:val="left" w:pos="0"/>
        </w:tabs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Podobne, dlhodobo sa zvažuje zvýšenie sumy peňažného príspevku na kúpu osobného motorového vozidla, pretože súčasné sumy cca 6 600 eur (vozidlo s manuálnou prevodovkou) a cca 8 300 eur (vozidlo s automatickou prevodovkou) n</w:t>
      </w:r>
      <w:r>
        <w:rPr>
          <w:rFonts w:ascii="Book Antiqua" w:hAnsi="Book Antiqua"/>
          <w:bCs/>
          <w:sz w:val="22"/>
          <w:szCs w:val="22"/>
        </w:rPr>
        <w:t>ezodpovedajú nárastom cien automobilov na trhu</w:t>
      </w:r>
      <w:r w:rsidR="00B91FB7">
        <w:rPr>
          <w:rFonts w:ascii="Book Antiqua" w:hAnsi="Book Antiqua"/>
          <w:bCs/>
          <w:sz w:val="22"/>
          <w:szCs w:val="22"/>
        </w:rPr>
        <w:t xml:space="preserve">. </w:t>
      </w:r>
      <w:r>
        <w:rPr>
          <w:rFonts w:ascii="Book Antiqua" w:hAnsi="Book Antiqua"/>
          <w:bCs/>
          <w:sz w:val="22"/>
          <w:szCs w:val="22"/>
        </w:rPr>
        <w:t>Ak si predstavíme ZŤP osobu s elektrickým vozíčkom</w:t>
      </w:r>
      <w:r w:rsidR="00B91FB7">
        <w:rPr>
          <w:rFonts w:ascii="Book Antiqua" w:hAnsi="Book Antiqua"/>
          <w:bCs/>
          <w:sz w:val="22"/>
          <w:szCs w:val="22"/>
        </w:rPr>
        <w:t>, ktorý si so sebou preváža napr. do zamestnania, čiže na to potrebuje vozidlo typu menšej dodávky, ako aj riadenie pomocou rúk namiesto nôh, čo si zase vyžaduje auto s vyššou kubatúrou a automatickou prevodovkou, dostaneme sa k sumám vozidiel začínajúcich od úrovne cca 25 000 eur vyššie. Zdvojnásobením sumy umožníme ZŤP osobám pokryť približne polovicu nákladov na kúpu osobného motorového vozidla, čo z hľadiska pomoci tejto skupine obyvateľstva dáva väčší zmysel ako terajšia symbolická pomoc.</w:t>
      </w:r>
    </w:p>
    <w:p w:rsidR="00D76E7A" w:rsidRPr="00D249F0" w:rsidP="002F6AD6">
      <w:pPr>
        <w:pStyle w:val="NormalWeb"/>
        <w:tabs>
          <w:tab w:val="left" w:pos="2505"/>
        </w:tabs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  <w:u w:val="single"/>
        </w:rPr>
        <w:t>K bodu 4</w:t>
      </w:r>
    </w:p>
    <w:p w:rsidR="00D76E7A" w:rsidRPr="00D76E7A" w:rsidP="00D76E7A">
      <w:pPr>
        <w:pStyle w:val="NormalWeb"/>
        <w:tabs>
          <w:tab w:val="left" w:pos="0"/>
        </w:tabs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E502F6"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 xml:space="preserve">Účelom prechodného ustanovenia je zohľadniť navrhovanú právnu úpravu už na prípady, v ktorých začalo konanie o priznanie </w:t>
      </w:r>
      <w:r>
        <w:rPr>
          <w:rFonts w:ascii="Book Antiqua" w:hAnsi="Book Antiqua"/>
          <w:bCs/>
          <w:sz w:val="22"/>
          <w:szCs w:val="22"/>
        </w:rPr>
        <w:t>peňažného príspevku pred nadobudnutím účinnosti návrhu zákona, ale do nadobudnutia jeho účinnosti sa právoplatne neskončilo. Opačný prístup by viedol k tomu, že by si ZŤP osoby sťahovali a znovu podávali žiadosti o poskytnutie peňažného príspevku, čo by neúmerne zvýšilo administráciu tohto druhu pomoci.</w:t>
      </w:r>
    </w:p>
    <w:p w:rsidR="00EA4FAC" w:rsidRPr="00D249F0" w:rsidP="00EA4FAC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K Čl. II</w:t>
      </w:r>
    </w:p>
    <w:p w:rsidR="003346A6" w:rsidP="00B91FB7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249F0" w:rsidR="00706F69">
        <w:rPr>
          <w:rFonts w:ascii="Book Antiqua" w:hAnsi="Book Antiqua"/>
          <w:bCs/>
          <w:sz w:val="22"/>
          <w:szCs w:val="22"/>
        </w:rPr>
        <w:t>Navrhuje sa účinnosť predkladaného zákona so zohľadnením le</w:t>
      </w:r>
      <w:r w:rsidRPr="00D249F0" w:rsidR="00815EDB">
        <w:rPr>
          <w:rFonts w:ascii="Book Antiqua" w:hAnsi="Book Antiqua"/>
          <w:bCs/>
          <w:sz w:val="22"/>
          <w:szCs w:val="22"/>
        </w:rPr>
        <w:t>gisvakančnej lehoty, a</w:t>
      </w:r>
      <w:r w:rsidRPr="00D249F0" w:rsidR="00473E18">
        <w:rPr>
          <w:rFonts w:ascii="Book Antiqua" w:hAnsi="Book Antiqua"/>
          <w:bCs/>
          <w:sz w:val="22"/>
          <w:szCs w:val="22"/>
        </w:rPr>
        <w:t xml:space="preserve"> to </w:t>
      </w:r>
      <w:r w:rsidRPr="00D249F0" w:rsidR="00311BBC">
        <w:rPr>
          <w:rFonts w:ascii="Book Antiqua" w:hAnsi="Book Antiqua"/>
          <w:bCs/>
          <w:sz w:val="22"/>
          <w:szCs w:val="22"/>
        </w:rPr>
        <w:t xml:space="preserve">od </w:t>
      </w:r>
      <w:r w:rsidRPr="00D249F0" w:rsidR="00223E53">
        <w:rPr>
          <w:rFonts w:ascii="Book Antiqua" w:hAnsi="Book Antiqua"/>
          <w:bCs/>
          <w:sz w:val="22"/>
          <w:szCs w:val="22"/>
        </w:rPr>
        <w:t xml:space="preserve">1. </w:t>
      </w:r>
      <w:r w:rsidR="00D76E7A">
        <w:rPr>
          <w:rFonts w:ascii="Book Antiqua" w:hAnsi="Book Antiqua"/>
          <w:bCs/>
          <w:sz w:val="22"/>
          <w:szCs w:val="22"/>
        </w:rPr>
        <w:t>augusta 2023</w:t>
      </w:r>
      <w:r w:rsidRPr="00D249F0" w:rsidR="00473E18">
        <w:rPr>
          <w:rFonts w:ascii="Book Antiqua" w:hAnsi="Book Antiqua"/>
          <w:bCs/>
          <w:sz w:val="22"/>
          <w:szCs w:val="22"/>
        </w:rPr>
        <w:t>.</w:t>
      </w:r>
    </w:p>
    <w:p w:rsidR="00B91FB7" w:rsidRPr="00B91FB7" w:rsidP="00B91FB7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návrhu zákona</w:t>
      </w:r>
      <w:r w:rsidRPr="00EF19E6">
        <w:rPr>
          <w:rFonts w:ascii="Book Antiqua" w:hAnsi="Book Antiqua"/>
          <w:sz w:val="22"/>
          <w:szCs w:val="22"/>
        </w:rPr>
        <w:t xml:space="preserve"> </w:t>
      </w:r>
      <w:r w:rsidRPr="00EF19E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sz w:val="22"/>
          <w:szCs w:val="22"/>
        </w:rPr>
        <w:t> </w:t>
      </w:r>
    </w:p>
    <w:p w:rsidR="00D249F0" w:rsidRPr="00EF19E6" w:rsidP="00D249F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Navrhovateľ zákona:</w:t>
      </w:r>
      <w:r w:rsidRPr="00EF19E6">
        <w:rPr>
          <w:rFonts w:ascii="Book Antiqua" w:hAnsi="Book Antiqua"/>
          <w:sz w:val="22"/>
          <w:szCs w:val="22"/>
        </w:rPr>
        <w:t xml:space="preserve"> </w:t>
      </w:r>
      <w:r w:rsidR="003346A6">
        <w:rPr>
          <w:rFonts w:ascii="Book Antiqua" w:hAnsi="Book Antiqua"/>
          <w:sz w:val="22"/>
          <w:szCs w:val="22"/>
        </w:rPr>
        <w:t>skupina poslancov</w:t>
      </w:r>
      <w:r w:rsidRPr="00EF19E6">
        <w:rPr>
          <w:rFonts w:ascii="Book Antiqua" w:hAnsi="Book Antiqua"/>
          <w:sz w:val="22"/>
          <w:szCs w:val="22"/>
        </w:rPr>
        <w:t xml:space="preserve"> Nár</w:t>
      </w:r>
      <w:r w:rsidR="003346A6">
        <w:rPr>
          <w:rFonts w:ascii="Book Antiqua" w:hAnsi="Book Antiqua"/>
          <w:sz w:val="22"/>
          <w:szCs w:val="22"/>
        </w:rPr>
        <w:t>odnej rady Slovenskej republiky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sz w:val="22"/>
          <w:szCs w:val="22"/>
        </w:rPr>
        <w:t> </w:t>
      </w:r>
    </w:p>
    <w:p w:rsidR="00D249F0" w:rsidRPr="00EF19E6" w:rsidP="00D249F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Názov návrhu zákona</w:t>
      </w:r>
      <w:r w:rsidRPr="00EF19E6">
        <w:rPr>
          <w:rFonts w:ascii="Book Antiqua" w:hAnsi="Book Antiqua"/>
          <w:bCs/>
          <w:sz w:val="22"/>
          <w:szCs w:val="22"/>
        </w:rPr>
        <w:t xml:space="preserve">: </w:t>
      </w:r>
      <w:r w:rsidR="003346A6">
        <w:rPr>
          <w:rFonts w:ascii="Book Antiqua" w:hAnsi="Book Antiqua"/>
          <w:bCs/>
          <w:sz w:val="22"/>
          <w:szCs w:val="22"/>
        </w:rPr>
        <w:t xml:space="preserve">zákon, </w:t>
      </w:r>
      <w:r w:rsidRPr="004857B5" w:rsidR="003346A6">
        <w:rPr>
          <w:rFonts w:ascii="Book Antiqua" w:hAnsi="Book Antiqua"/>
          <w:sz w:val="22"/>
          <w:szCs w:val="22"/>
        </w:rPr>
        <w:t xml:space="preserve">ktorým sa mení a dopĺňa zákon </w:t>
      </w:r>
      <w:r w:rsidR="003346A6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</w:t>
      </w:r>
      <w:hyperlink r:id="rId5" w:tooltip="Odkaz na predpis alebo ustanovenie" w:history="1">
        <w:r w:rsidRPr="004857B5" w:rsidR="003346A6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Pr="004857B5" w:rsidR="003346A6">
        <w:rPr>
          <w:rFonts w:ascii="Book Antiqua" w:hAnsi="Book Antiqua" w:cs="Segoe UI"/>
          <w:sz w:val="22"/>
          <w:szCs w:val="22"/>
          <w:shd w:val="clear" w:color="auto" w:fill="FFFFFF"/>
        </w:rPr>
        <w:t> o peňažných príspevkoch na kompenzáciu ťažkého zdravotného postihnutia a o zmene a doplnení niektorých zákonov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D249F0" w:rsidRPr="00EF19E6" w:rsidP="00D249F0">
      <w:pPr>
        <w:pStyle w:val="NormalWeb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EF19E6">
        <w:rPr>
          <w:rFonts w:ascii="Book Antiqua" w:hAnsi="Book Antiqua"/>
          <w:b/>
          <w:bCs/>
          <w:sz w:val="22"/>
          <w:szCs w:val="22"/>
        </w:rPr>
        <w:t>3. </w:t>
      </w:r>
      <w:r>
        <w:rPr>
          <w:rFonts w:ascii="Book Antiqua" w:hAnsi="Book Antiqua"/>
          <w:b/>
          <w:bCs/>
          <w:sz w:val="22"/>
          <w:szCs w:val="22"/>
        </w:rPr>
        <w:tab/>
      </w:r>
      <w:r w:rsidRPr="00EF19E6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D249F0" w:rsidRPr="00EF19E6" w:rsidP="00D249F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D249F0" w:rsidRPr="00EF19E6" w:rsidP="00D249F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D249F0" w:rsidRPr="00EF19E6" w:rsidP="00D249F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112B92" w:rsidRPr="00D249F0" w:rsidP="00D249F0">
      <w:pPr>
        <w:tabs>
          <w:tab w:val="num" w:pos="1080"/>
        </w:tabs>
        <w:autoSpaceDE w:val="0"/>
        <w:autoSpaceDN w:val="0"/>
        <w:spacing w:before="120" w:line="276" w:lineRule="auto"/>
        <w:ind w:left="360"/>
        <w:jc w:val="both"/>
        <w:rPr>
          <w:rFonts w:ascii="Book Antiqua" w:hAnsi="Book Antiqua"/>
          <w:b/>
          <w:sz w:val="22"/>
          <w:szCs w:val="22"/>
          <w:lang w:eastAsia="en-US"/>
        </w:rPr>
      </w:pPr>
      <w:r w:rsidRPr="00EF19E6" w:rsidR="00D249F0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112B92" w:rsidRPr="00D249F0" w:rsidP="002F6AD6">
      <w:pPr>
        <w:tabs>
          <w:tab w:val="num" w:pos="1080"/>
        </w:tabs>
        <w:spacing w:before="120" w:line="276" w:lineRule="auto"/>
        <w:ind w:left="720" w:hanging="420"/>
        <w:jc w:val="both"/>
        <w:rPr>
          <w:rFonts w:ascii="Book Antiqua" w:hAnsi="Book Antiqua"/>
          <w:b/>
          <w:sz w:val="22"/>
          <w:szCs w:val="22"/>
          <w:lang w:eastAsia="en-US"/>
        </w:rPr>
      </w:pPr>
      <w:r w:rsidRPr="00D249F0">
        <w:rPr>
          <w:rFonts w:ascii="Book Antiqua" w:hAnsi="Book Antiqua"/>
          <w:b/>
          <w:sz w:val="22"/>
          <w:szCs w:val="22"/>
          <w:lang w:eastAsia="en-US"/>
        </w:rPr>
        <w:t xml:space="preserve">        </w:t>
      </w:r>
    </w:p>
    <w:p w:rsidR="00112B92" w:rsidRPr="00D249F0" w:rsidP="002F6AD6">
      <w:pPr>
        <w:spacing w:before="120" w:line="276" w:lineRule="auto"/>
        <w:ind w:hanging="426"/>
        <w:jc w:val="center"/>
        <w:rPr>
          <w:rFonts w:ascii="Book Antiqua" w:hAnsi="Book Antiqua"/>
          <w:bCs/>
          <w:sz w:val="22"/>
          <w:szCs w:val="22"/>
          <w:lang w:eastAsia="en-US"/>
        </w:rPr>
      </w:pPr>
    </w:p>
    <w:p w:rsidR="00112B92" w:rsidRPr="00D249F0" w:rsidP="002F6AD6">
      <w:pPr>
        <w:spacing w:before="120" w:line="276" w:lineRule="auto"/>
        <w:ind w:hanging="426"/>
        <w:jc w:val="both"/>
        <w:rPr>
          <w:rFonts w:ascii="Book Antiqua" w:hAnsi="Book Antiqua"/>
          <w:sz w:val="22"/>
          <w:szCs w:val="22"/>
          <w:lang w:eastAsia="en-US"/>
        </w:rPr>
      </w:pPr>
    </w:p>
    <w:p w:rsidR="00112B92" w:rsidRPr="00D249F0" w:rsidP="002F6AD6">
      <w:pPr>
        <w:autoSpaceDE w:val="0"/>
        <w:autoSpaceDN w:val="0"/>
        <w:adjustRightInd w:val="0"/>
        <w:spacing w:before="120" w:line="276" w:lineRule="auto"/>
        <w:ind w:left="426" w:hanging="357"/>
        <w:rPr>
          <w:rFonts w:ascii="Book Antiqua" w:hAnsi="Book Antiqua"/>
          <w:sz w:val="22"/>
          <w:szCs w:val="22"/>
          <w:lang w:eastAsia="en-US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249F0" w:rsidR="00AA442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D249F0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sz w:val="22"/>
          <w:szCs w:val="22"/>
        </w:rPr>
        <w:t> </w:t>
      </w:r>
    </w:p>
    <w:p w:rsidR="00D249F0" w:rsidP="00D249F0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249F0" w:rsidR="007C2704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D249F0" w:rsidR="0073575B">
        <w:rPr>
          <w:rFonts w:ascii="Book Antiqua" w:hAnsi="Book Antiqua"/>
          <w:sz w:val="22"/>
          <w:szCs w:val="22"/>
        </w:rPr>
        <w:t>n</w:t>
      </w:r>
      <w:r w:rsidRPr="00D249F0" w:rsidR="00112B92">
        <w:rPr>
          <w:rFonts w:ascii="Book Antiqua" w:hAnsi="Book Antiqua"/>
          <w:sz w:val="22"/>
          <w:szCs w:val="22"/>
        </w:rPr>
        <w:t xml:space="preserve">ávrh </w:t>
      </w:r>
      <w:r w:rsidR="003346A6">
        <w:rPr>
          <w:rFonts w:ascii="Book Antiqua" w:hAnsi="Book Antiqua"/>
          <w:sz w:val="22"/>
          <w:szCs w:val="22"/>
        </w:rPr>
        <w:t xml:space="preserve">zákona, </w:t>
      </w:r>
      <w:r w:rsidRPr="004857B5" w:rsidR="003346A6">
        <w:rPr>
          <w:rFonts w:ascii="Book Antiqua" w:hAnsi="Book Antiqua"/>
          <w:sz w:val="22"/>
          <w:szCs w:val="22"/>
        </w:rPr>
        <w:t xml:space="preserve">ktorým sa mení a dopĺňa zákon </w:t>
      </w:r>
      <w:r w:rsidR="003346A6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</w:t>
      </w:r>
      <w:hyperlink r:id="rId5" w:tooltip="Odkaz na predpis alebo ustanovenie" w:history="1">
        <w:r w:rsidRPr="004857B5" w:rsidR="003346A6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Pr="004857B5" w:rsidR="003346A6">
        <w:rPr>
          <w:rFonts w:ascii="Book Antiqua" w:hAnsi="Book Antiqua" w:cs="Segoe UI"/>
          <w:sz w:val="22"/>
          <w:szCs w:val="22"/>
          <w:shd w:val="clear" w:color="auto" w:fill="FFFFFF"/>
        </w:rPr>
        <w:t> o peňažných príspevkoch na kompenzáciu ťažkého zdravotného postihnutia a o zmene a doplnení niektorých zákonov</w:t>
      </w:r>
    </w:p>
    <w:p w:rsidR="000156D3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D249F0">
        <w:rPr>
          <w:rFonts w:ascii="Book Antiqua" w:hAnsi="Book Antiqua"/>
          <w:sz w:val="22"/>
          <w:szCs w:val="22"/>
        </w:rPr>
        <w:t xml:space="preserve"> </w:t>
      </w:r>
      <w:r w:rsidRPr="00D249F0">
        <w:rPr>
          <w:rFonts w:ascii="Book Antiqua" w:hAnsi="Book Antiqua"/>
          <w:i/>
          <w:iCs/>
          <w:sz w:val="22"/>
          <w:szCs w:val="22"/>
        </w:rPr>
        <w:t>bezpredmetné</w:t>
      </w:r>
    </w:p>
    <w:p w:rsidR="000156D3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00"/>
      </w:tblPr>
      <w:tblGrid>
        <w:gridCol w:w="5518"/>
        <w:gridCol w:w="1192"/>
        <w:gridCol w:w="1181"/>
        <w:gridCol w:w="1197"/>
      </w:tblGrid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346A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 w:rsidR="00815ED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346A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  <w:r w:rsidR="003346A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346A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 w:rsidR="00112B9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0156D3" w:rsidP="00D249F0">
      <w:pPr>
        <w:pStyle w:val="NormalWeb"/>
        <w:spacing w:before="120" w:beforeAutospacing="0" w:after="0" w:afterAutospacing="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C2704" w:rsidRPr="00D249F0" w:rsidP="00D249F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A.3. Poznámky</w:t>
      </w:r>
    </w:p>
    <w:p w:rsidR="00144FA7" w:rsidRPr="0038212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D249F0" w:rsidR="00D249F0">
        <w:rPr>
          <w:rFonts w:ascii="Book Antiqua" w:hAnsi="Book Antiqua"/>
          <w:i/>
          <w:sz w:val="22"/>
          <w:szCs w:val="22"/>
        </w:rPr>
        <w:t xml:space="preserve">Návrh zákona </w:t>
      </w:r>
      <w:r w:rsidR="003346A6">
        <w:rPr>
          <w:rFonts w:ascii="Book Antiqua" w:hAnsi="Book Antiqua"/>
          <w:i/>
          <w:sz w:val="22"/>
          <w:szCs w:val="22"/>
        </w:rPr>
        <w:t xml:space="preserve">má negatívny dopad na </w:t>
      </w:r>
      <w:r w:rsidR="00B2724A">
        <w:rPr>
          <w:rFonts w:ascii="Book Antiqua" w:hAnsi="Book Antiqua"/>
          <w:i/>
          <w:sz w:val="22"/>
          <w:szCs w:val="22"/>
        </w:rPr>
        <w:t>rozp</w:t>
      </w:r>
      <w:r w:rsidR="004E3FEA">
        <w:rPr>
          <w:rFonts w:ascii="Book Antiqua" w:hAnsi="Book Antiqua"/>
          <w:i/>
          <w:sz w:val="22"/>
          <w:szCs w:val="22"/>
        </w:rPr>
        <w:t xml:space="preserve">očet verejnej správy. Podľa informácií z Ústredia práce, sociálnych vecí a rodiny SR využilo peňažný príspevok na kúpu auta  1 138 osôb v celkovej výške 7 744 566,33 eur. Ak sa táto suma v zmysle návrhu zákona zdvojnásobí, bude uvedená suma predstavovať negatívny dopad na rozpočet verejnej správy. Ak pri chýbajúcej štatistike odhadneme, že to isté platí aj pre peňažný príspevok na úpravu bytu a tiež pri zvýšení hodnoty majetku, čo rozšíri okruh oprávnených osôb – poberateľov peňažného príspevku, celkové dopady na rok 2023 a nasledujúce tri rozpočtové roky možno v hrubom odhadnúť na 15-20 mil. eur ročne. </w:t>
      </w:r>
      <w:r w:rsidRPr="00074A10" w:rsidR="00382120">
        <w:rPr>
          <w:rFonts w:ascii="Book Antiqua" w:hAnsi="Book Antiqua"/>
          <w:i/>
          <w:sz w:val="22"/>
        </w:rPr>
        <w:t xml:space="preserve">Tento výpadok v štátnom rozpočte navrhujeme uhradiť z rozpočtovej rezervy (VPS) na riešenie vplyvov legislatívnych zmien, kde je </w:t>
      </w:r>
      <w:r w:rsidRPr="00382120" w:rsidR="00382120">
        <w:rPr>
          <w:rFonts w:ascii="Book Antiqua" w:hAnsi="Book Antiqua"/>
          <w:i/>
          <w:sz w:val="22"/>
        </w:rPr>
        <w:t xml:space="preserve">alokovaných </w:t>
      </w:r>
      <w:r w:rsidRPr="00382120" w:rsidR="00382120">
        <w:rPr>
          <w:rFonts w:ascii="Book Antiqua" w:hAnsi="Book Antiqua" w:cs="Arial"/>
          <w:i/>
          <w:color w:val="222222"/>
          <w:sz w:val="22"/>
          <w:shd w:val="clear" w:color="auto" w:fill="FFFFFF"/>
        </w:rPr>
        <w:t>857 992 282 €.</w:t>
      </w:r>
    </w:p>
    <w:p w:rsidR="003346A6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Na druhej strane návrh zákona bude mať pozitívny sociálny vplyv na tie fyzické osoby s ťažkým zdravotným postihnutím, ktorých sa týka, čo zároveň napomôže </w:t>
      </w:r>
      <w:r w:rsidR="000156D3">
        <w:rPr>
          <w:rFonts w:ascii="Book Antiqua" w:hAnsi="Book Antiqua"/>
          <w:i/>
          <w:sz w:val="22"/>
          <w:szCs w:val="22"/>
        </w:rPr>
        <w:t>zníženiu ich sociálnej exklúzie a zvýšeniu rovnosti príležitostí medzi nimi a ďalšími osobami, najmä s inými osobami s ťažkým zdravotným postihnutím.</w:t>
      </w:r>
    </w:p>
    <w:p w:rsidR="0038212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17F98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249F0" w:rsidR="007C2704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423C63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D249F0" w:rsidR="007C2704">
        <w:rPr>
          <w:rFonts w:ascii="Book Antiqua" w:hAnsi="Book Antiqua"/>
          <w:i/>
          <w:iCs/>
          <w:sz w:val="22"/>
          <w:szCs w:val="22"/>
        </w:rPr>
        <w:t>bezpredmetné</w:t>
      </w:r>
    </w:p>
    <w:p w:rsidR="000156D3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1B1849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249F0" w:rsidR="007C2704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421A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0000000000000000000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2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E83215">
      <w:rPr>
        <w:noProof/>
      </w:rPr>
      <w:t>5</w:t>
    </w:r>
    <w:r>
      <w:fldChar w:fldCharType="end"/>
    </w:r>
  </w:p>
  <w:p w:rsidR="00AA442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2EB"/>
    <w:multiLevelType w:val="hybridMultilevel"/>
    <w:tmpl w:val="752CB8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03351"/>
    <w:multiLevelType w:val="hybridMultilevel"/>
    <w:tmpl w:val="B54252C4"/>
    <w:lvl w:ilvl="0">
      <w:start w:val="1"/>
      <w:numFmt w:val="bullet"/>
      <w:lvlText w:val=""/>
      <w:lvlJc w:val="right"/>
      <w:pPr>
        <w:ind w:left="227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34" w:hanging="360"/>
      </w:pPr>
      <w:rPr>
        <w:rFonts w:ascii="Wingdings" w:hAnsi="Wingdings" w:hint="default"/>
      </w:rPr>
    </w:lvl>
  </w:abstractNum>
  <w:abstractNum w:abstractNumId="3">
    <w:nsid w:val="24D113D1"/>
    <w:multiLevelType w:val="hybridMultilevel"/>
    <w:tmpl w:val="45D8BA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37984"/>
    <w:multiLevelType w:val="hybridMultilevel"/>
    <w:tmpl w:val="B50860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210CBF"/>
    <w:multiLevelType w:val="hybridMultilevel"/>
    <w:tmpl w:val="5EE4D6C2"/>
    <w:lvl w:ilvl="0">
      <w:start w:val="1"/>
      <w:numFmt w:val="bullet"/>
      <w:lvlText w:val=""/>
      <w:lvlJc w:val="righ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44505E6"/>
    <w:multiLevelType w:val="hybridMultilevel"/>
    <w:tmpl w:val="F4A87D30"/>
    <w:lvl w:ilvl="0">
      <w:start w:val="1"/>
      <w:numFmt w:val="decimal"/>
      <w:lvlText w:val="%1."/>
      <w:lvlJc w:val="left"/>
      <w:pPr>
        <w:ind w:left="1581" w:hanging="360"/>
      </w:pPr>
    </w:lvl>
    <w:lvl w:ilvl="1" w:tentative="1">
      <w:start w:val="1"/>
      <w:numFmt w:val="lowerLetter"/>
      <w:lvlText w:val="%2."/>
      <w:lvlJc w:val="left"/>
      <w:pPr>
        <w:ind w:left="2301" w:hanging="360"/>
      </w:pPr>
    </w:lvl>
    <w:lvl w:ilvl="2" w:tentative="1">
      <w:start w:val="1"/>
      <w:numFmt w:val="lowerRoman"/>
      <w:lvlText w:val="%3."/>
      <w:lvlJc w:val="right"/>
      <w:pPr>
        <w:ind w:left="3021" w:hanging="180"/>
      </w:pPr>
    </w:lvl>
    <w:lvl w:ilvl="3" w:tentative="1">
      <w:start w:val="1"/>
      <w:numFmt w:val="decimal"/>
      <w:lvlText w:val="%4."/>
      <w:lvlJc w:val="left"/>
      <w:pPr>
        <w:ind w:left="3741" w:hanging="360"/>
      </w:pPr>
    </w:lvl>
    <w:lvl w:ilvl="4" w:tentative="1">
      <w:start w:val="1"/>
      <w:numFmt w:val="lowerLetter"/>
      <w:lvlText w:val="%5."/>
      <w:lvlJc w:val="left"/>
      <w:pPr>
        <w:ind w:left="4461" w:hanging="360"/>
      </w:pPr>
    </w:lvl>
    <w:lvl w:ilvl="5" w:tentative="1">
      <w:start w:val="1"/>
      <w:numFmt w:val="lowerRoman"/>
      <w:lvlText w:val="%6."/>
      <w:lvlJc w:val="right"/>
      <w:pPr>
        <w:ind w:left="5181" w:hanging="180"/>
      </w:pPr>
    </w:lvl>
    <w:lvl w:ilvl="6" w:tentative="1">
      <w:start w:val="1"/>
      <w:numFmt w:val="decimal"/>
      <w:lvlText w:val="%7."/>
      <w:lvlJc w:val="left"/>
      <w:pPr>
        <w:ind w:left="5901" w:hanging="360"/>
      </w:pPr>
    </w:lvl>
    <w:lvl w:ilvl="7" w:tentative="1">
      <w:start w:val="1"/>
      <w:numFmt w:val="lowerLetter"/>
      <w:lvlText w:val="%8."/>
      <w:lvlJc w:val="left"/>
      <w:pPr>
        <w:ind w:left="6621" w:hanging="360"/>
      </w:pPr>
    </w:lvl>
    <w:lvl w:ilvl="8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0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87ACD"/>
    <w:multiLevelType w:val="hybridMultilevel"/>
    <w:tmpl w:val="AA3680E4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EC75CA0"/>
    <w:multiLevelType w:val="hybridMultilevel"/>
    <w:tmpl w:val="7FE85E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0"/>
  </w:num>
  <w:num w:numId="10">
    <w:abstractNumId w:val="10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849"/>
    <w:rsid w:val="00004C5A"/>
    <w:rsid w:val="00011D1F"/>
    <w:rsid w:val="00013790"/>
    <w:rsid w:val="000156D3"/>
    <w:rsid w:val="00017F98"/>
    <w:rsid w:val="00044977"/>
    <w:rsid w:val="00056955"/>
    <w:rsid w:val="00074A10"/>
    <w:rsid w:val="00080448"/>
    <w:rsid w:val="000A3002"/>
    <w:rsid w:val="000D1A73"/>
    <w:rsid w:val="000D32A5"/>
    <w:rsid w:val="000D6E98"/>
    <w:rsid w:val="000E634B"/>
    <w:rsid w:val="000F6F50"/>
    <w:rsid w:val="00112B92"/>
    <w:rsid w:val="001312E4"/>
    <w:rsid w:val="001376DF"/>
    <w:rsid w:val="00144FA7"/>
    <w:rsid w:val="00165319"/>
    <w:rsid w:val="001729FE"/>
    <w:rsid w:val="00180464"/>
    <w:rsid w:val="00182996"/>
    <w:rsid w:val="0019658F"/>
    <w:rsid w:val="001A661A"/>
    <w:rsid w:val="001B1849"/>
    <w:rsid w:val="001B5100"/>
    <w:rsid w:val="001F7749"/>
    <w:rsid w:val="0020696C"/>
    <w:rsid w:val="00207834"/>
    <w:rsid w:val="00223E53"/>
    <w:rsid w:val="0023576F"/>
    <w:rsid w:val="00267B5D"/>
    <w:rsid w:val="00270D5E"/>
    <w:rsid w:val="00276370"/>
    <w:rsid w:val="002A1912"/>
    <w:rsid w:val="002B7167"/>
    <w:rsid w:val="002F3CE2"/>
    <w:rsid w:val="002F6AD6"/>
    <w:rsid w:val="00311BBC"/>
    <w:rsid w:val="003346A6"/>
    <w:rsid w:val="00382120"/>
    <w:rsid w:val="003C3147"/>
    <w:rsid w:val="003D31C9"/>
    <w:rsid w:val="003E6869"/>
    <w:rsid w:val="00421A64"/>
    <w:rsid w:val="004221BC"/>
    <w:rsid w:val="00423C63"/>
    <w:rsid w:val="004264B2"/>
    <w:rsid w:val="004445D6"/>
    <w:rsid w:val="00473E18"/>
    <w:rsid w:val="00474D57"/>
    <w:rsid w:val="00484751"/>
    <w:rsid w:val="004857B5"/>
    <w:rsid w:val="004B184F"/>
    <w:rsid w:val="004D272F"/>
    <w:rsid w:val="004E3FEA"/>
    <w:rsid w:val="004F07C9"/>
    <w:rsid w:val="004F096D"/>
    <w:rsid w:val="00503ABA"/>
    <w:rsid w:val="00520282"/>
    <w:rsid w:val="00533875"/>
    <w:rsid w:val="00555548"/>
    <w:rsid w:val="005571D2"/>
    <w:rsid w:val="005734BA"/>
    <w:rsid w:val="0058021C"/>
    <w:rsid w:val="005E0C62"/>
    <w:rsid w:val="005E5D3C"/>
    <w:rsid w:val="005F0314"/>
    <w:rsid w:val="00613BCD"/>
    <w:rsid w:val="00617199"/>
    <w:rsid w:val="00635DDA"/>
    <w:rsid w:val="006365E5"/>
    <w:rsid w:val="0063763F"/>
    <w:rsid w:val="00642E16"/>
    <w:rsid w:val="00657D3A"/>
    <w:rsid w:val="00666EB8"/>
    <w:rsid w:val="00691A3C"/>
    <w:rsid w:val="00696780"/>
    <w:rsid w:val="006C38FC"/>
    <w:rsid w:val="006D6300"/>
    <w:rsid w:val="006E4C8D"/>
    <w:rsid w:val="006F6169"/>
    <w:rsid w:val="00706F69"/>
    <w:rsid w:val="00711CA0"/>
    <w:rsid w:val="0073575B"/>
    <w:rsid w:val="00766307"/>
    <w:rsid w:val="007810BE"/>
    <w:rsid w:val="00784BFC"/>
    <w:rsid w:val="007A049D"/>
    <w:rsid w:val="007B22DF"/>
    <w:rsid w:val="007B30CF"/>
    <w:rsid w:val="007C2704"/>
    <w:rsid w:val="007C4857"/>
    <w:rsid w:val="007F0945"/>
    <w:rsid w:val="00815EDB"/>
    <w:rsid w:val="00821662"/>
    <w:rsid w:val="008274C0"/>
    <w:rsid w:val="00837BF6"/>
    <w:rsid w:val="00840385"/>
    <w:rsid w:val="008425A4"/>
    <w:rsid w:val="0085316D"/>
    <w:rsid w:val="00893A95"/>
    <w:rsid w:val="008949D7"/>
    <w:rsid w:val="008B275A"/>
    <w:rsid w:val="008B4FFE"/>
    <w:rsid w:val="008C40E0"/>
    <w:rsid w:val="008E48BA"/>
    <w:rsid w:val="009266AC"/>
    <w:rsid w:val="00942925"/>
    <w:rsid w:val="009623BC"/>
    <w:rsid w:val="009678D9"/>
    <w:rsid w:val="00972808"/>
    <w:rsid w:val="00973BE1"/>
    <w:rsid w:val="00974559"/>
    <w:rsid w:val="00976220"/>
    <w:rsid w:val="009900C0"/>
    <w:rsid w:val="009A4954"/>
    <w:rsid w:val="009D232F"/>
    <w:rsid w:val="009D5C96"/>
    <w:rsid w:val="009E4880"/>
    <w:rsid w:val="009E61E9"/>
    <w:rsid w:val="009E7624"/>
    <w:rsid w:val="009F080A"/>
    <w:rsid w:val="009F4A5D"/>
    <w:rsid w:val="00A32E1D"/>
    <w:rsid w:val="00A36B3B"/>
    <w:rsid w:val="00A403B6"/>
    <w:rsid w:val="00A60270"/>
    <w:rsid w:val="00A726BA"/>
    <w:rsid w:val="00A7396D"/>
    <w:rsid w:val="00A73DB0"/>
    <w:rsid w:val="00A8027F"/>
    <w:rsid w:val="00A974C7"/>
    <w:rsid w:val="00AA4420"/>
    <w:rsid w:val="00AB0827"/>
    <w:rsid w:val="00AB5020"/>
    <w:rsid w:val="00AC79CE"/>
    <w:rsid w:val="00AF4DFD"/>
    <w:rsid w:val="00AF7C1A"/>
    <w:rsid w:val="00B00A04"/>
    <w:rsid w:val="00B02036"/>
    <w:rsid w:val="00B11A7B"/>
    <w:rsid w:val="00B1662B"/>
    <w:rsid w:val="00B2724A"/>
    <w:rsid w:val="00B309F2"/>
    <w:rsid w:val="00B32675"/>
    <w:rsid w:val="00B42BFE"/>
    <w:rsid w:val="00B6584B"/>
    <w:rsid w:val="00B818C8"/>
    <w:rsid w:val="00B909E7"/>
    <w:rsid w:val="00B91FB7"/>
    <w:rsid w:val="00B92E78"/>
    <w:rsid w:val="00BA27A0"/>
    <w:rsid w:val="00BC1F08"/>
    <w:rsid w:val="00BC24DA"/>
    <w:rsid w:val="00BD4528"/>
    <w:rsid w:val="00BE1D75"/>
    <w:rsid w:val="00C83691"/>
    <w:rsid w:val="00C91346"/>
    <w:rsid w:val="00C918EE"/>
    <w:rsid w:val="00C926F5"/>
    <w:rsid w:val="00C975A0"/>
    <w:rsid w:val="00CB28C3"/>
    <w:rsid w:val="00CC6F34"/>
    <w:rsid w:val="00CD7232"/>
    <w:rsid w:val="00CF0869"/>
    <w:rsid w:val="00CF6FCC"/>
    <w:rsid w:val="00D1494B"/>
    <w:rsid w:val="00D249F0"/>
    <w:rsid w:val="00D33608"/>
    <w:rsid w:val="00D34483"/>
    <w:rsid w:val="00D41A81"/>
    <w:rsid w:val="00D5375C"/>
    <w:rsid w:val="00D76E7A"/>
    <w:rsid w:val="00D83D94"/>
    <w:rsid w:val="00D852B1"/>
    <w:rsid w:val="00DA68ED"/>
    <w:rsid w:val="00DC3C1C"/>
    <w:rsid w:val="00DE176C"/>
    <w:rsid w:val="00DF0FA5"/>
    <w:rsid w:val="00DF1D35"/>
    <w:rsid w:val="00E0387A"/>
    <w:rsid w:val="00E06317"/>
    <w:rsid w:val="00E157DD"/>
    <w:rsid w:val="00E17C58"/>
    <w:rsid w:val="00E32BA4"/>
    <w:rsid w:val="00E502F6"/>
    <w:rsid w:val="00E76B0A"/>
    <w:rsid w:val="00E83215"/>
    <w:rsid w:val="00E85452"/>
    <w:rsid w:val="00E96CD8"/>
    <w:rsid w:val="00E97980"/>
    <w:rsid w:val="00EA4FAC"/>
    <w:rsid w:val="00EB6227"/>
    <w:rsid w:val="00EF19E6"/>
    <w:rsid w:val="00F03989"/>
    <w:rsid w:val="00F12F0E"/>
    <w:rsid w:val="00F1414B"/>
    <w:rsid w:val="00F51036"/>
    <w:rsid w:val="00F614D2"/>
    <w:rsid w:val="00F70C3E"/>
    <w:rsid w:val="00F736B2"/>
    <w:rsid w:val="00F737EC"/>
    <w:rsid w:val="00F8338B"/>
    <w:rsid w:val="00F84932"/>
    <w:rsid w:val="00FA66AC"/>
    <w:rsid w:val="00FF3E3D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B1849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B184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810BE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FootnoteText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uiPriority w:val="99"/>
    <w:semiHidden/>
    <w:unhideWhenUsed/>
    <w:rsid w:val="007810BE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AA44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eader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AA44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Footer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34483"/>
    <w:rPr>
      <w:color w:val="0000FF"/>
      <w:u w:val="single"/>
    </w:rPr>
  </w:style>
  <w:style w:type="character" w:customStyle="1" w:styleId="ablnaChar">
    <w:name w:val="Šablóna Char"/>
    <w:link w:val="ablna"/>
    <w:locked/>
    <w:rsid w:val="00473E18"/>
    <w:rPr>
      <w:sz w:val="24"/>
      <w:szCs w:val="24"/>
      <w:lang w:eastAsia="ar-SA"/>
    </w:rPr>
  </w:style>
  <w:style w:type="paragraph" w:customStyle="1" w:styleId="ablna">
    <w:name w:val="Šablóna"/>
    <w:basedOn w:val="Normal"/>
    <w:link w:val="ablnaChar"/>
    <w:qFormat/>
    <w:rsid w:val="00473E18"/>
    <w:pPr>
      <w:tabs>
        <w:tab w:val="left" w:pos="2880"/>
        <w:tab w:val="left" w:pos="5040"/>
        <w:tab w:val="left" w:pos="7380"/>
      </w:tabs>
      <w:suppressAutoHyphens/>
    </w:pPr>
    <w:rPr>
      <w:rFonts w:ascii="Calibri" w:eastAsia="Calibri" w:hAnsi="Calibri"/>
      <w:lang w:val="x-none" w:eastAsia="ar-SA"/>
    </w:rPr>
  </w:style>
  <w:style w:type="character" w:customStyle="1" w:styleId="CharStyle16">
    <w:name w:val="Char Style 16"/>
    <w:link w:val="Style15"/>
    <w:locked/>
    <w:rsid w:val="001A661A"/>
    <w:rPr>
      <w:shd w:val="clear" w:color="auto" w:fill="FFFFFF"/>
    </w:rPr>
  </w:style>
  <w:style w:type="paragraph" w:customStyle="1" w:styleId="Style15">
    <w:name w:val="Style 15"/>
    <w:basedOn w:val="Normal"/>
    <w:link w:val="CharStyle16"/>
    <w:rsid w:val="001A661A"/>
    <w:pPr>
      <w:shd w:val="clear" w:color="auto" w:fill="FFFFFF"/>
      <w:spacing w:before="600" w:after="780" w:line="274" w:lineRule="exact"/>
      <w:ind w:hanging="36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6365E5"/>
    <w:rPr>
      <w:rFonts w:ascii="Times New Roman" w:eastAsia="Times New Roman" w:hAnsi="Times New Roman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900C0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9900C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312E4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1312E4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rsid w:val="001312E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312E4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1312E4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2A1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8/447/" TargetMode="Externa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F5F2-B4C5-4A6A-A21B-87BC7B2B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Vetrák, Milan</cp:lastModifiedBy>
  <cp:revision>2</cp:revision>
  <cp:lastPrinted>2023-04-14T12:00:00Z</cp:lastPrinted>
  <dcterms:created xsi:type="dcterms:W3CDTF">2023-04-14T12:01:00Z</dcterms:created>
  <dcterms:modified xsi:type="dcterms:W3CDTF">2023-04-14T12:01:00Z</dcterms:modified>
</cp:coreProperties>
</file>