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3DDAF" w14:textId="77777777" w:rsidR="00355DF8" w:rsidRPr="000344AA" w:rsidRDefault="00355DF8" w:rsidP="005D18E8">
      <w:pPr>
        <w:pBdr>
          <w:bottom w:val="single" w:sz="12" w:space="1" w:color="auto"/>
        </w:pBdr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_GoBack"/>
      <w:bookmarkEnd w:id="0"/>
      <w:r w:rsidRPr="000344AA">
        <w:rPr>
          <w:rFonts w:ascii="Book Antiqua" w:hAnsi="Book Antiqua"/>
          <w:b/>
          <w:spacing w:val="20"/>
          <w:sz w:val="22"/>
          <w:szCs w:val="22"/>
        </w:rPr>
        <w:t>NÁRODNÁ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RADA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SLOVENSKEJ</w:t>
      </w:r>
      <w:r w:rsidR="00827B47" w:rsidRPr="000344AA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0344AA">
        <w:rPr>
          <w:rFonts w:ascii="Book Antiqua" w:hAnsi="Book Antiqua"/>
          <w:b/>
          <w:spacing w:val="20"/>
          <w:sz w:val="22"/>
          <w:szCs w:val="22"/>
        </w:rPr>
        <w:t>REPUBLIKY</w:t>
      </w:r>
    </w:p>
    <w:p w14:paraId="797C4A5A" w14:textId="77777777" w:rsidR="00355DF8" w:rsidRPr="000344AA" w:rsidRDefault="00355DF8" w:rsidP="005D18E8">
      <w:pPr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303D5F59" w14:textId="77777777"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344AA">
        <w:rPr>
          <w:rFonts w:ascii="Book Antiqua" w:hAnsi="Book Antiqua"/>
          <w:spacing w:val="20"/>
          <w:sz w:val="22"/>
          <w:szCs w:val="22"/>
        </w:rPr>
        <w:t>VI</w:t>
      </w:r>
      <w:r w:rsidR="0024417B" w:rsidRPr="000344AA">
        <w:rPr>
          <w:rFonts w:ascii="Book Antiqua" w:hAnsi="Book Antiqua"/>
          <w:spacing w:val="20"/>
          <w:sz w:val="22"/>
          <w:szCs w:val="22"/>
        </w:rPr>
        <w:t>II</w:t>
      </w:r>
      <w:r w:rsidRPr="000344AA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3D7FAE87" w14:textId="77777777" w:rsidR="006A2A48" w:rsidRPr="000344AA" w:rsidRDefault="006A2A48" w:rsidP="00BE740C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665738AC" w14:textId="77777777"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0344AA">
        <w:rPr>
          <w:rFonts w:ascii="Book Antiqua" w:hAnsi="Book Antiqua"/>
          <w:spacing w:val="30"/>
          <w:sz w:val="22"/>
          <w:szCs w:val="22"/>
        </w:rPr>
        <w:t>Návrh</w:t>
      </w:r>
    </w:p>
    <w:p w14:paraId="3B261133" w14:textId="77777777" w:rsidR="00450A28" w:rsidRPr="000344AA" w:rsidRDefault="00450A28" w:rsidP="00BE740C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3E6EAEE3" w14:textId="77777777" w:rsidR="00450A28" w:rsidRPr="000344AA" w:rsidRDefault="00355DF8" w:rsidP="00BE740C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0344A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373820BE" w14:textId="77777777" w:rsidR="00450A28" w:rsidRPr="000344AA" w:rsidRDefault="00450A28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F4CF089" w14:textId="694F710A" w:rsidR="00355DF8" w:rsidRPr="000344AA" w:rsidRDefault="00B0253A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2023</w:t>
      </w:r>
      <w:r w:rsidR="00355DF8" w:rsidRPr="000344AA">
        <w:rPr>
          <w:rFonts w:ascii="Book Antiqua" w:hAnsi="Book Antiqua"/>
          <w:sz w:val="22"/>
          <w:szCs w:val="22"/>
        </w:rPr>
        <w:t>,</w:t>
      </w:r>
    </w:p>
    <w:p w14:paraId="45B4BDF7" w14:textId="77777777" w:rsidR="00355DF8" w:rsidRPr="000344AA" w:rsidRDefault="00355DF8" w:rsidP="00BE740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1E892DC" w14:textId="402AD694" w:rsidR="00355DF8" w:rsidRPr="000344AA" w:rsidRDefault="006C42FD" w:rsidP="00FD415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 xml:space="preserve">ktorým sa </w:t>
      </w:r>
      <w:r w:rsidR="00B0253A">
        <w:rPr>
          <w:rFonts w:ascii="Book Antiqua" w:hAnsi="Book Antiqua"/>
          <w:b/>
          <w:sz w:val="22"/>
          <w:szCs w:val="22"/>
        </w:rPr>
        <w:t xml:space="preserve">mení a </w:t>
      </w:r>
      <w:r w:rsidR="00355DF8" w:rsidRPr="000344AA">
        <w:rPr>
          <w:rFonts w:ascii="Book Antiqua" w:hAnsi="Book Antiqua"/>
          <w:b/>
          <w:sz w:val="22"/>
          <w:szCs w:val="22"/>
        </w:rPr>
        <w:t xml:space="preserve">dopĺňa </w:t>
      </w:r>
      <w:r w:rsidR="0025272F" w:rsidRPr="000344AA">
        <w:rPr>
          <w:rFonts w:ascii="Book Antiqua" w:hAnsi="Book Antiqua"/>
          <w:b/>
          <w:sz w:val="22"/>
          <w:szCs w:val="22"/>
        </w:rPr>
        <w:t xml:space="preserve">zákon </w:t>
      </w:r>
      <w:r w:rsidR="00F904EA" w:rsidRPr="00F904EA">
        <w:rPr>
          <w:rFonts w:ascii="Book Antiqua" w:hAnsi="Book Antiqua" w:cs="Segoe UI"/>
          <w:b/>
          <w:sz w:val="22"/>
          <w:szCs w:val="22"/>
          <w:shd w:val="clear" w:color="auto" w:fill="FFFFFF"/>
        </w:rPr>
        <w:t>č. </w:t>
      </w:r>
      <w:hyperlink r:id="rId8" w:tooltip="Odkaz na predpis alebo ustanovenie" w:history="1">
        <w:r w:rsidR="00F904EA" w:rsidRPr="00F904EA">
          <w:rPr>
            <w:rStyle w:val="Hypertextovprepojenie"/>
            <w:rFonts w:ascii="Book Antiqua" w:hAnsi="Book Antiqua" w:cs="Segoe UI"/>
            <w:b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="00F904EA" w:rsidRPr="00F904EA">
        <w:rPr>
          <w:rFonts w:ascii="Book Antiqua" w:hAnsi="Book Antiqua" w:cs="Segoe UI"/>
          <w:b/>
          <w:sz w:val="22"/>
          <w:szCs w:val="22"/>
          <w:shd w:val="clear" w:color="auto" w:fill="FFFFFF"/>
        </w:rPr>
        <w:t> o peňažných príspevkoch na kompenzáciu ťažkého zdravotného postihnutia a o zmene a doplnení niektorých zákonov</w:t>
      </w:r>
      <w:r w:rsidR="000663CE" w:rsidRPr="000344AA">
        <w:rPr>
          <w:rFonts w:ascii="Book Antiqua" w:hAnsi="Book Antiqua"/>
          <w:b/>
          <w:sz w:val="22"/>
          <w:szCs w:val="22"/>
        </w:rPr>
        <w:t xml:space="preserve"> </w:t>
      </w:r>
      <w:r w:rsidR="00B0253A">
        <w:rPr>
          <w:rFonts w:ascii="Book Antiqua" w:hAnsi="Book Antiqua"/>
          <w:b/>
          <w:sz w:val="22"/>
          <w:szCs w:val="22"/>
        </w:rPr>
        <w:t>v znení neskorších predpisov</w:t>
      </w:r>
    </w:p>
    <w:p w14:paraId="1256CB81" w14:textId="77777777" w:rsidR="00355DF8" w:rsidRPr="000344AA" w:rsidRDefault="00355DF8" w:rsidP="00BE740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6C9D594" w14:textId="77777777" w:rsidR="00355DF8" w:rsidRPr="000344AA" w:rsidRDefault="00355DF8" w:rsidP="00BE740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>Národná rada Slovenskej repub</w:t>
      </w:r>
      <w:r w:rsidR="002A7AFC" w:rsidRPr="000344AA">
        <w:rPr>
          <w:rFonts w:ascii="Book Antiqua" w:hAnsi="Book Antiqua"/>
          <w:sz w:val="22"/>
          <w:szCs w:val="22"/>
        </w:rPr>
        <w:t xml:space="preserve">liky sa uzniesla na tomto </w:t>
      </w:r>
      <w:r w:rsidRPr="000344AA">
        <w:rPr>
          <w:rFonts w:ascii="Book Antiqua" w:hAnsi="Book Antiqua"/>
          <w:sz w:val="22"/>
          <w:szCs w:val="22"/>
        </w:rPr>
        <w:t xml:space="preserve">zákone: </w:t>
      </w:r>
    </w:p>
    <w:p w14:paraId="28134DB5" w14:textId="77777777" w:rsidR="00355DF8" w:rsidRPr="000344AA" w:rsidRDefault="00355DF8" w:rsidP="00BE740C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22390939" w14:textId="77777777" w:rsidR="00B0253A" w:rsidRDefault="0024417B" w:rsidP="00B0253A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>Čl. I</w:t>
      </w:r>
    </w:p>
    <w:p w14:paraId="18D28742" w14:textId="65FE6FEC" w:rsidR="00B0253A" w:rsidRDefault="00401037" w:rsidP="00B0253A">
      <w:pPr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>č. </w:t>
      </w:r>
      <w:hyperlink r:id="rId9" w:tooltip="Odkaz na predpis alebo ustanovenie" w:history="1">
        <w:r w:rsidR="00F904EA" w:rsidRPr="00F904EA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 o peňažných príspevkoch na kompenzáciu ťažkého zdravotného postihnutia a o zmene a doplnení niektorých zákonov v znení zákona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>č. 551/2010 Z. z., zákona č. 180/2011 Z. z., zákona č. 468/2011 Z. z., z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ákona č. 136/2013 Z. z., zákona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219/2014 Z. z., zákona č. 263/2014 Z. z., zákona č. 375/2014 Z. z., zákona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>č. 353/2015 Z. z., zákona č. 378/2015 Z. z., zákona č. 125/2016 Z. z., z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ákona č. 355/2016 Z. z., zákona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191/2018 Z. z., zákona č. 83/2019 Z. z., zákona č. 223/2019 Z. z., zákona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>č. 391/2019 Z. z., zákona č. 393/2019 Z. z., zákona č. 46/2020 Z. z., zákona č. 63/2020 Z. z., nálezu Ústavného súdu Slovenskej republiky č. 124/2020 Z.</w:t>
      </w:r>
      <w:r w:rsid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275/2020 Z. z.,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296/2020 </w:t>
      </w:r>
      <w:r w:rsidR="00F904EA" w:rsidRPr="00F904E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Z. z.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zákona č. 9/2021 Z. z., </w:t>
      </w:r>
      <w:r w:rsidR="00B0253A" w:rsidRP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310/2021 Z. z., zákona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č. 374/2021 Z. z., zákona </w:t>
      </w:r>
      <w:r w:rsidR="00B0253A" w:rsidRP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485/2021 Z. z., zákona č. 92/2022 Z. z., zákona č. 199/2022 Z. z., zákona č. 232/2022 Z. z., zákona č. 345/2022 Z. z., zákona č. 352/2022 Z. z., zákona 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č. 376/2022 Z. z., zákona </w:t>
      </w:r>
      <w:r w:rsidR="00B0253A" w:rsidRPr="00B0253A">
        <w:rPr>
          <w:rFonts w:ascii="Book Antiqua" w:hAnsi="Book Antiqua" w:cs="Segoe UI"/>
          <w:sz w:val="22"/>
          <w:szCs w:val="22"/>
          <w:shd w:val="clear" w:color="auto" w:fill="FFFFFF"/>
        </w:rPr>
        <w:t>č. 400/2022 Z. z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., zákona č. 401/2022 Z. z., </w:t>
      </w:r>
      <w:r w:rsidR="00B0253A" w:rsidRPr="00B0253A">
        <w:rPr>
          <w:rFonts w:ascii="Book Antiqua" w:hAnsi="Book Antiqua" w:cs="Segoe UI"/>
          <w:sz w:val="22"/>
          <w:szCs w:val="22"/>
          <w:shd w:val="clear" w:color="auto" w:fill="FFFFFF"/>
        </w:rPr>
        <w:t>nálezu Ústa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vného súdu Slovenskej republiky </w:t>
      </w:r>
      <w:r w:rsidR="00B0253A" w:rsidRPr="00B0253A">
        <w:rPr>
          <w:rFonts w:ascii="Book Antiqua" w:hAnsi="Book Antiqua" w:cs="Segoe UI"/>
          <w:sz w:val="22"/>
          <w:szCs w:val="22"/>
          <w:shd w:val="clear" w:color="auto" w:fill="FFFFFF"/>
        </w:rPr>
        <w:t>č. 509/2022 Z. z.</w:t>
      </w:r>
      <w:r w:rsidR="00B0253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 zákona č. 96/2023 Z. z. sa mení a dopĺňa takto:</w:t>
      </w:r>
    </w:p>
    <w:p w14:paraId="01F0B584" w14:textId="55F8F4FC" w:rsidR="00B0253A" w:rsidRDefault="00B0253A" w:rsidP="00B0253A">
      <w:pPr>
        <w:spacing w:before="120" w:line="276" w:lineRule="auto"/>
        <w:ind w:left="851" w:hanging="425"/>
        <w:jc w:val="both"/>
        <w:rPr>
          <w:rFonts w:ascii="Book Antiqua" w:hAnsi="Book Antiqua"/>
          <w:b/>
          <w:sz w:val="22"/>
          <w:szCs w:val="22"/>
        </w:rPr>
      </w:pPr>
      <w:r w:rsidRPr="00B0253A">
        <w:rPr>
          <w:rFonts w:ascii="Book Antiqua" w:hAnsi="Book Antiqua"/>
          <w:sz w:val="22"/>
          <w:szCs w:val="22"/>
        </w:rPr>
        <w:t>1.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ab/>
      </w:r>
      <w:r w:rsidR="00926DDB" w:rsidRPr="00B0253A">
        <w:rPr>
          <w:rFonts w:ascii="Book Antiqua" w:hAnsi="Book Antiqua"/>
          <w:sz w:val="22"/>
          <w:szCs w:val="22"/>
          <w:lang w:eastAsia="en-US"/>
        </w:rPr>
        <w:t>V § 18 ods. 18</w:t>
      </w:r>
      <w:r w:rsidRPr="00B0253A">
        <w:rPr>
          <w:rFonts w:ascii="Book Antiqua" w:hAnsi="Book Antiqua"/>
          <w:sz w:val="22"/>
          <w:szCs w:val="22"/>
          <w:lang w:eastAsia="en-US"/>
        </w:rPr>
        <w:t>, v § 41 ods. 11 a v § 57 ods. 1 písm. d)</w:t>
      </w:r>
      <w:r w:rsidR="00926DDB" w:rsidRPr="00B0253A">
        <w:rPr>
          <w:rFonts w:ascii="Book Antiqua" w:hAnsi="Book Antiqua"/>
          <w:sz w:val="22"/>
          <w:szCs w:val="22"/>
          <w:lang w:eastAsia="en-US"/>
        </w:rPr>
        <w:t xml:space="preserve"> sa </w:t>
      </w:r>
      <w:r w:rsidRPr="00B0253A">
        <w:rPr>
          <w:rFonts w:ascii="Book Antiqua" w:hAnsi="Book Antiqua"/>
          <w:sz w:val="22"/>
          <w:szCs w:val="22"/>
          <w:lang w:eastAsia="en-US"/>
        </w:rPr>
        <w:t>číslica „39 833“ nahrádza číslicou „50 000“.</w:t>
      </w:r>
    </w:p>
    <w:p w14:paraId="4ADB48E1" w14:textId="5E23229C" w:rsidR="00B0253A" w:rsidRDefault="00B0253A" w:rsidP="00B0253A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0253A">
        <w:rPr>
          <w:rFonts w:ascii="Book Antiqua" w:hAnsi="Book Antiqua"/>
          <w:sz w:val="22"/>
          <w:szCs w:val="22"/>
        </w:rPr>
        <w:t>2.</w:t>
      </w:r>
      <w:r w:rsidRPr="00B0253A">
        <w:rPr>
          <w:rFonts w:ascii="Book Antiqua" w:hAnsi="Book Antiqua"/>
          <w:sz w:val="22"/>
          <w:szCs w:val="22"/>
        </w:rPr>
        <w:tab/>
      </w:r>
      <w:r w:rsidR="00401037">
        <w:rPr>
          <w:rFonts w:ascii="Book Antiqua" w:hAnsi="Book Antiqua"/>
          <w:sz w:val="22"/>
          <w:szCs w:val="22"/>
        </w:rPr>
        <w:t>V § 34 ods. 7 a v § 37 ods. 8 sa číslica „6 638,79“ nahrádza číslicou „13 277,58“ a číslica „8 298,48“ sa nahrádza číslicou „16 596,96“.</w:t>
      </w:r>
    </w:p>
    <w:p w14:paraId="62AF0615" w14:textId="00B4856F" w:rsidR="00401037" w:rsidRDefault="00401037" w:rsidP="00B0253A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3.</w:t>
      </w:r>
      <w:r>
        <w:rPr>
          <w:rFonts w:ascii="Book Antiqua" w:hAnsi="Book Antiqua"/>
          <w:sz w:val="22"/>
          <w:szCs w:val="22"/>
        </w:rPr>
        <w:tab/>
        <w:t>V § 34 ods. 8 a ods. 11 a v prílohe č. 13 sa číslica „13 277,57“ nahrádza číslicou „26 555,14“.</w:t>
      </w:r>
    </w:p>
    <w:p w14:paraId="6D1897C2" w14:textId="678CA6CE" w:rsidR="00401037" w:rsidRDefault="00401037" w:rsidP="00B0253A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4.</w:t>
      </w:r>
      <w:r>
        <w:rPr>
          <w:rFonts w:ascii="Book Antiqua" w:hAnsi="Book Antiqua"/>
          <w:sz w:val="22"/>
          <w:szCs w:val="22"/>
        </w:rPr>
        <w:tab/>
        <w:t>Za § 67n sa vkladá § 67o, ktorý vrátane nadpisu znie:</w:t>
      </w:r>
    </w:p>
    <w:p w14:paraId="19E81464" w14:textId="56B498AC" w:rsidR="00401037" w:rsidRPr="004B31D4" w:rsidRDefault="00401037" w:rsidP="004B31D4">
      <w:pPr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„</w:t>
      </w:r>
      <w:r w:rsidRPr="004B31D4">
        <w:rPr>
          <w:rFonts w:ascii="Book Antiqua" w:hAnsi="Book Antiqua"/>
          <w:b/>
          <w:sz w:val="22"/>
          <w:szCs w:val="22"/>
        </w:rPr>
        <w:t>§ 67o</w:t>
      </w:r>
    </w:p>
    <w:p w14:paraId="47BCB986" w14:textId="6951F312" w:rsidR="00401037" w:rsidRDefault="00401037" w:rsidP="004B31D4">
      <w:pPr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 w:rsidRPr="004B31D4">
        <w:rPr>
          <w:rFonts w:ascii="Book Antiqua" w:hAnsi="Book Antiqua"/>
          <w:b/>
          <w:sz w:val="22"/>
          <w:szCs w:val="22"/>
        </w:rPr>
        <w:t>Prechodné ustanovenie účinné od 1. augusta 2023</w:t>
      </w:r>
    </w:p>
    <w:p w14:paraId="07E6EBA9" w14:textId="1325E5AD" w:rsidR="004B31D4" w:rsidRPr="004B31D4" w:rsidRDefault="004B31D4" w:rsidP="004B31D4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4B31D4">
        <w:rPr>
          <w:rFonts w:ascii="Book Antiqua" w:hAnsi="Book Antiqua" w:cs="Segoe UI"/>
          <w:sz w:val="22"/>
          <w:szCs w:val="22"/>
          <w:shd w:val="clear" w:color="auto" w:fill="FFFFFF"/>
        </w:rPr>
        <w:t>Konanie o peňažnom príspevku na kom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penzáciu začaté pred 1. augustom 2023</w:t>
      </w:r>
      <w:r w:rsidRPr="004B31D4">
        <w:rPr>
          <w:rFonts w:ascii="Book Antiqua" w:hAnsi="Book Antiqua" w:cs="Segoe UI"/>
          <w:sz w:val="22"/>
          <w:szCs w:val="22"/>
          <w:shd w:val="clear" w:color="auto" w:fill="FFFFFF"/>
        </w:rPr>
        <w:t>, ktoré nebolo právoplat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ne skončené do 31. júla 2023</w:t>
      </w:r>
      <w:r w:rsidRPr="004B31D4">
        <w:rPr>
          <w:rFonts w:ascii="Book Antiqua" w:hAnsi="Book Antiqua" w:cs="Segoe UI"/>
          <w:sz w:val="22"/>
          <w:szCs w:val="22"/>
          <w:shd w:val="clear" w:color="auto" w:fill="FFFFFF"/>
        </w:rPr>
        <w:t>, sa dokončí podľa tohto zákona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v znení účinnom od 1. augusta 2023</w:t>
      </w:r>
      <w:r w:rsidRPr="004B31D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14:paraId="7261B1AF" w14:textId="04F3A85F" w:rsidR="001F508B" w:rsidRPr="00401037" w:rsidRDefault="001F508B" w:rsidP="00401037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</w:p>
    <w:p w14:paraId="28EA8248" w14:textId="77777777" w:rsidR="00F444F8" w:rsidRPr="000344AA" w:rsidRDefault="00F5683D" w:rsidP="00BE740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344AA">
        <w:rPr>
          <w:rFonts w:ascii="Book Antiqua" w:hAnsi="Book Antiqua"/>
          <w:b/>
          <w:sz w:val="22"/>
          <w:szCs w:val="22"/>
        </w:rPr>
        <w:t>Čl. II</w:t>
      </w:r>
    </w:p>
    <w:p w14:paraId="4794D9CD" w14:textId="25FE6F94" w:rsidR="00C47ADF" w:rsidRPr="000344AA" w:rsidRDefault="00355DF8" w:rsidP="00D75EC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344AA">
        <w:rPr>
          <w:rFonts w:ascii="Book Antiqua" w:hAnsi="Book Antiqua"/>
          <w:sz w:val="22"/>
          <w:szCs w:val="22"/>
        </w:rPr>
        <w:t xml:space="preserve">Tento </w:t>
      </w:r>
      <w:r w:rsidR="007B2565" w:rsidRPr="000344AA">
        <w:rPr>
          <w:rFonts w:ascii="Book Antiqua" w:hAnsi="Book Antiqua"/>
          <w:sz w:val="22"/>
          <w:szCs w:val="22"/>
        </w:rPr>
        <w:t>zákon n</w:t>
      </w:r>
      <w:r w:rsidR="005741B6" w:rsidRPr="000344AA">
        <w:rPr>
          <w:rFonts w:ascii="Book Antiqua" w:hAnsi="Book Antiqua"/>
          <w:sz w:val="22"/>
          <w:szCs w:val="22"/>
        </w:rPr>
        <w:t xml:space="preserve">adobúda účinnosť 1. </w:t>
      </w:r>
      <w:r w:rsidR="00401037">
        <w:rPr>
          <w:rFonts w:ascii="Book Antiqua" w:hAnsi="Book Antiqua"/>
          <w:sz w:val="22"/>
          <w:szCs w:val="22"/>
        </w:rPr>
        <w:t>augusta</w:t>
      </w:r>
      <w:r w:rsidR="00255755" w:rsidRPr="000344AA">
        <w:rPr>
          <w:rFonts w:ascii="Book Antiqua" w:hAnsi="Book Antiqua"/>
          <w:sz w:val="22"/>
          <w:szCs w:val="22"/>
        </w:rPr>
        <w:t xml:space="preserve"> </w:t>
      </w:r>
      <w:r w:rsidR="00401037">
        <w:rPr>
          <w:rFonts w:ascii="Book Antiqua" w:hAnsi="Book Antiqua"/>
          <w:sz w:val="22"/>
          <w:szCs w:val="22"/>
        </w:rPr>
        <w:t>2023</w:t>
      </w:r>
      <w:r w:rsidR="00F5683D" w:rsidRPr="000344AA">
        <w:rPr>
          <w:rFonts w:ascii="Book Antiqua" w:hAnsi="Book Antiqua"/>
          <w:sz w:val="22"/>
          <w:szCs w:val="22"/>
        </w:rPr>
        <w:t xml:space="preserve">. </w:t>
      </w:r>
    </w:p>
    <w:sectPr w:rsidR="00C47ADF" w:rsidRPr="000344AA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139E" w14:textId="77777777" w:rsidR="00C91F2B" w:rsidRDefault="00C91F2B" w:rsidP="00315A87">
      <w:r>
        <w:separator/>
      </w:r>
    </w:p>
  </w:endnote>
  <w:endnote w:type="continuationSeparator" w:id="0">
    <w:p w14:paraId="0D73D1DB" w14:textId="77777777" w:rsidR="00C91F2B" w:rsidRDefault="00C91F2B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34A7" w14:textId="77777777" w:rsidR="00C91F2B" w:rsidRDefault="00C91F2B" w:rsidP="00315A87">
      <w:r>
        <w:separator/>
      </w:r>
    </w:p>
  </w:footnote>
  <w:footnote w:type="continuationSeparator" w:id="0">
    <w:p w14:paraId="7BE08A35" w14:textId="77777777" w:rsidR="00C91F2B" w:rsidRDefault="00C91F2B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D"/>
    <w:multiLevelType w:val="hybridMultilevel"/>
    <w:tmpl w:val="9FCA7CF2"/>
    <w:lvl w:ilvl="0" w:tplc="DB78499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84BCD"/>
    <w:multiLevelType w:val="hybridMultilevel"/>
    <w:tmpl w:val="65608F68"/>
    <w:lvl w:ilvl="0" w:tplc="4D86895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4505E6"/>
    <w:multiLevelType w:val="hybridMultilevel"/>
    <w:tmpl w:val="F4A87D30"/>
    <w:lvl w:ilvl="0" w:tplc="041B000F">
      <w:start w:val="1"/>
      <w:numFmt w:val="decimal"/>
      <w:lvlText w:val="%1."/>
      <w:lvlJc w:val="left"/>
      <w:pPr>
        <w:ind w:left="1581" w:hanging="360"/>
      </w:pPr>
    </w:lvl>
    <w:lvl w:ilvl="1" w:tplc="041B0019" w:tentative="1">
      <w:start w:val="1"/>
      <w:numFmt w:val="lowerLetter"/>
      <w:lvlText w:val="%2."/>
      <w:lvlJc w:val="left"/>
      <w:pPr>
        <w:ind w:left="2301" w:hanging="360"/>
      </w:pPr>
    </w:lvl>
    <w:lvl w:ilvl="2" w:tplc="041B001B" w:tentative="1">
      <w:start w:val="1"/>
      <w:numFmt w:val="lowerRoman"/>
      <w:lvlText w:val="%3."/>
      <w:lvlJc w:val="right"/>
      <w:pPr>
        <w:ind w:left="3021" w:hanging="180"/>
      </w:pPr>
    </w:lvl>
    <w:lvl w:ilvl="3" w:tplc="041B000F" w:tentative="1">
      <w:start w:val="1"/>
      <w:numFmt w:val="decimal"/>
      <w:lvlText w:val="%4."/>
      <w:lvlJc w:val="left"/>
      <w:pPr>
        <w:ind w:left="3741" w:hanging="360"/>
      </w:pPr>
    </w:lvl>
    <w:lvl w:ilvl="4" w:tplc="041B0019" w:tentative="1">
      <w:start w:val="1"/>
      <w:numFmt w:val="lowerLetter"/>
      <w:lvlText w:val="%5."/>
      <w:lvlJc w:val="left"/>
      <w:pPr>
        <w:ind w:left="4461" w:hanging="360"/>
      </w:pPr>
    </w:lvl>
    <w:lvl w:ilvl="5" w:tplc="041B001B" w:tentative="1">
      <w:start w:val="1"/>
      <w:numFmt w:val="lowerRoman"/>
      <w:lvlText w:val="%6."/>
      <w:lvlJc w:val="right"/>
      <w:pPr>
        <w:ind w:left="5181" w:hanging="180"/>
      </w:pPr>
    </w:lvl>
    <w:lvl w:ilvl="6" w:tplc="041B000F" w:tentative="1">
      <w:start w:val="1"/>
      <w:numFmt w:val="decimal"/>
      <w:lvlText w:val="%7."/>
      <w:lvlJc w:val="left"/>
      <w:pPr>
        <w:ind w:left="5901" w:hanging="360"/>
      </w:pPr>
    </w:lvl>
    <w:lvl w:ilvl="7" w:tplc="041B0019" w:tentative="1">
      <w:start w:val="1"/>
      <w:numFmt w:val="lowerLetter"/>
      <w:lvlText w:val="%8."/>
      <w:lvlJc w:val="left"/>
      <w:pPr>
        <w:ind w:left="6621" w:hanging="360"/>
      </w:pPr>
    </w:lvl>
    <w:lvl w:ilvl="8" w:tplc="041B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2" w15:restartNumberingAfterBreak="0">
    <w:nsid w:val="6A516803"/>
    <w:multiLevelType w:val="hybridMultilevel"/>
    <w:tmpl w:val="28967D18"/>
    <w:lvl w:ilvl="0" w:tplc="DB78499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B365C"/>
    <w:multiLevelType w:val="hybridMultilevel"/>
    <w:tmpl w:val="31AE437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04AD"/>
    <w:rsid w:val="00026FF8"/>
    <w:rsid w:val="000306FF"/>
    <w:rsid w:val="00030B6F"/>
    <w:rsid w:val="000344AA"/>
    <w:rsid w:val="000663CE"/>
    <w:rsid w:val="00092090"/>
    <w:rsid w:val="000C1E37"/>
    <w:rsid w:val="000D2E53"/>
    <w:rsid w:val="000D698F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45BDA"/>
    <w:rsid w:val="00153B24"/>
    <w:rsid w:val="001660A3"/>
    <w:rsid w:val="001717B1"/>
    <w:rsid w:val="00172BE9"/>
    <w:rsid w:val="00181F29"/>
    <w:rsid w:val="00191453"/>
    <w:rsid w:val="001A4FCC"/>
    <w:rsid w:val="001B2436"/>
    <w:rsid w:val="001C6C5B"/>
    <w:rsid w:val="001D5F13"/>
    <w:rsid w:val="001E271E"/>
    <w:rsid w:val="001F508B"/>
    <w:rsid w:val="00205041"/>
    <w:rsid w:val="00215DE2"/>
    <w:rsid w:val="00220626"/>
    <w:rsid w:val="0022529E"/>
    <w:rsid w:val="00242053"/>
    <w:rsid w:val="0024417B"/>
    <w:rsid w:val="0025272F"/>
    <w:rsid w:val="00255755"/>
    <w:rsid w:val="00256E84"/>
    <w:rsid w:val="002606F5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40FAB"/>
    <w:rsid w:val="00355DF8"/>
    <w:rsid w:val="00365AEB"/>
    <w:rsid w:val="0038485B"/>
    <w:rsid w:val="00392D5C"/>
    <w:rsid w:val="0039747B"/>
    <w:rsid w:val="003A3B7B"/>
    <w:rsid w:val="003A5A0D"/>
    <w:rsid w:val="00401037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4B31D4"/>
    <w:rsid w:val="00511153"/>
    <w:rsid w:val="00517C06"/>
    <w:rsid w:val="00532326"/>
    <w:rsid w:val="00546012"/>
    <w:rsid w:val="005514DF"/>
    <w:rsid w:val="00554BF1"/>
    <w:rsid w:val="00554EFA"/>
    <w:rsid w:val="00572B0F"/>
    <w:rsid w:val="005741B6"/>
    <w:rsid w:val="005748BA"/>
    <w:rsid w:val="005767AC"/>
    <w:rsid w:val="005830C3"/>
    <w:rsid w:val="005A2487"/>
    <w:rsid w:val="005A4478"/>
    <w:rsid w:val="005B0047"/>
    <w:rsid w:val="005C5480"/>
    <w:rsid w:val="005D18E8"/>
    <w:rsid w:val="005D5D06"/>
    <w:rsid w:val="005D61F1"/>
    <w:rsid w:val="005D63F0"/>
    <w:rsid w:val="006363B6"/>
    <w:rsid w:val="0064036D"/>
    <w:rsid w:val="0066025E"/>
    <w:rsid w:val="00661B75"/>
    <w:rsid w:val="00663192"/>
    <w:rsid w:val="006729DB"/>
    <w:rsid w:val="00683610"/>
    <w:rsid w:val="00693698"/>
    <w:rsid w:val="006944BD"/>
    <w:rsid w:val="006A2A48"/>
    <w:rsid w:val="006C42FD"/>
    <w:rsid w:val="006D3CA4"/>
    <w:rsid w:val="006D59A1"/>
    <w:rsid w:val="006F0906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C7D77"/>
    <w:rsid w:val="007D10BF"/>
    <w:rsid w:val="007D6FCC"/>
    <w:rsid w:val="007D7456"/>
    <w:rsid w:val="007E37B5"/>
    <w:rsid w:val="007F3CB7"/>
    <w:rsid w:val="00807808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26DDB"/>
    <w:rsid w:val="0094015A"/>
    <w:rsid w:val="0094671B"/>
    <w:rsid w:val="00950795"/>
    <w:rsid w:val="00972F78"/>
    <w:rsid w:val="00986AA9"/>
    <w:rsid w:val="009B3C7E"/>
    <w:rsid w:val="009C0659"/>
    <w:rsid w:val="009D26EF"/>
    <w:rsid w:val="00A10A36"/>
    <w:rsid w:val="00A26DF2"/>
    <w:rsid w:val="00A27215"/>
    <w:rsid w:val="00A27F76"/>
    <w:rsid w:val="00A37F27"/>
    <w:rsid w:val="00A62BA4"/>
    <w:rsid w:val="00A65321"/>
    <w:rsid w:val="00A90DCB"/>
    <w:rsid w:val="00AA0244"/>
    <w:rsid w:val="00AD61AB"/>
    <w:rsid w:val="00AE4888"/>
    <w:rsid w:val="00B0253A"/>
    <w:rsid w:val="00B16FB6"/>
    <w:rsid w:val="00B22F75"/>
    <w:rsid w:val="00B2667C"/>
    <w:rsid w:val="00B32B22"/>
    <w:rsid w:val="00B353F2"/>
    <w:rsid w:val="00B56A74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34D1"/>
    <w:rsid w:val="00C3647F"/>
    <w:rsid w:val="00C370E3"/>
    <w:rsid w:val="00C44066"/>
    <w:rsid w:val="00C47ADF"/>
    <w:rsid w:val="00C55692"/>
    <w:rsid w:val="00C61018"/>
    <w:rsid w:val="00C61FB1"/>
    <w:rsid w:val="00C65DCF"/>
    <w:rsid w:val="00C66B12"/>
    <w:rsid w:val="00C85130"/>
    <w:rsid w:val="00C856E8"/>
    <w:rsid w:val="00C91F2B"/>
    <w:rsid w:val="00CC30DE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60A23"/>
    <w:rsid w:val="00D63B9E"/>
    <w:rsid w:val="00D72D34"/>
    <w:rsid w:val="00D7312B"/>
    <w:rsid w:val="00D75EC1"/>
    <w:rsid w:val="00D822E9"/>
    <w:rsid w:val="00D8448E"/>
    <w:rsid w:val="00DA09B9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4338E"/>
    <w:rsid w:val="00E774D5"/>
    <w:rsid w:val="00E8769E"/>
    <w:rsid w:val="00E90790"/>
    <w:rsid w:val="00E92C16"/>
    <w:rsid w:val="00EA52E2"/>
    <w:rsid w:val="00EA6F13"/>
    <w:rsid w:val="00ED4A91"/>
    <w:rsid w:val="00EF379E"/>
    <w:rsid w:val="00F444F8"/>
    <w:rsid w:val="00F5683D"/>
    <w:rsid w:val="00F63AF2"/>
    <w:rsid w:val="00F65D10"/>
    <w:rsid w:val="00F65FEE"/>
    <w:rsid w:val="00F904EA"/>
    <w:rsid w:val="00F94E39"/>
    <w:rsid w:val="00FC34C8"/>
    <w:rsid w:val="00FD09BE"/>
    <w:rsid w:val="00FD4151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E18E3"/>
  <w14:defaultImageDpi w14:val="0"/>
  <w15:docId w15:val="{6A134F77-7ECB-44BC-8B6B-F925CAD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  <w:style w:type="character" w:styleId="Hypertextovprepojenie">
    <w:name w:val="Hyperlink"/>
    <w:basedOn w:val="Predvolenpsmoodseku"/>
    <w:uiPriority w:val="99"/>
    <w:semiHidden/>
    <w:unhideWhenUsed/>
    <w:rsid w:val="00F90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58A3-4211-4D1E-A9C0-8E9035AE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Vetrák, Milan</cp:lastModifiedBy>
  <cp:revision>2</cp:revision>
  <cp:lastPrinted>2023-04-14T10:26:00Z</cp:lastPrinted>
  <dcterms:created xsi:type="dcterms:W3CDTF">2023-04-14T10:26:00Z</dcterms:created>
  <dcterms:modified xsi:type="dcterms:W3CDTF">2023-04-14T10:26:00Z</dcterms:modified>
</cp:coreProperties>
</file>