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06454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A65EBD7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návrhu zákona</w:t>
      </w:r>
      <w:r w:rsidRPr="00476E46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331584BA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14:paraId="7D3AF7E2" w14:textId="5B23DB45" w:rsidR="0081034D" w:rsidRPr="00476E46" w:rsidRDefault="0081034D" w:rsidP="008F0F58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Navrhovateľ zákona:</w:t>
      </w:r>
      <w:r w:rsidR="00AE6527">
        <w:rPr>
          <w:rFonts w:ascii="Book Antiqua" w:hAnsi="Book Antiqua"/>
          <w:sz w:val="22"/>
          <w:szCs w:val="22"/>
        </w:rPr>
        <w:t xml:space="preserve"> </w:t>
      </w:r>
      <w:r w:rsidR="008F0F58">
        <w:rPr>
          <w:rFonts w:ascii="Book Antiqua" w:hAnsi="Book Antiqua"/>
          <w:sz w:val="22"/>
          <w:szCs w:val="22"/>
        </w:rPr>
        <w:t xml:space="preserve">skupina poslancov </w:t>
      </w:r>
      <w:r w:rsidRPr="00476E46">
        <w:rPr>
          <w:rFonts w:ascii="Book Antiqua" w:hAnsi="Book Antiqua"/>
          <w:sz w:val="22"/>
          <w:szCs w:val="22"/>
        </w:rPr>
        <w:t>Národnej rady Slovenskej republik</w:t>
      </w:r>
      <w:r w:rsidR="008F0F58">
        <w:rPr>
          <w:rFonts w:ascii="Book Antiqua" w:hAnsi="Book Antiqua"/>
          <w:sz w:val="22"/>
          <w:szCs w:val="22"/>
        </w:rPr>
        <w:t>y</w:t>
      </w:r>
    </w:p>
    <w:p w14:paraId="3A2A5E63" w14:textId="77777777" w:rsidR="00103205" w:rsidRDefault="0081034D" w:rsidP="00103205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476E46">
        <w:rPr>
          <w:rFonts w:ascii="Book Antiqua" w:hAnsi="Book Antiqua"/>
          <w:bCs/>
          <w:sz w:val="22"/>
          <w:szCs w:val="22"/>
        </w:rPr>
        <w:t xml:space="preserve">: návrh </w:t>
      </w:r>
      <w:r w:rsidRPr="00476E46">
        <w:rPr>
          <w:rFonts w:ascii="Book Antiqua" w:hAnsi="Book Antiqua"/>
          <w:sz w:val="22"/>
          <w:szCs w:val="22"/>
        </w:rPr>
        <w:t xml:space="preserve">zákona, </w:t>
      </w:r>
      <w:r w:rsidRPr="005F302F">
        <w:rPr>
          <w:rFonts w:ascii="Book Antiqua" w:hAnsi="Book Antiqua"/>
          <w:sz w:val="22"/>
          <w:szCs w:val="22"/>
        </w:rPr>
        <w:t xml:space="preserve">ktorým sa mení a dopĺňa </w:t>
      </w:r>
      <w:r w:rsidR="0085387A" w:rsidRPr="0085387A">
        <w:rPr>
          <w:rFonts w:ascii="Book Antiqua" w:hAnsi="Book Antiqua"/>
          <w:sz w:val="22"/>
          <w:szCs w:val="22"/>
        </w:rPr>
        <w:t>zákon č. 583/2004 Z. z. o rozpočtových pravidlách územnej samosprávy a o zmene a doplnení niektorých zákonov v znení neskorších predpisov</w:t>
      </w:r>
    </w:p>
    <w:p w14:paraId="0673BD3B" w14:textId="77777777" w:rsidR="00103205" w:rsidRDefault="00103205" w:rsidP="00103205">
      <w:pPr>
        <w:pStyle w:val="Odsekzoznamu"/>
        <w:rPr>
          <w:rFonts w:ascii="Book Antiqua" w:hAnsi="Book Antiqua"/>
          <w:b/>
          <w:bCs/>
        </w:rPr>
      </w:pPr>
    </w:p>
    <w:p w14:paraId="644279E8" w14:textId="7297CCD8" w:rsidR="004C0A51" w:rsidRPr="00103205" w:rsidRDefault="004C0A51" w:rsidP="00103205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103205">
        <w:rPr>
          <w:rFonts w:ascii="Book Antiqua" w:hAnsi="Book Antiqua"/>
          <w:b/>
          <w:bCs/>
          <w:sz w:val="22"/>
          <w:szCs w:val="22"/>
        </w:rPr>
        <w:t>Predmet návrhu zákona:</w:t>
      </w:r>
    </w:p>
    <w:p w14:paraId="654BA194" w14:textId="70B2F83D" w:rsidR="004C0A51" w:rsidRPr="00DC4013" w:rsidRDefault="0085387A" w:rsidP="0085387A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5387A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="004C0A51" w:rsidRPr="00954E95">
        <w:rPr>
          <w:rFonts w:ascii="Book Antiqua" w:hAnsi="Book Antiqua"/>
          <w:sz w:val="22"/>
          <w:szCs w:val="22"/>
        </w:rPr>
        <w:t>,</w:t>
      </w:r>
    </w:p>
    <w:p w14:paraId="2182A4FA" w14:textId="0F61371C" w:rsidR="004C0A51" w:rsidRPr="00DC4013" w:rsidRDefault="0085387A" w:rsidP="004C0A51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Style w:val="awspan"/>
          <w:rFonts w:ascii="Palatino Linotype" w:hAnsi="Palatino Linotype"/>
          <w:color w:val="000000"/>
          <w:sz w:val="22"/>
          <w:szCs w:val="22"/>
        </w:rPr>
        <w:t>nie je upravený v sekundárnom práve Európskej únie</w:t>
      </w:r>
      <w:r w:rsidR="004C0A51" w:rsidRPr="00954E95">
        <w:rPr>
          <w:rFonts w:ascii="Book Antiqua" w:hAnsi="Book Antiqua"/>
          <w:bCs/>
          <w:sz w:val="22"/>
          <w:szCs w:val="22"/>
        </w:rPr>
        <w:t>,</w:t>
      </w:r>
    </w:p>
    <w:p w14:paraId="2BFFC81D" w14:textId="4C37EAF4" w:rsidR="004C0A51" w:rsidRPr="00DC4013" w:rsidRDefault="0085387A" w:rsidP="004C0A51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nie je obsiahnutý v judikatúre Súdneho dvora Európskej únie</w:t>
      </w:r>
      <w:r w:rsidR="004C0A51" w:rsidRPr="00DC4013">
        <w:rPr>
          <w:rFonts w:ascii="Book Antiqua" w:hAnsi="Book Antiqua"/>
          <w:bCs/>
          <w:sz w:val="22"/>
          <w:szCs w:val="22"/>
        </w:rPr>
        <w:t>.</w:t>
      </w:r>
    </w:p>
    <w:p w14:paraId="0EACCA58" w14:textId="77777777" w:rsidR="004C0A51" w:rsidRPr="00DC4013" w:rsidRDefault="004C0A51" w:rsidP="004C0A5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132A70F7" w14:textId="458B33C7" w:rsidR="00954E95" w:rsidRPr="00AB02B4" w:rsidRDefault="0085387A" w:rsidP="00AB02B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Vzhľadom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na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to,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že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predmet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návrhu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zákona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nie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je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upravený</w:t>
      </w:r>
      <w:bookmarkStart w:id="0" w:name="_GoBack"/>
      <w:bookmarkEnd w:id="0"/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v</w:t>
      </w:r>
      <w:r>
        <w:rPr>
          <w:rStyle w:val="awspan"/>
          <w:rFonts w:ascii="Palatino Linotype" w:hAnsi="Palatino Linotype"/>
          <w:b/>
          <w:bCs/>
          <w:color w:val="000000"/>
          <w:spacing w:val="2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práve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Európskej</w:t>
      </w:r>
      <w:r>
        <w:rPr>
          <w:rStyle w:val="awspan"/>
          <w:rFonts w:ascii="Palatino Linotype" w:hAnsi="Palatino Linotype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únie,</w:t>
      </w:r>
      <w:r>
        <w:rPr>
          <w:rStyle w:val="awspan"/>
          <w:rFonts w:ascii="Palatino Linotype" w:hAnsi="Palatino Linotype"/>
          <w:b/>
          <w:bCs/>
          <w:color w:val="000000"/>
          <w:spacing w:val="29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je bezpredmetné vyjadrovať sa k bodom 4. a 5.</w:t>
      </w:r>
    </w:p>
    <w:sectPr w:rsidR="00954E95" w:rsidRPr="00AB02B4" w:rsidSect="000C49B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0E4DC" w14:textId="77777777" w:rsidR="0091033B" w:rsidRDefault="0091033B" w:rsidP="000C49BB">
      <w:pPr>
        <w:spacing w:after="0" w:line="240" w:lineRule="auto"/>
      </w:pPr>
      <w:r>
        <w:separator/>
      </w:r>
    </w:p>
  </w:endnote>
  <w:endnote w:type="continuationSeparator" w:id="0">
    <w:p w14:paraId="4916E7E9" w14:textId="77777777" w:rsidR="0091033B" w:rsidRDefault="0091033B" w:rsidP="000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2146733877"/>
      <w:docPartObj>
        <w:docPartGallery w:val="Page Numbers (Bottom of Page)"/>
        <w:docPartUnique/>
      </w:docPartObj>
    </w:sdtPr>
    <w:sdtEndPr/>
    <w:sdtContent>
      <w:p w14:paraId="721FEA90" w14:textId="4D9E3B62" w:rsidR="000C49BB" w:rsidRPr="000C49BB" w:rsidRDefault="000C49BB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0C49BB">
          <w:rPr>
            <w:rFonts w:ascii="Times New Roman" w:hAnsi="Times New Roman" w:cs="Times New Roman"/>
            <w:sz w:val="24"/>
          </w:rPr>
          <w:fldChar w:fldCharType="begin"/>
        </w:r>
        <w:r w:rsidRPr="000C49BB">
          <w:rPr>
            <w:rFonts w:ascii="Times New Roman" w:hAnsi="Times New Roman" w:cs="Times New Roman"/>
            <w:sz w:val="24"/>
          </w:rPr>
          <w:instrText>PAGE   \* MERGEFORMAT</w:instrText>
        </w:r>
        <w:r w:rsidRPr="000C49BB">
          <w:rPr>
            <w:rFonts w:ascii="Times New Roman" w:hAnsi="Times New Roman" w:cs="Times New Roman"/>
            <w:sz w:val="24"/>
          </w:rPr>
          <w:fldChar w:fldCharType="separate"/>
        </w:r>
        <w:r w:rsidR="00AB02B4">
          <w:rPr>
            <w:rFonts w:ascii="Times New Roman" w:hAnsi="Times New Roman" w:cs="Times New Roman"/>
            <w:noProof/>
            <w:sz w:val="24"/>
          </w:rPr>
          <w:t>3</w:t>
        </w:r>
        <w:r w:rsidRPr="000C49B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D767C84" w14:textId="77777777" w:rsidR="000C49BB" w:rsidRPr="000C49BB" w:rsidRDefault="000C49BB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90DF" w14:textId="77777777" w:rsidR="0091033B" w:rsidRDefault="0091033B" w:rsidP="000C49BB">
      <w:pPr>
        <w:spacing w:after="0" w:line="240" w:lineRule="auto"/>
      </w:pPr>
      <w:r>
        <w:separator/>
      </w:r>
    </w:p>
  </w:footnote>
  <w:footnote w:type="continuationSeparator" w:id="0">
    <w:p w14:paraId="56DA07FA" w14:textId="77777777" w:rsidR="0091033B" w:rsidRDefault="0091033B" w:rsidP="000C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7BE7"/>
    <w:multiLevelType w:val="hybridMultilevel"/>
    <w:tmpl w:val="947E0AFE"/>
    <w:lvl w:ilvl="0" w:tplc="5ADCFF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B93AC4"/>
    <w:multiLevelType w:val="hybridMultilevel"/>
    <w:tmpl w:val="0B56423E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77984"/>
    <w:multiLevelType w:val="hybridMultilevel"/>
    <w:tmpl w:val="CACA59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755"/>
    <w:multiLevelType w:val="hybridMultilevel"/>
    <w:tmpl w:val="B68CBE52"/>
    <w:lvl w:ilvl="0" w:tplc="8CAACAF8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F7136C9"/>
    <w:multiLevelType w:val="hybridMultilevel"/>
    <w:tmpl w:val="DD00C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BB"/>
    <w:rsid w:val="00020E13"/>
    <w:rsid w:val="000248D8"/>
    <w:rsid w:val="000835BF"/>
    <w:rsid w:val="0009348B"/>
    <w:rsid w:val="000935E0"/>
    <w:rsid w:val="000A48EA"/>
    <w:rsid w:val="000B0387"/>
    <w:rsid w:val="000C49BB"/>
    <w:rsid w:val="000C7E8E"/>
    <w:rsid w:val="000F6F24"/>
    <w:rsid w:val="00103205"/>
    <w:rsid w:val="001234BD"/>
    <w:rsid w:val="00126A19"/>
    <w:rsid w:val="00130870"/>
    <w:rsid w:val="001338D8"/>
    <w:rsid w:val="00146898"/>
    <w:rsid w:val="0015759D"/>
    <w:rsid w:val="00163954"/>
    <w:rsid w:val="00166619"/>
    <w:rsid w:val="00172BAC"/>
    <w:rsid w:val="00211047"/>
    <w:rsid w:val="00251798"/>
    <w:rsid w:val="002B264F"/>
    <w:rsid w:val="002F1EB0"/>
    <w:rsid w:val="00384B2A"/>
    <w:rsid w:val="003917A4"/>
    <w:rsid w:val="00391A47"/>
    <w:rsid w:val="003A7315"/>
    <w:rsid w:val="003C7BD4"/>
    <w:rsid w:val="003E09A1"/>
    <w:rsid w:val="003E30E7"/>
    <w:rsid w:val="003F2AAC"/>
    <w:rsid w:val="004164DE"/>
    <w:rsid w:val="004313B0"/>
    <w:rsid w:val="0044337F"/>
    <w:rsid w:val="004602AF"/>
    <w:rsid w:val="0046037A"/>
    <w:rsid w:val="00477C57"/>
    <w:rsid w:val="00487872"/>
    <w:rsid w:val="00487D54"/>
    <w:rsid w:val="00490089"/>
    <w:rsid w:val="004B06E5"/>
    <w:rsid w:val="004B0BDA"/>
    <w:rsid w:val="004C0A51"/>
    <w:rsid w:val="004D41F8"/>
    <w:rsid w:val="004E6C76"/>
    <w:rsid w:val="004F6E3F"/>
    <w:rsid w:val="00510FD4"/>
    <w:rsid w:val="0057343E"/>
    <w:rsid w:val="00574181"/>
    <w:rsid w:val="00594CA8"/>
    <w:rsid w:val="005B79C3"/>
    <w:rsid w:val="005C604A"/>
    <w:rsid w:val="005D222B"/>
    <w:rsid w:val="005F302F"/>
    <w:rsid w:val="005F469B"/>
    <w:rsid w:val="00603BEB"/>
    <w:rsid w:val="00606D6F"/>
    <w:rsid w:val="0061297C"/>
    <w:rsid w:val="00622BAF"/>
    <w:rsid w:val="00634E59"/>
    <w:rsid w:val="00660608"/>
    <w:rsid w:val="0069704A"/>
    <w:rsid w:val="006B1032"/>
    <w:rsid w:val="006D6B53"/>
    <w:rsid w:val="0070304E"/>
    <w:rsid w:val="00703CBA"/>
    <w:rsid w:val="00721001"/>
    <w:rsid w:val="00737A1B"/>
    <w:rsid w:val="00742DC3"/>
    <w:rsid w:val="00761987"/>
    <w:rsid w:val="00793354"/>
    <w:rsid w:val="0079797B"/>
    <w:rsid w:val="007E028D"/>
    <w:rsid w:val="0081034D"/>
    <w:rsid w:val="00847F49"/>
    <w:rsid w:val="00853199"/>
    <w:rsid w:val="0085387A"/>
    <w:rsid w:val="00854017"/>
    <w:rsid w:val="008673F1"/>
    <w:rsid w:val="00870073"/>
    <w:rsid w:val="00871BB9"/>
    <w:rsid w:val="00890A79"/>
    <w:rsid w:val="00896B47"/>
    <w:rsid w:val="00897E2F"/>
    <w:rsid w:val="008B3B96"/>
    <w:rsid w:val="008E7BBA"/>
    <w:rsid w:val="008F0F58"/>
    <w:rsid w:val="008F3ACA"/>
    <w:rsid w:val="00901C92"/>
    <w:rsid w:val="0091033B"/>
    <w:rsid w:val="00932EC1"/>
    <w:rsid w:val="009414D0"/>
    <w:rsid w:val="00954E95"/>
    <w:rsid w:val="00957295"/>
    <w:rsid w:val="00971FD4"/>
    <w:rsid w:val="00976802"/>
    <w:rsid w:val="009A4F3F"/>
    <w:rsid w:val="009E02AE"/>
    <w:rsid w:val="009E5A5F"/>
    <w:rsid w:val="009F31BA"/>
    <w:rsid w:val="009F673B"/>
    <w:rsid w:val="00A4510E"/>
    <w:rsid w:val="00A46A14"/>
    <w:rsid w:val="00A72903"/>
    <w:rsid w:val="00A74FD3"/>
    <w:rsid w:val="00AA0248"/>
    <w:rsid w:val="00AB02B4"/>
    <w:rsid w:val="00AB70F4"/>
    <w:rsid w:val="00AE6527"/>
    <w:rsid w:val="00AF6775"/>
    <w:rsid w:val="00B1015D"/>
    <w:rsid w:val="00B14582"/>
    <w:rsid w:val="00B2032C"/>
    <w:rsid w:val="00B23D68"/>
    <w:rsid w:val="00B33130"/>
    <w:rsid w:val="00B44783"/>
    <w:rsid w:val="00BA4186"/>
    <w:rsid w:val="00BF3AEC"/>
    <w:rsid w:val="00BF4E5F"/>
    <w:rsid w:val="00C03F3D"/>
    <w:rsid w:val="00C11130"/>
    <w:rsid w:val="00C43B6C"/>
    <w:rsid w:val="00C57A1F"/>
    <w:rsid w:val="00C856D7"/>
    <w:rsid w:val="00CE5810"/>
    <w:rsid w:val="00CE5AAA"/>
    <w:rsid w:val="00CF4D33"/>
    <w:rsid w:val="00D07372"/>
    <w:rsid w:val="00D261A8"/>
    <w:rsid w:val="00D77C5B"/>
    <w:rsid w:val="00DA29A8"/>
    <w:rsid w:val="00DA725D"/>
    <w:rsid w:val="00DD30EE"/>
    <w:rsid w:val="00DE09B4"/>
    <w:rsid w:val="00DF4606"/>
    <w:rsid w:val="00E032BF"/>
    <w:rsid w:val="00E16225"/>
    <w:rsid w:val="00E2079D"/>
    <w:rsid w:val="00E343FE"/>
    <w:rsid w:val="00E413EA"/>
    <w:rsid w:val="00E55393"/>
    <w:rsid w:val="00E67F9B"/>
    <w:rsid w:val="00E738EE"/>
    <w:rsid w:val="00EA00EB"/>
    <w:rsid w:val="00EF2E77"/>
    <w:rsid w:val="00F25283"/>
    <w:rsid w:val="00F25F46"/>
    <w:rsid w:val="00F974E4"/>
    <w:rsid w:val="00FA5A6C"/>
    <w:rsid w:val="00FB716A"/>
    <w:rsid w:val="00FC463F"/>
    <w:rsid w:val="00FD4015"/>
    <w:rsid w:val="00FF5E73"/>
    <w:rsid w:val="40A0C0B4"/>
    <w:rsid w:val="6F181D43"/>
    <w:rsid w:val="7BDA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75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49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9BB"/>
  </w:style>
  <w:style w:type="paragraph" w:styleId="Pta">
    <w:name w:val="footer"/>
    <w:basedOn w:val="Normlny"/>
    <w:link w:val="PtaChar"/>
    <w:uiPriority w:val="99"/>
    <w:unhideWhenUsed/>
    <w:rsid w:val="000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9BB"/>
  </w:style>
  <w:style w:type="paragraph" w:styleId="Revzia">
    <w:name w:val="Revision"/>
    <w:hidden/>
    <w:uiPriority w:val="99"/>
    <w:semiHidden/>
    <w:rsid w:val="00DE09B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E5F"/>
    <w:rPr>
      <w:rFonts w:ascii="Segoe UI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qFormat/>
    <w:rsid w:val="003A7315"/>
    <w:pPr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3A7315"/>
    <w:rPr>
      <w:rFonts w:ascii="Arial Narrow" w:eastAsia="Times New Roman" w:hAnsi="Arial Narrow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A73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A73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ywebov">
    <w:name w:val="Normal (Web)"/>
    <w:basedOn w:val="Normlny"/>
    <w:uiPriority w:val="99"/>
    <w:unhideWhenUsed/>
    <w:rsid w:val="0081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5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4A1F-588D-4250-9B43-3F06A470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2023-04-13T09:48:00Z</dcterms:created>
  <dcterms:modified xsi:type="dcterms:W3CDTF">2023-04-13T09:48:00Z</dcterms:modified>
</cp:coreProperties>
</file>