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E2D63" w14:textId="4DC67899" w:rsidR="00280729" w:rsidRDefault="00280729" w:rsidP="00280729">
      <w:pPr>
        <w:spacing w:before="120" w:after="0" w:line="276" w:lineRule="auto"/>
        <w:jc w:val="center"/>
        <w:rPr>
          <w:rFonts w:ascii="Book Antiqua" w:hAnsi="Book Antiqua" w:cs="Times New Roman"/>
          <w:b/>
          <w:caps/>
          <w:spacing w:val="30"/>
        </w:rPr>
      </w:pPr>
      <w:r>
        <w:rPr>
          <w:rFonts w:ascii="Book Antiqua" w:hAnsi="Book Antiqua" w:cs="Times New Roman"/>
          <w:b/>
          <w:caps/>
          <w:spacing w:val="30"/>
        </w:rPr>
        <w:t>NáRODNÁ RADA SLOVENSKEJ REPUBLIKY</w:t>
      </w:r>
    </w:p>
    <w:p w14:paraId="520D717A" w14:textId="7E5904C0" w:rsidR="00280729" w:rsidRDefault="00280729" w:rsidP="00280729">
      <w:pPr>
        <w:pBdr>
          <w:bottom w:val="single" w:sz="6" w:space="1" w:color="auto"/>
        </w:pBdr>
        <w:spacing w:before="120" w:after="0" w:line="276" w:lineRule="auto"/>
        <w:jc w:val="center"/>
        <w:rPr>
          <w:rFonts w:ascii="Book Antiqua" w:hAnsi="Book Antiqua" w:cs="Times New Roman"/>
          <w:b/>
          <w:caps/>
          <w:spacing w:val="30"/>
        </w:rPr>
      </w:pPr>
      <w:r>
        <w:rPr>
          <w:rFonts w:ascii="Book Antiqua" w:hAnsi="Book Antiqua" w:cs="Times New Roman"/>
          <w:b/>
          <w:caps/>
          <w:spacing w:val="30"/>
        </w:rPr>
        <w:t>VIII. VOLEBNÉ OBDOBIE</w:t>
      </w:r>
    </w:p>
    <w:p w14:paraId="3CFD039B" w14:textId="77777777" w:rsidR="00280729" w:rsidRDefault="00280729" w:rsidP="00280729">
      <w:pPr>
        <w:spacing w:before="120" w:after="0" w:line="276" w:lineRule="auto"/>
        <w:jc w:val="center"/>
        <w:rPr>
          <w:rFonts w:ascii="Book Antiqua" w:hAnsi="Book Antiqua" w:cs="Times New Roman"/>
          <w:b/>
          <w:caps/>
          <w:spacing w:val="30"/>
        </w:rPr>
      </w:pPr>
    </w:p>
    <w:p w14:paraId="16063F0F" w14:textId="7E7726F3" w:rsidR="00280729" w:rsidRDefault="00280729" w:rsidP="00280729">
      <w:pPr>
        <w:spacing w:before="120" w:after="0" w:line="276" w:lineRule="auto"/>
        <w:jc w:val="center"/>
        <w:rPr>
          <w:rFonts w:ascii="Book Antiqua" w:hAnsi="Book Antiqua" w:cs="Times New Roman"/>
          <w:b/>
          <w:i/>
          <w:caps/>
          <w:spacing w:val="30"/>
        </w:rPr>
      </w:pPr>
      <w:r w:rsidRPr="00280729">
        <w:rPr>
          <w:rFonts w:ascii="Book Antiqua" w:hAnsi="Book Antiqua" w:cs="Times New Roman"/>
          <w:i/>
        </w:rPr>
        <w:t>Návrh</w:t>
      </w:r>
    </w:p>
    <w:p w14:paraId="5E16ADE9" w14:textId="14D52A30" w:rsidR="00280729" w:rsidRDefault="00280729" w:rsidP="00280729">
      <w:pPr>
        <w:spacing w:before="120" w:after="0" w:line="276" w:lineRule="auto"/>
        <w:jc w:val="center"/>
        <w:rPr>
          <w:rFonts w:ascii="Book Antiqua" w:hAnsi="Book Antiqua" w:cs="Times New Roman"/>
          <w:b/>
          <w:i/>
          <w:caps/>
          <w:spacing w:val="30"/>
        </w:rPr>
      </w:pPr>
    </w:p>
    <w:p w14:paraId="27827E42" w14:textId="74D3BFD0" w:rsidR="00280729" w:rsidRDefault="00280729" w:rsidP="00280729">
      <w:pPr>
        <w:spacing w:before="120" w:after="0" w:line="276" w:lineRule="auto"/>
        <w:jc w:val="center"/>
        <w:rPr>
          <w:rFonts w:ascii="Book Antiqua" w:hAnsi="Book Antiqua" w:cs="Times New Roman"/>
          <w:b/>
          <w:caps/>
          <w:spacing w:val="30"/>
        </w:rPr>
      </w:pPr>
      <w:r w:rsidRPr="00280729">
        <w:rPr>
          <w:rFonts w:ascii="Book Antiqua" w:hAnsi="Book Antiqua" w:cs="Times New Roman"/>
          <w:b/>
        </w:rPr>
        <w:t>Zákon</w:t>
      </w:r>
    </w:p>
    <w:p w14:paraId="7A7294C1" w14:textId="011B880F" w:rsidR="00280729" w:rsidRDefault="00280729" w:rsidP="00280729">
      <w:pPr>
        <w:spacing w:before="120" w:after="0" w:line="276" w:lineRule="auto"/>
        <w:jc w:val="center"/>
        <w:rPr>
          <w:rFonts w:ascii="Book Antiqua" w:hAnsi="Book Antiqua" w:cs="Times New Roman"/>
          <w:b/>
          <w:caps/>
          <w:spacing w:val="30"/>
        </w:rPr>
      </w:pPr>
    </w:p>
    <w:p w14:paraId="0D1B71BC" w14:textId="4D1E3D2D" w:rsidR="00280729" w:rsidRDefault="00280729" w:rsidP="00280729">
      <w:pPr>
        <w:spacing w:before="120" w:after="0" w:line="276" w:lineRule="auto"/>
        <w:jc w:val="center"/>
        <w:rPr>
          <w:rFonts w:ascii="Book Antiqua" w:hAnsi="Book Antiqua" w:cs="Times New Roman"/>
        </w:rPr>
      </w:pPr>
      <w:r w:rsidRPr="00280729">
        <w:rPr>
          <w:rFonts w:ascii="Book Antiqua" w:hAnsi="Book Antiqua" w:cs="Times New Roman"/>
        </w:rPr>
        <w:t>z ..... 2022</w:t>
      </w:r>
      <w:r>
        <w:rPr>
          <w:rFonts w:ascii="Book Antiqua" w:hAnsi="Book Antiqua" w:cs="Times New Roman"/>
        </w:rPr>
        <w:t>,</w:t>
      </w:r>
    </w:p>
    <w:p w14:paraId="1C1DC4A3" w14:textId="0C3B6BE3" w:rsidR="00280729" w:rsidRDefault="00280729" w:rsidP="00280729">
      <w:pPr>
        <w:spacing w:before="120" w:after="0" w:line="276" w:lineRule="auto"/>
        <w:jc w:val="center"/>
        <w:rPr>
          <w:rFonts w:ascii="Book Antiqua" w:hAnsi="Book Antiqua" w:cs="Times New Roman"/>
        </w:rPr>
      </w:pPr>
    </w:p>
    <w:p w14:paraId="0D914679" w14:textId="6213920F" w:rsidR="00280729" w:rsidRPr="00280729" w:rsidRDefault="00280729" w:rsidP="00280729">
      <w:pPr>
        <w:spacing w:before="120" w:after="0" w:line="276" w:lineRule="auto"/>
        <w:jc w:val="center"/>
        <w:rPr>
          <w:rFonts w:ascii="Palatino Linotype" w:hAnsi="Palatino Linotype" w:cs="Times New Roman"/>
          <w:b/>
          <w:caps/>
          <w:spacing w:val="30"/>
        </w:rPr>
      </w:pPr>
      <w:r w:rsidRPr="00280729">
        <w:rPr>
          <w:rFonts w:ascii="Palatino Linotype" w:hAnsi="Palatino Linotype" w:cs="Times New Roman"/>
          <w:b/>
        </w:rPr>
        <w:t>ktorým sa mení a dopĺňa zákon č. 583/2004 Z. z. o rozpočtových pravidlách územnej samosprávy a o zmene a doplnení niektorých zákonov v znení neskorších predpisov</w:t>
      </w:r>
    </w:p>
    <w:p w14:paraId="23D73306" w14:textId="5F8A86A0" w:rsidR="00280729" w:rsidRPr="00280729" w:rsidRDefault="00280729" w:rsidP="00280729">
      <w:pPr>
        <w:spacing w:before="120" w:after="0" w:line="276" w:lineRule="auto"/>
        <w:jc w:val="center"/>
        <w:rPr>
          <w:rFonts w:ascii="Palatino Linotype" w:hAnsi="Palatino Linotype" w:cs="Times New Roman"/>
          <w:b/>
          <w:caps/>
          <w:spacing w:val="30"/>
        </w:rPr>
      </w:pPr>
    </w:p>
    <w:p w14:paraId="605B8F99" w14:textId="4695F369" w:rsidR="00280729" w:rsidRDefault="00280729" w:rsidP="00280729">
      <w:pPr>
        <w:spacing w:before="120" w:after="0" w:line="276" w:lineRule="auto"/>
        <w:jc w:val="center"/>
        <w:rPr>
          <w:rFonts w:ascii="Palatino Linotype" w:hAnsi="Palatino Linotype"/>
          <w:color w:val="000000"/>
        </w:rPr>
      </w:pPr>
      <w:r w:rsidRPr="00280729">
        <w:rPr>
          <w:rFonts w:ascii="Palatino Linotype" w:hAnsi="Palatino Linotype"/>
          <w:color w:val="000000"/>
        </w:rPr>
        <w:t>Národná rada Slovenskej republiky sa uzniesla na tomto zákone:</w:t>
      </w:r>
    </w:p>
    <w:p w14:paraId="273936C7" w14:textId="77777777" w:rsidR="00280729" w:rsidRDefault="00280729" w:rsidP="00280729">
      <w:pPr>
        <w:spacing w:before="120" w:after="0" w:line="276" w:lineRule="auto"/>
        <w:jc w:val="center"/>
        <w:rPr>
          <w:rFonts w:ascii="Palatino Linotype" w:hAnsi="Palatino Linotype"/>
          <w:color w:val="000000"/>
        </w:rPr>
      </w:pPr>
    </w:p>
    <w:p w14:paraId="3E118E52" w14:textId="74CAE828" w:rsidR="00280729" w:rsidRPr="00E26338" w:rsidRDefault="00280729" w:rsidP="00280729">
      <w:pPr>
        <w:spacing w:before="120" w:after="0" w:line="276" w:lineRule="auto"/>
        <w:jc w:val="center"/>
        <w:rPr>
          <w:rFonts w:ascii="Palatino Linotype" w:hAnsi="Palatino Linotype"/>
          <w:b/>
          <w:color w:val="000000"/>
        </w:rPr>
      </w:pPr>
      <w:r w:rsidRPr="00E26338">
        <w:rPr>
          <w:rFonts w:ascii="Palatino Linotype" w:hAnsi="Palatino Linotype"/>
          <w:b/>
          <w:color w:val="000000"/>
        </w:rPr>
        <w:t>Čl. I</w:t>
      </w:r>
    </w:p>
    <w:p w14:paraId="385E5701" w14:textId="2A573037" w:rsidR="00280729" w:rsidRDefault="00434EB6" w:rsidP="00280729">
      <w:pPr>
        <w:spacing w:before="120" w:after="0" w:line="276" w:lineRule="auto"/>
        <w:ind w:firstLine="708"/>
        <w:jc w:val="both"/>
        <w:rPr>
          <w:rStyle w:val="awspan"/>
          <w:rFonts w:ascii="Palatino Linotype" w:hAnsi="Palatino Linotype"/>
          <w:color w:val="000000"/>
        </w:rPr>
      </w:pPr>
      <w:r w:rsidRPr="00434EB6">
        <w:rPr>
          <w:rStyle w:val="awspan"/>
          <w:rFonts w:ascii="Palatino Linotype" w:hAnsi="Palatino Linotype"/>
          <w:color w:val="000000"/>
        </w:rPr>
        <w:t>Zákon č. 583/2004 Z. z. o rozpočtových pravidlách územnej samosprávy a o zmene a doplnení niektorých zákonov v znení v</w:t>
      </w:r>
      <w:r>
        <w:rPr>
          <w:rStyle w:val="awspan"/>
          <w:rFonts w:ascii="Palatino Linotype" w:hAnsi="Palatino Linotype"/>
          <w:color w:val="000000"/>
        </w:rPr>
        <w:t> </w:t>
      </w:r>
      <w:r w:rsidRPr="00434EB6">
        <w:rPr>
          <w:rStyle w:val="awspan"/>
          <w:rFonts w:ascii="Palatino Linotype" w:hAnsi="Palatino Linotype"/>
          <w:color w:val="000000"/>
        </w:rPr>
        <w:t>znení</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č. 611/2005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324/2007 Z.</w:t>
      </w:r>
      <w:r w:rsidR="009E56A6">
        <w:rPr>
          <w:rStyle w:val="awspan"/>
          <w:rFonts w:ascii="Palatino Linotype" w:hAnsi="Palatino Linotype"/>
          <w:color w:val="000000"/>
        </w:rPr>
        <w:t> </w:t>
      </w:r>
      <w:r w:rsidRPr="00434EB6">
        <w:rPr>
          <w:rStyle w:val="awspan"/>
          <w:rFonts w:ascii="Palatino Linotype" w:hAnsi="Palatino Linotype"/>
          <w:color w:val="000000"/>
        </w:rPr>
        <w:t>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324/2007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54/2009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426/2013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426/2013 Z.</w:t>
      </w:r>
      <w:r w:rsidR="009E56A6">
        <w:rPr>
          <w:rStyle w:val="awspan"/>
          <w:rFonts w:ascii="Palatino Linotype" w:hAnsi="Palatino Linotype"/>
          <w:color w:val="000000"/>
        </w:rPr>
        <w:t> </w:t>
      </w:r>
      <w:r w:rsidRPr="00434EB6">
        <w:rPr>
          <w:rStyle w:val="awspan"/>
          <w:rFonts w:ascii="Palatino Linotype" w:hAnsi="Palatino Linotype"/>
          <w:color w:val="000000"/>
        </w:rPr>
        <w:t>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426/2013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426/2013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 xml:space="preserve">361/2014 Z. z., </w:t>
      </w:r>
      <w:r>
        <w:rPr>
          <w:rStyle w:val="awspan"/>
          <w:rFonts w:ascii="Palatino Linotype" w:hAnsi="Palatino Linotype"/>
          <w:color w:val="000000"/>
        </w:rPr>
        <w:t>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171/2015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357/2015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 xml:space="preserve">91/2016 Z. z., </w:t>
      </w:r>
      <w:r>
        <w:rPr>
          <w:rStyle w:val="awspan"/>
          <w:rFonts w:ascii="Palatino Linotype" w:hAnsi="Palatino Linotype"/>
          <w:color w:val="000000"/>
        </w:rPr>
        <w:t>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310/2016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310/2016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359/2020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201/2021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121/2022 Z. z.,</w:t>
      </w:r>
      <w:r>
        <w:rPr>
          <w:rStyle w:val="awspan"/>
          <w:rFonts w:ascii="Palatino Linotype" w:hAnsi="Palatino Linotype"/>
          <w:color w:val="000000"/>
        </w:rPr>
        <w:t xml:space="preserve"> zákona</w:t>
      </w:r>
      <w:r w:rsidRPr="00434EB6">
        <w:rPr>
          <w:rStyle w:val="awspan"/>
          <w:rFonts w:ascii="Palatino Linotype" w:hAnsi="Palatino Linotype"/>
          <w:color w:val="000000"/>
        </w:rPr>
        <w:t xml:space="preserve"> </w:t>
      </w:r>
      <w:r>
        <w:rPr>
          <w:rStyle w:val="awspan"/>
          <w:rFonts w:ascii="Palatino Linotype" w:hAnsi="Palatino Linotype"/>
          <w:color w:val="000000"/>
        </w:rPr>
        <w:t xml:space="preserve">č. </w:t>
      </w:r>
      <w:r w:rsidRPr="00434EB6">
        <w:rPr>
          <w:rStyle w:val="awspan"/>
          <w:rFonts w:ascii="Palatino Linotype" w:hAnsi="Palatino Linotype"/>
          <w:color w:val="000000"/>
        </w:rPr>
        <w:t>365/2022 Z. z.</w:t>
      </w:r>
      <w:r w:rsidR="00280729">
        <w:rPr>
          <w:rStyle w:val="awspan"/>
          <w:rFonts w:ascii="Palatino Linotype" w:hAnsi="Palatino Linotype"/>
          <w:color w:val="000000"/>
          <w:spacing w:val="11"/>
        </w:rPr>
        <w:t xml:space="preserve"> </w:t>
      </w:r>
      <w:r w:rsidR="00280729">
        <w:rPr>
          <w:rStyle w:val="awspan"/>
          <w:rFonts w:ascii="Palatino Linotype" w:hAnsi="Palatino Linotype"/>
          <w:color w:val="000000"/>
        </w:rPr>
        <w:t>sa</w:t>
      </w:r>
      <w:r w:rsidR="00280729">
        <w:rPr>
          <w:rStyle w:val="awspan"/>
          <w:rFonts w:ascii="Palatino Linotype" w:hAnsi="Palatino Linotype"/>
          <w:color w:val="000000"/>
          <w:spacing w:val="11"/>
        </w:rPr>
        <w:t xml:space="preserve"> </w:t>
      </w:r>
      <w:r w:rsidR="00280729">
        <w:rPr>
          <w:rStyle w:val="awspan"/>
          <w:rFonts w:ascii="Palatino Linotype" w:hAnsi="Palatino Linotype"/>
          <w:color w:val="000000"/>
        </w:rPr>
        <w:t>mení</w:t>
      </w:r>
      <w:r w:rsidR="00280729">
        <w:rPr>
          <w:rStyle w:val="awspan"/>
          <w:rFonts w:ascii="Palatino Linotype" w:hAnsi="Palatino Linotype"/>
          <w:color w:val="000000"/>
          <w:spacing w:val="11"/>
        </w:rPr>
        <w:t xml:space="preserve"> </w:t>
      </w:r>
      <w:r w:rsidR="00280729">
        <w:rPr>
          <w:rStyle w:val="awspan"/>
          <w:rFonts w:ascii="Palatino Linotype" w:hAnsi="Palatino Linotype"/>
          <w:color w:val="000000"/>
        </w:rPr>
        <w:t>a</w:t>
      </w:r>
      <w:r w:rsidR="00280729">
        <w:rPr>
          <w:rStyle w:val="awspan"/>
          <w:rFonts w:ascii="Palatino Linotype" w:hAnsi="Palatino Linotype"/>
          <w:color w:val="000000"/>
          <w:spacing w:val="11"/>
        </w:rPr>
        <w:t xml:space="preserve"> </w:t>
      </w:r>
      <w:r w:rsidR="00280729">
        <w:rPr>
          <w:rStyle w:val="awspan"/>
          <w:rFonts w:ascii="Palatino Linotype" w:hAnsi="Palatino Linotype"/>
          <w:color w:val="000000"/>
        </w:rPr>
        <w:t>dopĺňa takto:</w:t>
      </w:r>
    </w:p>
    <w:p w14:paraId="636A809B" w14:textId="77777777" w:rsidR="001067F2" w:rsidRPr="001067F2" w:rsidRDefault="001067F2" w:rsidP="001067F2">
      <w:pPr>
        <w:pStyle w:val="Odsekzoznamu"/>
        <w:numPr>
          <w:ilvl w:val="0"/>
          <w:numId w:val="10"/>
        </w:numPr>
        <w:spacing w:before="120" w:after="0" w:line="276" w:lineRule="auto"/>
        <w:jc w:val="both"/>
        <w:rPr>
          <w:rFonts w:ascii="Palatino Linotype" w:hAnsi="Palatino Linotype"/>
          <w:color w:val="000000"/>
        </w:rPr>
      </w:pPr>
      <w:r w:rsidRPr="001067F2">
        <w:rPr>
          <w:rFonts w:ascii="Palatino Linotype" w:hAnsi="Palatino Linotype"/>
          <w:color w:val="000000"/>
        </w:rPr>
        <w:t>V § 19 sa za odsek 28 vkladá nový odsek 29, ktorý znie:</w:t>
      </w:r>
    </w:p>
    <w:p w14:paraId="774F7D2D" w14:textId="77777777" w:rsidR="006437F2" w:rsidRDefault="006437F2" w:rsidP="001067F2">
      <w:pPr>
        <w:pStyle w:val="Odsekzoznamu"/>
        <w:spacing w:before="120" w:after="0" w:line="276" w:lineRule="auto"/>
        <w:jc w:val="both"/>
        <w:rPr>
          <w:rFonts w:ascii="Palatino Linotype" w:hAnsi="Palatino Linotype"/>
          <w:color w:val="000000"/>
        </w:rPr>
      </w:pPr>
    </w:p>
    <w:p w14:paraId="37E2BC27" w14:textId="3455126E" w:rsidR="00434EB6" w:rsidRDefault="001067F2" w:rsidP="001067F2">
      <w:pPr>
        <w:pStyle w:val="Odsekzoznamu"/>
        <w:spacing w:before="120" w:after="0" w:line="276" w:lineRule="auto"/>
        <w:jc w:val="both"/>
        <w:rPr>
          <w:rFonts w:ascii="Palatino Linotype" w:hAnsi="Palatino Linotype"/>
          <w:color w:val="000000"/>
        </w:rPr>
      </w:pPr>
      <w:r>
        <w:rPr>
          <w:rFonts w:ascii="Palatino Linotype" w:hAnsi="Palatino Linotype"/>
          <w:color w:val="000000"/>
        </w:rPr>
        <w:t>„</w:t>
      </w:r>
      <w:r w:rsidRPr="001067F2">
        <w:rPr>
          <w:rFonts w:ascii="Palatino Linotype" w:hAnsi="Palatino Linotype"/>
          <w:color w:val="000000"/>
        </w:rPr>
        <w:t>(29) Zavedením nútenej správy začína plynúť lehota 15 rokov na uspokojenie splatných pohľadávok veriteľov, ktoré vznikli, boli uznané, alebo boli priznané súdnym alebo iným obdobným rozhodnutím pred zavedením nútenej správy. Exekučné konania a konania o nútenom výkone rozhodnutí týkajúce sa pohľadávok podľa prvej vety tohto odseku sa uplynutím lehoty podľa prvej vety tohto odseku zastavujú. Pohľadávky podľa prvej vety tohto odseku sa v rozsahu v akom neboli uspokojené v lehote podľa prvej vety tohto odseku stávajú nevymáhateľnými. Uplynutím lehoty podľa prvej vety tohto odseku nie je možné začať exekučné konanie ani konanie o nútenom výkone rozhodnutí týkajúce sa pohľadávok podľa prvej vety tohto odseku.</w:t>
      </w:r>
      <w:r w:rsidR="009E56A6">
        <w:rPr>
          <w:rFonts w:ascii="Palatino Linotype" w:hAnsi="Palatino Linotype"/>
          <w:color w:val="000000"/>
        </w:rPr>
        <w:t xml:space="preserve"> Lehota na uspokojenie pohľadávok podľa prvej vety tohto odseku neuplynie skôr ako jeden rok od</w:t>
      </w:r>
      <w:r w:rsidR="00004029">
        <w:rPr>
          <w:rFonts w:ascii="Palatino Linotype" w:hAnsi="Palatino Linotype"/>
          <w:color w:val="000000"/>
        </w:rPr>
        <w:t>o dňa</w:t>
      </w:r>
      <w:r w:rsidR="009E56A6">
        <w:rPr>
          <w:rFonts w:ascii="Palatino Linotype" w:hAnsi="Palatino Linotype"/>
          <w:color w:val="000000"/>
        </w:rPr>
        <w:t xml:space="preserve"> účinnosti tohto zákona.</w:t>
      </w:r>
      <w:r>
        <w:rPr>
          <w:rFonts w:ascii="Palatino Linotype" w:hAnsi="Palatino Linotype"/>
          <w:color w:val="000000"/>
        </w:rPr>
        <w:t>“</w:t>
      </w:r>
    </w:p>
    <w:p w14:paraId="6E9BB716" w14:textId="77777777" w:rsidR="001067F2" w:rsidRPr="001067F2" w:rsidRDefault="001067F2" w:rsidP="001067F2">
      <w:pPr>
        <w:pStyle w:val="Odsekzoznamu"/>
        <w:spacing w:before="120" w:after="0" w:line="276" w:lineRule="auto"/>
        <w:jc w:val="both"/>
        <w:rPr>
          <w:rFonts w:ascii="Palatino Linotype" w:hAnsi="Palatino Linotype"/>
          <w:color w:val="000000"/>
        </w:rPr>
      </w:pPr>
    </w:p>
    <w:p w14:paraId="46D5B05C" w14:textId="298B07C6" w:rsidR="001067F2" w:rsidRDefault="001067F2" w:rsidP="001067F2">
      <w:pPr>
        <w:pStyle w:val="Odsekzoznamu"/>
        <w:numPr>
          <w:ilvl w:val="0"/>
          <w:numId w:val="10"/>
        </w:numPr>
        <w:spacing w:before="120" w:after="0" w:line="276" w:lineRule="auto"/>
        <w:jc w:val="both"/>
        <w:rPr>
          <w:rFonts w:ascii="Palatino Linotype" w:hAnsi="Palatino Linotype"/>
          <w:color w:val="000000"/>
        </w:rPr>
      </w:pPr>
      <w:r>
        <w:rPr>
          <w:rFonts w:ascii="Palatino Linotype" w:hAnsi="Palatino Linotype"/>
          <w:color w:val="000000"/>
        </w:rPr>
        <w:lastRenderedPageBreak/>
        <w:t>Doterajšie odseky 29 a 30 sa označujú ako odseky 30 a</w:t>
      </w:r>
      <w:r w:rsidR="00D761E9">
        <w:rPr>
          <w:rFonts w:ascii="Palatino Linotype" w:hAnsi="Palatino Linotype"/>
          <w:color w:val="000000"/>
        </w:rPr>
        <w:t> </w:t>
      </w:r>
      <w:r>
        <w:rPr>
          <w:rFonts w:ascii="Palatino Linotype" w:hAnsi="Palatino Linotype"/>
          <w:color w:val="000000"/>
        </w:rPr>
        <w:t>31</w:t>
      </w:r>
      <w:r w:rsidR="00D761E9">
        <w:rPr>
          <w:rFonts w:ascii="Palatino Linotype" w:hAnsi="Palatino Linotype"/>
          <w:color w:val="000000"/>
        </w:rPr>
        <w:t>.</w:t>
      </w:r>
    </w:p>
    <w:p w14:paraId="6EF82063" w14:textId="77777777" w:rsidR="00E26338" w:rsidRDefault="00E26338" w:rsidP="00E26338">
      <w:pPr>
        <w:pStyle w:val="Odsekzoznamu"/>
        <w:spacing w:before="120" w:after="0" w:line="276" w:lineRule="auto"/>
        <w:jc w:val="both"/>
        <w:rPr>
          <w:rFonts w:ascii="Palatino Linotype" w:hAnsi="Palatino Linotype"/>
          <w:color w:val="000000"/>
        </w:rPr>
      </w:pPr>
    </w:p>
    <w:p w14:paraId="6D456948" w14:textId="55B5F352" w:rsidR="001067F2" w:rsidRDefault="001067F2" w:rsidP="001067F2">
      <w:pPr>
        <w:pStyle w:val="Odsekzoznamu"/>
        <w:numPr>
          <w:ilvl w:val="0"/>
          <w:numId w:val="10"/>
        </w:numPr>
        <w:spacing w:before="120" w:after="0" w:line="276" w:lineRule="auto"/>
        <w:jc w:val="both"/>
        <w:rPr>
          <w:rFonts w:ascii="Palatino Linotype" w:hAnsi="Palatino Linotype"/>
          <w:color w:val="000000"/>
        </w:rPr>
      </w:pPr>
      <w:r>
        <w:rPr>
          <w:rFonts w:ascii="Palatino Linotype" w:hAnsi="Palatino Linotype"/>
          <w:color w:val="000000"/>
        </w:rPr>
        <w:t>V § 19 ods. 30 sa číslica „28“ nahrádza číslicou „29“</w:t>
      </w:r>
      <w:r w:rsidR="00D761E9">
        <w:rPr>
          <w:rFonts w:ascii="Palatino Linotype" w:hAnsi="Palatino Linotype"/>
          <w:color w:val="000000"/>
        </w:rPr>
        <w:t>.</w:t>
      </w:r>
    </w:p>
    <w:p w14:paraId="63A910EC" w14:textId="77777777" w:rsidR="00E26338" w:rsidRDefault="00E26338" w:rsidP="00E26338">
      <w:pPr>
        <w:pStyle w:val="Odsekzoznamu"/>
        <w:spacing w:before="120" w:after="0" w:line="276" w:lineRule="auto"/>
        <w:jc w:val="both"/>
        <w:rPr>
          <w:rFonts w:ascii="Palatino Linotype" w:hAnsi="Palatino Linotype"/>
          <w:color w:val="000000"/>
        </w:rPr>
      </w:pPr>
    </w:p>
    <w:p w14:paraId="5A8814B5" w14:textId="31237127" w:rsidR="001067F2" w:rsidRDefault="001067F2" w:rsidP="001067F2">
      <w:pPr>
        <w:pStyle w:val="Odsekzoznamu"/>
        <w:numPr>
          <w:ilvl w:val="0"/>
          <w:numId w:val="10"/>
        </w:numPr>
        <w:spacing w:before="120" w:after="0" w:line="276" w:lineRule="auto"/>
        <w:jc w:val="both"/>
        <w:rPr>
          <w:rFonts w:ascii="Palatino Linotype" w:hAnsi="Palatino Linotype"/>
          <w:color w:val="000000"/>
        </w:rPr>
      </w:pPr>
      <w:r>
        <w:rPr>
          <w:rFonts w:ascii="Palatino Linotype" w:hAnsi="Palatino Linotype"/>
          <w:color w:val="000000"/>
        </w:rPr>
        <w:t>V § 19 ods. 3</w:t>
      </w:r>
      <w:r w:rsidR="00E26338">
        <w:rPr>
          <w:rFonts w:ascii="Palatino Linotype" w:hAnsi="Palatino Linotype"/>
          <w:color w:val="000000"/>
        </w:rPr>
        <w:t>1</w:t>
      </w:r>
      <w:r>
        <w:rPr>
          <w:rFonts w:ascii="Palatino Linotype" w:hAnsi="Palatino Linotype"/>
          <w:color w:val="000000"/>
        </w:rPr>
        <w:t xml:space="preserve"> sa číslica „28“ nahrádza číslicou „29“</w:t>
      </w:r>
      <w:r w:rsidR="00D761E9">
        <w:rPr>
          <w:rFonts w:ascii="Palatino Linotype" w:hAnsi="Palatino Linotype"/>
          <w:color w:val="000000"/>
        </w:rPr>
        <w:t>.</w:t>
      </w:r>
    </w:p>
    <w:p w14:paraId="28395A8E" w14:textId="77777777" w:rsidR="00E26338" w:rsidRPr="00E26338" w:rsidRDefault="00E26338" w:rsidP="00E26338">
      <w:pPr>
        <w:pStyle w:val="Odsekzoznamu"/>
        <w:rPr>
          <w:rFonts w:ascii="Palatino Linotype" w:hAnsi="Palatino Linotype"/>
          <w:color w:val="000000"/>
        </w:rPr>
      </w:pPr>
    </w:p>
    <w:p w14:paraId="798C71F2" w14:textId="22421D11" w:rsidR="00E26338" w:rsidRDefault="00401646" w:rsidP="00401646">
      <w:pPr>
        <w:pStyle w:val="Odsekzoznamu"/>
        <w:numPr>
          <w:ilvl w:val="0"/>
          <w:numId w:val="10"/>
        </w:numPr>
        <w:spacing w:before="120" w:after="0" w:line="276" w:lineRule="auto"/>
        <w:jc w:val="both"/>
        <w:rPr>
          <w:rFonts w:ascii="Palatino Linotype" w:hAnsi="Palatino Linotype"/>
          <w:color w:val="000000"/>
        </w:rPr>
      </w:pPr>
      <w:r w:rsidRPr="00401646">
        <w:rPr>
          <w:rFonts w:ascii="Palatino Linotype" w:hAnsi="Palatino Linotype"/>
          <w:color w:val="000000"/>
        </w:rPr>
        <w:t>Za § 21h sa vkladá § 21i, ktorý vrátane nadpisu znie:</w:t>
      </w:r>
    </w:p>
    <w:p w14:paraId="4B003DC2" w14:textId="77777777" w:rsidR="006437F2" w:rsidRPr="006437F2" w:rsidRDefault="006437F2" w:rsidP="006437F2">
      <w:pPr>
        <w:pStyle w:val="Odsekzoznamu"/>
        <w:rPr>
          <w:rFonts w:ascii="Palatino Linotype" w:hAnsi="Palatino Linotype"/>
          <w:color w:val="000000"/>
        </w:rPr>
      </w:pPr>
    </w:p>
    <w:p w14:paraId="3F7D4A87" w14:textId="3744D89A" w:rsidR="00401646" w:rsidRPr="006437F2" w:rsidRDefault="006437F2" w:rsidP="006437F2">
      <w:pPr>
        <w:spacing w:before="120" w:after="0" w:line="276" w:lineRule="auto"/>
        <w:jc w:val="center"/>
        <w:rPr>
          <w:rFonts w:ascii="Palatino Linotype" w:hAnsi="Palatino Linotype"/>
          <w:b/>
          <w:color w:val="000000"/>
        </w:rPr>
      </w:pPr>
      <w:r>
        <w:rPr>
          <w:rFonts w:ascii="Palatino Linotype" w:hAnsi="Palatino Linotype"/>
          <w:b/>
          <w:color w:val="000000"/>
        </w:rPr>
        <w:t xml:space="preserve">„§ </w:t>
      </w:r>
      <w:r w:rsidR="00401646" w:rsidRPr="006437F2">
        <w:rPr>
          <w:rFonts w:ascii="Palatino Linotype" w:hAnsi="Palatino Linotype"/>
          <w:b/>
          <w:color w:val="000000"/>
        </w:rPr>
        <w:t xml:space="preserve">21i </w:t>
      </w:r>
      <w:r>
        <w:rPr>
          <w:rFonts w:ascii="Palatino Linotype" w:hAnsi="Palatino Linotype"/>
          <w:b/>
          <w:color w:val="000000"/>
        </w:rPr>
        <w:br/>
      </w:r>
      <w:r w:rsidR="00401646" w:rsidRPr="006437F2">
        <w:rPr>
          <w:rFonts w:ascii="Palatino Linotype" w:hAnsi="Palatino Linotype"/>
          <w:b/>
          <w:color w:val="000000"/>
        </w:rPr>
        <w:t>Prechodné ustanove</w:t>
      </w:r>
      <w:r w:rsidR="001511F1">
        <w:rPr>
          <w:rFonts w:ascii="Palatino Linotype" w:hAnsi="Palatino Linotype"/>
          <w:b/>
          <w:color w:val="000000"/>
        </w:rPr>
        <w:t>nia k úpravám účinným od 1. augusta</w:t>
      </w:r>
      <w:bookmarkStart w:id="0" w:name="_GoBack"/>
      <w:bookmarkEnd w:id="0"/>
      <w:r w:rsidR="00401646" w:rsidRPr="006437F2">
        <w:rPr>
          <w:rFonts w:ascii="Palatino Linotype" w:hAnsi="Palatino Linotype"/>
          <w:b/>
          <w:color w:val="000000"/>
        </w:rPr>
        <w:t xml:space="preserve"> 2023</w:t>
      </w:r>
    </w:p>
    <w:p w14:paraId="455877DA" w14:textId="439C2EDC" w:rsidR="00401646" w:rsidRPr="00401646" w:rsidRDefault="009E56A6" w:rsidP="008A05FE">
      <w:pPr>
        <w:spacing w:before="120" w:after="0" w:line="276" w:lineRule="auto"/>
        <w:ind w:firstLine="708"/>
        <w:jc w:val="both"/>
        <w:rPr>
          <w:rFonts w:ascii="Palatino Linotype" w:hAnsi="Palatino Linotype"/>
          <w:color w:val="000000"/>
        </w:rPr>
      </w:pPr>
      <w:r>
        <w:rPr>
          <w:rFonts w:ascii="Palatino Linotype" w:hAnsi="Palatino Linotype"/>
          <w:color w:val="000000"/>
        </w:rPr>
        <w:t>Ustanovenia tohto zákona sa použijú aj na nútenú správu, ktorá bola zavedená pred účinnosťou tohto zákona</w:t>
      </w:r>
      <w:r w:rsidR="006437F2" w:rsidRPr="006437F2">
        <w:rPr>
          <w:rFonts w:ascii="Palatino Linotype" w:hAnsi="Palatino Linotype"/>
          <w:color w:val="000000"/>
        </w:rPr>
        <w:t>.</w:t>
      </w:r>
      <w:r w:rsidR="006437F2">
        <w:rPr>
          <w:rFonts w:ascii="Palatino Linotype" w:hAnsi="Palatino Linotype"/>
          <w:color w:val="000000"/>
        </w:rPr>
        <w:t>“</w:t>
      </w:r>
    </w:p>
    <w:p w14:paraId="77C57244" w14:textId="77777777" w:rsidR="00E26338" w:rsidRDefault="00E26338" w:rsidP="00E26338">
      <w:pPr>
        <w:spacing w:before="120" w:after="0" w:line="276" w:lineRule="auto"/>
        <w:jc w:val="center"/>
        <w:rPr>
          <w:rFonts w:ascii="Palatino Linotype" w:hAnsi="Palatino Linotype"/>
          <w:b/>
          <w:color w:val="000000"/>
        </w:rPr>
      </w:pPr>
    </w:p>
    <w:p w14:paraId="32AF7E93" w14:textId="124DDB84" w:rsidR="00E26338" w:rsidRDefault="00E26338" w:rsidP="00E26338">
      <w:pPr>
        <w:spacing w:before="120" w:after="0" w:line="276" w:lineRule="auto"/>
        <w:jc w:val="center"/>
        <w:rPr>
          <w:rFonts w:ascii="Palatino Linotype" w:hAnsi="Palatino Linotype"/>
          <w:b/>
          <w:color w:val="000000"/>
        </w:rPr>
      </w:pPr>
      <w:r w:rsidRPr="00E26338">
        <w:rPr>
          <w:rFonts w:ascii="Palatino Linotype" w:hAnsi="Palatino Linotype"/>
          <w:b/>
          <w:color w:val="000000"/>
        </w:rPr>
        <w:t xml:space="preserve">Čl. </w:t>
      </w:r>
      <w:r>
        <w:rPr>
          <w:rFonts w:ascii="Palatino Linotype" w:hAnsi="Palatino Linotype"/>
          <w:b/>
          <w:color w:val="000000"/>
        </w:rPr>
        <w:t>I</w:t>
      </w:r>
      <w:r w:rsidRPr="00E26338">
        <w:rPr>
          <w:rFonts w:ascii="Palatino Linotype" w:hAnsi="Palatino Linotype"/>
          <w:b/>
          <w:color w:val="000000"/>
        </w:rPr>
        <w:t>I</w:t>
      </w:r>
    </w:p>
    <w:p w14:paraId="4FEB051C" w14:textId="30C01F3C" w:rsidR="00E26338" w:rsidRPr="00E26338" w:rsidRDefault="00E26338" w:rsidP="00E26338">
      <w:pPr>
        <w:spacing w:before="120" w:after="0" w:line="276" w:lineRule="auto"/>
        <w:ind w:firstLine="708"/>
        <w:rPr>
          <w:rFonts w:ascii="Palatino Linotype" w:hAnsi="Palatino Linotype"/>
          <w:b/>
          <w:color w:val="000000"/>
        </w:rPr>
      </w:pPr>
      <w:r>
        <w:rPr>
          <w:rFonts w:ascii="Palatino Linotype" w:hAnsi="Palatino Linotype"/>
          <w:color w:val="000000"/>
        </w:rPr>
        <w:t xml:space="preserve">Tento zákon nadobúda účinnosť 1. </w:t>
      </w:r>
      <w:r w:rsidR="009E0471">
        <w:rPr>
          <w:rFonts w:ascii="Palatino Linotype" w:hAnsi="Palatino Linotype"/>
          <w:color w:val="000000"/>
        </w:rPr>
        <w:t>augusta 2023.</w:t>
      </w:r>
    </w:p>
    <w:p w14:paraId="4E3BB0B6" w14:textId="77777777" w:rsidR="00280729" w:rsidRDefault="00280729" w:rsidP="005F302F">
      <w:pPr>
        <w:spacing w:before="120" w:after="0" w:line="276" w:lineRule="auto"/>
        <w:jc w:val="center"/>
        <w:rPr>
          <w:rFonts w:ascii="Book Antiqua" w:hAnsi="Book Antiqua" w:cs="Times New Roman"/>
          <w:b/>
          <w:caps/>
          <w:spacing w:val="30"/>
        </w:rPr>
      </w:pPr>
    </w:p>
    <w:p w14:paraId="3BFAF25D" w14:textId="77777777" w:rsidR="00280729" w:rsidRDefault="00280729" w:rsidP="005F302F">
      <w:pPr>
        <w:spacing w:before="120" w:after="0" w:line="276" w:lineRule="auto"/>
        <w:jc w:val="center"/>
        <w:rPr>
          <w:rFonts w:ascii="Book Antiqua" w:hAnsi="Book Antiqua" w:cs="Times New Roman"/>
          <w:b/>
          <w:caps/>
          <w:spacing w:val="30"/>
        </w:rPr>
      </w:pPr>
    </w:p>
    <w:p w14:paraId="59DD81FC" w14:textId="77777777" w:rsidR="00280729" w:rsidRDefault="00280729" w:rsidP="005F302F">
      <w:pPr>
        <w:spacing w:before="120" w:after="0" w:line="276" w:lineRule="auto"/>
        <w:jc w:val="center"/>
        <w:rPr>
          <w:rFonts w:ascii="Book Antiqua" w:hAnsi="Book Antiqua" w:cs="Times New Roman"/>
          <w:b/>
          <w:caps/>
          <w:spacing w:val="30"/>
        </w:rPr>
      </w:pPr>
    </w:p>
    <w:p w14:paraId="56167815" w14:textId="77777777" w:rsidR="00280729" w:rsidRDefault="00280729" w:rsidP="005F302F">
      <w:pPr>
        <w:spacing w:before="120" w:after="0" w:line="276" w:lineRule="auto"/>
        <w:jc w:val="center"/>
        <w:rPr>
          <w:rFonts w:ascii="Book Antiqua" w:hAnsi="Book Antiqua" w:cs="Times New Roman"/>
          <w:b/>
          <w:caps/>
          <w:spacing w:val="30"/>
        </w:rPr>
      </w:pPr>
    </w:p>
    <w:p w14:paraId="0A09B9F8" w14:textId="77777777" w:rsidR="00280729" w:rsidRDefault="00280729" w:rsidP="005F302F">
      <w:pPr>
        <w:spacing w:before="120" w:after="0" w:line="276" w:lineRule="auto"/>
        <w:jc w:val="center"/>
        <w:rPr>
          <w:rFonts w:ascii="Book Antiqua" w:hAnsi="Book Antiqua" w:cs="Times New Roman"/>
          <w:b/>
          <w:caps/>
          <w:spacing w:val="30"/>
        </w:rPr>
      </w:pPr>
    </w:p>
    <w:p w14:paraId="7C531988" w14:textId="77777777" w:rsidR="00280729" w:rsidRDefault="00280729" w:rsidP="005F302F">
      <w:pPr>
        <w:spacing w:before="120" w:after="0" w:line="276" w:lineRule="auto"/>
        <w:jc w:val="center"/>
        <w:rPr>
          <w:rFonts w:ascii="Book Antiqua" w:hAnsi="Book Antiqua" w:cs="Times New Roman"/>
          <w:b/>
          <w:caps/>
          <w:spacing w:val="30"/>
        </w:rPr>
      </w:pPr>
    </w:p>
    <w:p w14:paraId="070ADFAF" w14:textId="77777777" w:rsidR="00280729" w:rsidRDefault="00280729" w:rsidP="005F302F">
      <w:pPr>
        <w:spacing w:before="120" w:after="0" w:line="276" w:lineRule="auto"/>
        <w:jc w:val="center"/>
        <w:rPr>
          <w:rFonts w:ascii="Book Antiqua" w:hAnsi="Book Antiqua" w:cs="Times New Roman"/>
          <w:b/>
          <w:caps/>
          <w:spacing w:val="30"/>
        </w:rPr>
      </w:pPr>
    </w:p>
    <w:p w14:paraId="2DA9DE9D" w14:textId="77777777" w:rsidR="00280729" w:rsidRDefault="00280729" w:rsidP="005F302F">
      <w:pPr>
        <w:spacing w:before="120" w:after="0" w:line="276" w:lineRule="auto"/>
        <w:jc w:val="center"/>
        <w:rPr>
          <w:rFonts w:ascii="Book Antiqua" w:hAnsi="Book Antiqua" w:cs="Times New Roman"/>
          <w:b/>
          <w:caps/>
          <w:spacing w:val="30"/>
        </w:rPr>
      </w:pPr>
    </w:p>
    <w:sectPr w:rsidR="00280729" w:rsidSect="000C49BB">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480B7" w14:textId="77777777" w:rsidR="006F46BE" w:rsidRDefault="006F46BE" w:rsidP="000C49BB">
      <w:pPr>
        <w:spacing w:after="0" w:line="240" w:lineRule="auto"/>
      </w:pPr>
      <w:r>
        <w:separator/>
      </w:r>
    </w:p>
  </w:endnote>
  <w:endnote w:type="continuationSeparator" w:id="0">
    <w:p w14:paraId="4E87A0CC" w14:textId="77777777" w:rsidR="006F46BE" w:rsidRDefault="006F46BE" w:rsidP="000C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Segoe UI">
    <w:charset w:val="EE"/>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146733877"/>
      <w:docPartObj>
        <w:docPartGallery w:val="Page Numbers (Bottom of Page)"/>
        <w:docPartUnique/>
      </w:docPartObj>
    </w:sdtPr>
    <w:sdtEndPr/>
    <w:sdtContent>
      <w:p w14:paraId="721FEA90" w14:textId="5E73822F" w:rsidR="000C49BB" w:rsidRPr="000C49BB" w:rsidRDefault="000C49BB">
        <w:pPr>
          <w:pStyle w:val="Pta"/>
          <w:jc w:val="center"/>
          <w:rPr>
            <w:rFonts w:ascii="Times New Roman" w:hAnsi="Times New Roman" w:cs="Times New Roman"/>
            <w:sz w:val="24"/>
          </w:rPr>
        </w:pPr>
        <w:r w:rsidRPr="000C49BB">
          <w:rPr>
            <w:rFonts w:ascii="Times New Roman" w:hAnsi="Times New Roman" w:cs="Times New Roman"/>
            <w:sz w:val="24"/>
          </w:rPr>
          <w:fldChar w:fldCharType="begin"/>
        </w:r>
        <w:r w:rsidRPr="000C49BB">
          <w:rPr>
            <w:rFonts w:ascii="Times New Roman" w:hAnsi="Times New Roman" w:cs="Times New Roman"/>
            <w:sz w:val="24"/>
          </w:rPr>
          <w:instrText>PAGE   \* MERGEFORMAT</w:instrText>
        </w:r>
        <w:r w:rsidRPr="000C49BB">
          <w:rPr>
            <w:rFonts w:ascii="Times New Roman" w:hAnsi="Times New Roman" w:cs="Times New Roman"/>
            <w:sz w:val="24"/>
          </w:rPr>
          <w:fldChar w:fldCharType="separate"/>
        </w:r>
        <w:r w:rsidR="001511F1">
          <w:rPr>
            <w:rFonts w:ascii="Times New Roman" w:hAnsi="Times New Roman" w:cs="Times New Roman"/>
            <w:noProof/>
            <w:sz w:val="24"/>
          </w:rPr>
          <w:t>2</w:t>
        </w:r>
        <w:r w:rsidRPr="000C49BB">
          <w:rPr>
            <w:rFonts w:ascii="Times New Roman" w:hAnsi="Times New Roman" w:cs="Times New Roman"/>
            <w:sz w:val="24"/>
          </w:rPr>
          <w:fldChar w:fldCharType="end"/>
        </w:r>
      </w:p>
    </w:sdtContent>
  </w:sdt>
  <w:p w14:paraId="4D767C84" w14:textId="77777777" w:rsidR="000C49BB" w:rsidRPr="000C49BB" w:rsidRDefault="000C49BB">
    <w:pPr>
      <w:pStyle w:val="Pta"/>
      <w:rPr>
        <w:rFonts w:ascii="Times New Roman" w:hAnsi="Times New Roman" w:cs="Times New Roman"/>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C36F5" w14:textId="77777777" w:rsidR="006F46BE" w:rsidRDefault="006F46BE" w:rsidP="000C49BB">
      <w:pPr>
        <w:spacing w:after="0" w:line="240" w:lineRule="auto"/>
      </w:pPr>
      <w:r>
        <w:separator/>
      </w:r>
    </w:p>
  </w:footnote>
  <w:footnote w:type="continuationSeparator" w:id="0">
    <w:p w14:paraId="6CEB3F49" w14:textId="77777777" w:rsidR="006F46BE" w:rsidRDefault="006F46BE" w:rsidP="000C49B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D74D9"/>
    <w:multiLevelType w:val="hybridMultilevel"/>
    <w:tmpl w:val="27427D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CAA7BE7"/>
    <w:multiLevelType w:val="hybridMultilevel"/>
    <w:tmpl w:val="947E0AFE"/>
    <w:lvl w:ilvl="0" w:tplc="5ADCFFA2">
      <w:start w:val="1"/>
      <w:numFmt w:val="lowerLetter"/>
      <w:lvlText w:val="%1)"/>
      <w:lvlJc w:val="left"/>
      <w:pPr>
        <w:ind w:left="644" w:hanging="360"/>
      </w:pPr>
      <w:rPr>
        <w:rFonts w:cs="Times New Roman" w:hint="default"/>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2">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3">
    <w:nsid w:val="4BB93AC4"/>
    <w:multiLevelType w:val="hybridMultilevel"/>
    <w:tmpl w:val="0B56423E"/>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
    <w:nsid w:val="4C4D7151"/>
    <w:multiLevelType w:val="hybridMultilevel"/>
    <w:tmpl w:val="8C1A3B50"/>
    <w:lvl w:ilvl="0" w:tplc="C16CCF24">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5AF77984"/>
    <w:multiLevelType w:val="hybridMultilevel"/>
    <w:tmpl w:val="CACA59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CA27755"/>
    <w:multiLevelType w:val="hybridMultilevel"/>
    <w:tmpl w:val="B68CBE52"/>
    <w:lvl w:ilvl="0" w:tplc="8CAACAF8">
      <w:start w:val="1"/>
      <w:numFmt w:val="bullet"/>
      <w:lvlText w:val="-"/>
      <w:lvlJc w:val="left"/>
      <w:pPr>
        <w:ind w:left="644" w:hanging="360"/>
      </w:pPr>
      <w:rPr>
        <w:rFonts w:ascii="Book Antiqua" w:eastAsia="Times New Roman" w:hAnsi="Book Antiqua"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5F7136C9"/>
    <w:multiLevelType w:val="hybridMultilevel"/>
    <w:tmpl w:val="DD00CC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num w:numId="1">
    <w:abstractNumId w:val="5"/>
  </w:num>
  <w:num w:numId="2">
    <w:abstractNumId w:val="7"/>
  </w:num>
  <w:num w:numId="3">
    <w:abstractNumId w:val="8"/>
  </w:num>
  <w:num w:numId="4">
    <w:abstractNumId w:val="4"/>
  </w:num>
  <w:num w:numId="5">
    <w:abstractNumId w:val="9"/>
    <w:lvlOverride w:ilvl="0"/>
    <w:lvlOverride w:ilvl="1"/>
    <w:lvlOverride w:ilvl="2">
      <w:startOverride w:val="2"/>
    </w:lvlOverride>
    <w:lvlOverride w:ilvl="3">
      <w:startOverride w:val="4"/>
    </w:lvlOverride>
    <w:lvlOverride w:ilvl="4"/>
    <w:lvlOverride w:ilvl="5"/>
    <w:lvlOverride w:ilvl="6"/>
    <w:lvlOverride w:ilvl="7"/>
    <w:lvlOverride w:ilvl="8"/>
  </w:num>
  <w:num w:numId="6">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BB"/>
    <w:rsid w:val="00004029"/>
    <w:rsid w:val="00020E13"/>
    <w:rsid w:val="000248D8"/>
    <w:rsid w:val="000835BF"/>
    <w:rsid w:val="0009348B"/>
    <w:rsid w:val="000935E0"/>
    <w:rsid w:val="000A48EA"/>
    <w:rsid w:val="000B0387"/>
    <w:rsid w:val="000C49BB"/>
    <w:rsid w:val="000C7E8E"/>
    <w:rsid w:val="000F6F24"/>
    <w:rsid w:val="001067F2"/>
    <w:rsid w:val="001234BD"/>
    <w:rsid w:val="00126A19"/>
    <w:rsid w:val="00130870"/>
    <w:rsid w:val="001338D8"/>
    <w:rsid w:val="00146898"/>
    <w:rsid w:val="001511F1"/>
    <w:rsid w:val="0015759D"/>
    <w:rsid w:val="00163954"/>
    <w:rsid w:val="00166619"/>
    <w:rsid w:val="00172BAC"/>
    <w:rsid w:val="00211047"/>
    <w:rsid w:val="00231D92"/>
    <w:rsid w:val="00251798"/>
    <w:rsid w:val="00280729"/>
    <w:rsid w:val="002B264F"/>
    <w:rsid w:val="002F1EB0"/>
    <w:rsid w:val="00384B2A"/>
    <w:rsid w:val="003917A4"/>
    <w:rsid w:val="00391A47"/>
    <w:rsid w:val="003A7315"/>
    <w:rsid w:val="003C7BD4"/>
    <w:rsid w:val="003E09A1"/>
    <w:rsid w:val="003E30E7"/>
    <w:rsid w:val="003F2AAC"/>
    <w:rsid w:val="00401646"/>
    <w:rsid w:val="004164DE"/>
    <w:rsid w:val="004313B0"/>
    <w:rsid w:val="00434EB6"/>
    <w:rsid w:val="0044337F"/>
    <w:rsid w:val="004602AF"/>
    <w:rsid w:val="0046037A"/>
    <w:rsid w:val="00477C57"/>
    <w:rsid w:val="00487872"/>
    <w:rsid w:val="00487D54"/>
    <w:rsid w:val="00490089"/>
    <w:rsid w:val="004B06E5"/>
    <w:rsid w:val="004B0BDA"/>
    <w:rsid w:val="004C0A51"/>
    <w:rsid w:val="004D41F8"/>
    <w:rsid w:val="004E6C76"/>
    <w:rsid w:val="004F6E3F"/>
    <w:rsid w:val="00510FD4"/>
    <w:rsid w:val="0057343E"/>
    <w:rsid w:val="00574181"/>
    <w:rsid w:val="00594CA8"/>
    <w:rsid w:val="005B79C3"/>
    <w:rsid w:val="005C604A"/>
    <w:rsid w:val="005D222B"/>
    <w:rsid w:val="005F302F"/>
    <w:rsid w:val="005F469B"/>
    <w:rsid w:val="00603BEB"/>
    <w:rsid w:val="00606D6F"/>
    <w:rsid w:val="0061297C"/>
    <w:rsid w:val="00622BAF"/>
    <w:rsid w:val="006437F2"/>
    <w:rsid w:val="00660608"/>
    <w:rsid w:val="0069704A"/>
    <w:rsid w:val="006B1032"/>
    <w:rsid w:val="006D6B53"/>
    <w:rsid w:val="006F46BE"/>
    <w:rsid w:val="0070304E"/>
    <w:rsid w:val="00703CBA"/>
    <w:rsid w:val="00721001"/>
    <w:rsid w:val="00737A1B"/>
    <w:rsid w:val="00742DC3"/>
    <w:rsid w:val="00761987"/>
    <w:rsid w:val="00793354"/>
    <w:rsid w:val="0079797B"/>
    <w:rsid w:val="007A7148"/>
    <w:rsid w:val="007E028D"/>
    <w:rsid w:val="0081034D"/>
    <w:rsid w:val="00847F49"/>
    <w:rsid w:val="00853199"/>
    <w:rsid w:val="00854017"/>
    <w:rsid w:val="008673F1"/>
    <w:rsid w:val="00870073"/>
    <w:rsid w:val="00871BB9"/>
    <w:rsid w:val="00890A79"/>
    <w:rsid w:val="00896B47"/>
    <w:rsid w:val="00897E2F"/>
    <w:rsid w:val="008A05FE"/>
    <w:rsid w:val="008B3B96"/>
    <w:rsid w:val="008E7BBA"/>
    <w:rsid w:val="008F3ACA"/>
    <w:rsid w:val="00932EC1"/>
    <w:rsid w:val="009414D0"/>
    <w:rsid w:val="00954E95"/>
    <w:rsid w:val="00957295"/>
    <w:rsid w:val="00971FD4"/>
    <w:rsid w:val="00976802"/>
    <w:rsid w:val="009A4F3F"/>
    <w:rsid w:val="009C1083"/>
    <w:rsid w:val="009E02AE"/>
    <w:rsid w:val="009E0471"/>
    <w:rsid w:val="009E56A6"/>
    <w:rsid w:val="009E5A5F"/>
    <w:rsid w:val="009F31BA"/>
    <w:rsid w:val="009F673B"/>
    <w:rsid w:val="00A4510E"/>
    <w:rsid w:val="00A46A14"/>
    <w:rsid w:val="00A56FDA"/>
    <w:rsid w:val="00A6175F"/>
    <w:rsid w:val="00A72903"/>
    <w:rsid w:val="00A74FD3"/>
    <w:rsid w:val="00AA0248"/>
    <w:rsid w:val="00AB70F4"/>
    <w:rsid w:val="00AE6527"/>
    <w:rsid w:val="00AF6775"/>
    <w:rsid w:val="00B1015D"/>
    <w:rsid w:val="00B14582"/>
    <w:rsid w:val="00B2032C"/>
    <w:rsid w:val="00B23D68"/>
    <w:rsid w:val="00B259DE"/>
    <w:rsid w:val="00B33130"/>
    <w:rsid w:val="00B44783"/>
    <w:rsid w:val="00BA4186"/>
    <w:rsid w:val="00BF3AEC"/>
    <w:rsid w:val="00BF4E5F"/>
    <w:rsid w:val="00C03F3D"/>
    <w:rsid w:val="00C11130"/>
    <w:rsid w:val="00C43B6C"/>
    <w:rsid w:val="00C57A1F"/>
    <w:rsid w:val="00C856D7"/>
    <w:rsid w:val="00CE5810"/>
    <w:rsid w:val="00CE5AAA"/>
    <w:rsid w:val="00CF4D33"/>
    <w:rsid w:val="00D07372"/>
    <w:rsid w:val="00D261A8"/>
    <w:rsid w:val="00D761E9"/>
    <w:rsid w:val="00D77C5B"/>
    <w:rsid w:val="00DA29A8"/>
    <w:rsid w:val="00DA725D"/>
    <w:rsid w:val="00DD30EE"/>
    <w:rsid w:val="00DE09B4"/>
    <w:rsid w:val="00DF4606"/>
    <w:rsid w:val="00E032BF"/>
    <w:rsid w:val="00E16225"/>
    <w:rsid w:val="00E2079D"/>
    <w:rsid w:val="00E26338"/>
    <w:rsid w:val="00E343FE"/>
    <w:rsid w:val="00E413EA"/>
    <w:rsid w:val="00E55393"/>
    <w:rsid w:val="00E67F9B"/>
    <w:rsid w:val="00E738EE"/>
    <w:rsid w:val="00EA00EB"/>
    <w:rsid w:val="00EF2E77"/>
    <w:rsid w:val="00F25283"/>
    <w:rsid w:val="00F25F46"/>
    <w:rsid w:val="00F974E4"/>
    <w:rsid w:val="00FB716A"/>
    <w:rsid w:val="00FC463F"/>
    <w:rsid w:val="00FD4015"/>
    <w:rsid w:val="00FF5E73"/>
    <w:rsid w:val="40A0C0B4"/>
    <w:rsid w:val="6F181D43"/>
    <w:rsid w:val="7BDAF4C9"/>
  </w:rsids>
  <m:mathPr>
    <m:mathFont m:val="Cambria Math"/>
    <m:brkBin m:val="before"/>
    <m:brkBinSub m:val="--"/>
    <m:smallFrac m:val="0"/>
    <m:dispDef/>
    <m:lMargin m:val="0"/>
    <m:rMargin m:val="0"/>
    <m:defJc m:val="centerGroup"/>
    <m:wrapIndent m:val="1440"/>
    <m:intLim m:val="subSup"/>
    <m:naryLim m:val="undOvr"/>
  </m:mathPr>
  <w:themeFontLang w:val="sk-S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7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C49BB"/>
    <w:pPr>
      <w:ind w:left="720"/>
      <w:contextualSpacing/>
    </w:pPr>
  </w:style>
  <w:style w:type="paragraph" w:styleId="Hlavika">
    <w:name w:val="header"/>
    <w:basedOn w:val="Normlny"/>
    <w:link w:val="HlavikaChar"/>
    <w:uiPriority w:val="99"/>
    <w:unhideWhenUsed/>
    <w:rsid w:val="000C49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C49BB"/>
  </w:style>
  <w:style w:type="paragraph" w:styleId="Pta">
    <w:name w:val="footer"/>
    <w:basedOn w:val="Normlny"/>
    <w:link w:val="PtaChar"/>
    <w:uiPriority w:val="99"/>
    <w:unhideWhenUsed/>
    <w:rsid w:val="000C49BB"/>
    <w:pPr>
      <w:tabs>
        <w:tab w:val="center" w:pos="4536"/>
        <w:tab w:val="right" w:pos="9072"/>
      </w:tabs>
      <w:spacing w:after="0" w:line="240" w:lineRule="auto"/>
    </w:pPr>
  </w:style>
  <w:style w:type="character" w:customStyle="1" w:styleId="PtaChar">
    <w:name w:val="Päta Char"/>
    <w:basedOn w:val="Predvolenpsmoodseku"/>
    <w:link w:val="Pta"/>
    <w:uiPriority w:val="99"/>
    <w:rsid w:val="000C49BB"/>
  </w:style>
  <w:style w:type="paragraph" w:styleId="Revzia">
    <w:name w:val="Revision"/>
    <w:hidden/>
    <w:uiPriority w:val="99"/>
    <w:semiHidden/>
    <w:rsid w:val="00DE09B4"/>
    <w:pPr>
      <w:spacing w:after="0" w:line="240" w:lineRule="auto"/>
    </w:pPr>
  </w:style>
  <w:style w:type="paragraph" w:styleId="Textbubliny">
    <w:name w:val="Balloon Text"/>
    <w:basedOn w:val="Normlny"/>
    <w:link w:val="TextbublinyChar"/>
    <w:uiPriority w:val="99"/>
    <w:semiHidden/>
    <w:unhideWhenUsed/>
    <w:rsid w:val="00BF4E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4E5F"/>
    <w:rPr>
      <w:rFonts w:ascii="Segoe UI" w:hAnsi="Segoe UI" w:cs="Segoe UI"/>
      <w:sz w:val="18"/>
      <w:szCs w:val="18"/>
    </w:rPr>
  </w:style>
  <w:style w:type="paragraph" w:styleId="Zkladntext">
    <w:name w:val="Body Text"/>
    <w:aliases w:val="b"/>
    <w:basedOn w:val="Normlny"/>
    <w:link w:val="ZkladntextChar"/>
    <w:qFormat/>
    <w:rsid w:val="003A7315"/>
    <w:pPr>
      <w:spacing w:after="120" w:line="240" w:lineRule="auto"/>
      <w:jc w:val="both"/>
    </w:pPr>
    <w:rPr>
      <w:rFonts w:ascii="Arial Narrow" w:eastAsia="Times New Roman" w:hAnsi="Arial Narrow" w:cs="Times New Roman"/>
      <w:szCs w:val="24"/>
      <w:lang w:eastAsia="sk-SK"/>
    </w:rPr>
  </w:style>
  <w:style w:type="character" w:customStyle="1" w:styleId="ZkladntextChar">
    <w:name w:val="Základný text Char"/>
    <w:aliases w:val="b Char"/>
    <w:basedOn w:val="Predvolenpsmoodseku"/>
    <w:link w:val="Zkladntext"/>
    <w:rsid w:val="003A7315"/>
    <w:rPr>
      <w:rFonts w:ascii="Arial Narrow" w:eastAsia="Times New Roman" w:hAnsi="Arial Narrow" w:cs="Times New Roman"/>
      <w:szCs w:val="24"/>
      <w:lang w:eastAsia="sk-SK"/>
    </w:rPr>
  </w:style>
  <w:style w:type="paragraph" w:styleId="Zkladntext2">
    <w:name w:val="Body Text 2"/>
    <w:basedOn w:val="Normlny"/>
    <w:link w:val="Zkladntext2Char"/>
    <w:uiPriority w:val="99"/>
    <w:semiHidden/>
    <w:unhideWhenUsed/>
    <w:rsid w:val="003A7315"/>
    <w:pPr>
      <w:spacing w:after="120" w:line="480" w:lineRule="auto"/>
    </w:pPr>
    <w:rPr>
      <w:rFonts w:ascii="Times New Roman" w:eastAsia="Times New Roman" w:hAnsi="Times New Roman" w:cs="Times New Roman"/>
      <w:sz w:val="24"/>
      <w:szCs w:val="24"/>
      <w:lang w:eastAsia="en-GB"/>
    </w:rPr>
  </w:style>
  <w:style w:type="character" w:customStyle="1" w:styleId="Zkladntext2Char">
    <w:name w:val="Základný text 2 Char"/>
    <w:basedOn w:val="Predvolenpsmoodseku"/>
    <w:link w:val="Zkladntext2"/>
    <w:uiPriority w:val="99"/>
    <w:semiHidden/>
    <w:rsid w:val="003A7315"/>
    <w:rPr>
      <w:rFonts w:ascii="Times New Roman" w:eastAsia="Times New Roman" w:hAnsi="Times New Roman" w:cs="Times New Roman"/>
      <w:sz w:val="24"/>
      <w:szCs w:val="24"/>
      <w:lang w:eastAsia="en-GB"/>
    </w:rPr>
  </w:style>
  <w:style w:type="paragraph" w:styleId="Normlnywebov">
    <w:name w:val="Normal (Web)"/>
    <w:basedOn w:val="Normlny"/>
    <w:uiPriority w:val="99"/>
    <w:unhideWhenUsed/>
    <w:rsid w:val="0081034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wspan">
    <w:name w:val="awspan"/>
    <w:basedOn w:val="Predvolenpsmoodseku"/>
    <w:rsid w:val="00280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28296">
      <w:bodyDiv w:val="1"/>
      <w:marLeft w:val="0"/>
      <w:marRight w:val="0"/>
      <w:marTop w:val="0"/>
      <w:marBottom w:val="0"/>
      <w:divBdr>
        <w:top w:val="none" w:sz="0" w:space="0" w:color="auto"/>
        <w:left w:val="none" w:sz="0" w:space="0" w:color="auto"/>
        <w:bottom w:val="none" w:sz="0" w:space="0" w:color="auto"/>
        <w:right w:val="none" w:sz="0" w:space="0" w:color="auto"/>
      </w:divBdr>
    </w:div>
    <w:div w:id="810711246">
      <w:bodyDiv w:val="1"/>
      <w:marLeft w:val="0"/>
      <w:marRight w:val="0"/>
      <w:marTop w:val="0"/>
      <w:marBottom w:val="0"/>
      <w:divBdr>
        <w:top w:val="none" w:sz="0" w:space="0" w:color="auto"/>
        <w:left w:val="none" w:sz="0" w:space="0" w:color="auto"/>
        <w:bottom w:val="none" w:sz="0" w:space="0" w:color="auto"/>
        <w:right w:val="none" w:sz="0" w:space="0" w:color="auto"/>
      </w:divBdr>
    </w:div>
    <w:div w:id="18956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6ADAC-DCD3-FD4D-9EB4-64494417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Macintosh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2023-04-14T11:20:00Z</dcterms:created>
  <dcterms:modified xsi:type="dcterms:W3CDTF">2023-04-14T11:20:00Z</dcterms:modified>
</cp:coreProperties>
</file>