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C14" w:rsidRPr="006C25C6" w:rsidRDefault="00BE2399" w:rsidP="00766B03">
      <w:pPr>
        <w:spacing w:line="276" w:lineRule="auto"/>
        <w:jc w:val="center"/>
        <w:rPr>
          <w:rFonts w:asciiTheme="majorBidi" w:hAnsiTheme="majorBidi" w:cstheme="majorBidi"/>
          <w:b/>
          <w:bCs/>
          <w:caps/>
          <w:spacing w:val="30"/>
        </w:rPr>
      </w:pPr>
      <w:r w:rsidRPr="006C25C6">
        <w:rPr>
          <w:rFonts w:asciiTheme="majorBidi" w:hAnsiTheme="majorBidi" w:cstheme="majorBidi"/>
          <w:b/>
          <w:bCs/>
          <w:caps/>
          <w:spacing w:val="30"/>
        </w:rPr>
        <w:t>Dôvodová správa</w:t>
      </w:r>
    </w:p>
    <w:p w:rsidR="00BE2399" w:rsidRPr="006C25C6" w:rsidRDefault="00BE2399" w:rsidP="00766B03">
      <w:pPr>
        <w:spacing w:line="276" w:lineRule="auto"/>
        <w:jc w:val="both"/>
        <w:rPr>
          <w:rFonts w:asciiTheme="majorBidi" w:hAnsiTheme="majorBidi" w:cstheme="majorBidi"/>
        </w:rPr>
      </w:pPr>
    </w:p>
    <w:p w:rsidR="00BE2399" w:rsidRPr="006C25C6" w:rsidRDefault="00BE2399" w:rsidP="00766B03">
      <w:pPr>
        <w:spacing w:line="276" w:lineRule="auto"/>
        <w:jc w:val="both"/>
        <w:rPr>
          <w:rFonts w:asciiTheme="majorBidi" w:hAnsiTheme="majorBidi" w:cstheme="majorBidi"/>
          <w:b/>
          <w:bCs/>
        </w:rPr>
      </w:pPr>
      <w:r w:rsidRPr="006C25C6">
        <w:rPr>
          <w:rFonts w:asciiTheme="majorBidi" w:hAnsiTheme="majorBidi" w:cstheme="majorBidi"/>
          <w:b/>
          <w:bCs/>
        </w:rPr>
        <w:t>Všeobecná časť</w:t>
      </w:r>
    </w:p>
    <w:p w:rsidR="00BE2399" w:rsidRPr="006C25C6" w:rsidRDefault="00BE2399" w:rsidP="00B85302">
      <w:pPr>
        <w:spacing w:line="276" w:lineRule="auto"/>
        <w:jc w:val="both"/>
        <w:rPr>
          <w:rFonts w:asciiTheme="majorBidi" w:hAnsiTheme="majorBidi" w:cstheme="majorBidi"/>
          <w:color w:val="000000" w:themeColor="text1"/>
        </w:rPr>
      </w:pPr>
    </w:p>
    <w:p w:rsidR="00145931" w:rsidRPr="00B85302" w:rsidRDefault="00145931" w:rsidP="00546AA7">
      <w:pPr>
        <w:spacing w:line="276" w:lineRule="auto"/>
        <w:ind w:firstLine="708"/>
        <w:rPr>
          <w:rFonts w:asciiTheme="majorBidi" w:hAnsiTheme="majorBidi" w:cstheme="majorBidi"/>
        </w:rPr>
      </w:pPr>
      <w:r w:rsidRPr="006C25C6">
        <w:rPr>
          <w:rFonts w:asciiTheme="majorBidi" w:hAnsiTheme="majorBidi" w:cstheme="majorBidi"/>
          <w:color w:val="000000" w:themeColor="text1"/>
        </w:rPr>
        <w:t>N</w:t>
      </w:r>
      <w:r w:rsidR="00EF0811" w:rsidRPr="006C25C6">
        <w:rPr>
          <w:rFonts w:asciiTheme="majorBidi" w:hAnsiTheme="majorBidi" w:cstheme="majorBidi"/>
          <w:color w:val="000000" w:themeColor="text1"/>
        </w:rPr>
        <w:t>ávrh zákona</w:t>
      </w:r>
      <w:r w:rsidR="00B85302">
        <w:rPr>
          <w:rFonts w:asciiTheme="majorBidi" w:hAnsiTheme="majorBidi" w:cstheme="majorBidi"/>
          <w:color w:val="000000" w:themeColor="text1"/>
        </w:rPr>
        <w:t xml:space="preserve"> </w:t>
      </w:r>
      <w:r w:rsidR="00B85302" w:rsidRPr="00325B3A">
        <w:rPr>
          <w:rFonts w:asciiTheme="majorBidi" w:hAnsiTheme="majorBidi" w:cstheme="majorBidi"/>
          <w:color w:val="000000"/>
        </w:rPr>
        <w:t>o </w:t>
      </w:r>
      <w:r w:rsidR="00B85302" w:rsidRPr="00B85302">
        <w:rPr>
          <w:rFonts w:asciiTheme="majorBidi" w:hAnsiTheme="majorBidi" w:cstheme="majorBidi"/>
          <w:bCs/>
          <w:color w:val="000000"/>
        </w:rPr>
        <w:t xml:space="preserve">pomoci obyvateľom </w:t>
      </w:r>
      <w:r w:rsidR="00546AA7">
        <w:rPr>
          <w:rFonts w:asciiTheme="majorBidi" w:hAnsiTheme="majorBidi" w:cstheme="majorBidi"/>
          <w:bCs/>
          <w:color w:val="000000"/>
        </w:rPr>
        <w:t xml:space="preserve">ohrozených chudobou </w:t>
      </w:r>
      <w:r w:rsidRPr="006C25C6">
        <w:rPr>
          <w:rFonts w:asciiTheme="majorBidi" w:hAnsiTheme="majorBidi" w:cstheme="majorBidi"/>
          <w:color w:val="000000" w:themeColor="text1"/>
        </w:rPr>
        <w:t xml:space="preserve">sa predkladá ako návrh skupiny poslancov NRSR. </w:t>
      </w:r>
    </w:p>
    <w:p w:rsidR="00145931" w:rsidRPr="006C25C6" w:rsidRDefault="00145931" w:rsidP="00B85302">
      <w:pPr>
        <w:spacing w:line="276" w:lineRule="auto"/>
        <w:ind w:firstLine="708"/>
        <w:jc w:val="both"/>
        <w:rPr>
          <w:rFonts w:asciiTheme="majorBidi" w:hAnsiTheme="majorBidi" w:cstheme="majorBidi"/>
          <w:color w:val="000000" w:themeColor="text1"/>
        </w:rPr>
      </w:pPr>
    </w:p>
    <w:p w:rsidR="00B85302" w:rsidRDefault="00145931" w:rsidP="00546AA7">
      <w:pPr>
        <w:spacing w:line="276" w:lineRule="auto"/>
        <w:ind w:firstLine="709"/>
        <w:jc w:val="both"/>
        <w:rPr>
          <w:rFonts w:asciiTheme="majorBidi" w:hAnsiTheme="majorBidi" w:cstheme="majorBidi"/>
        </w:rPr>
      </w:pPr>
      <w:r w:rsidRPr="006C25C6">
        <w:rPr>
          <w:rFonts w:asciiTheme="majorBidi" w:hAnsiTheme="majorBidi" w:cstheme="majorBidi"/>
          <w:color w:val="000000" w:themeColor="text1"/>
        </w:rPr>
        <w:t xml:space="preserve">V Čl. I. sa navrhuje v reakcii </w:t>
      </w:r>
      <w:r w:rsidR="004C3D7A" w:rsidRPr="006C25C6">
        <w:rPr>
          <w:rFonts w:asciiTheme="majorBidi" w:hAnsiTheme="majorBidi" w:cstheme="majorBidi"/>
          <w:color w:val="000000" w:themeColor="text1"/>
        </w:rPr>
        <w:t xml:space="preserve">na </w:t>
      </w:r>
      <w:r w:rsidR="005D3B97">
        <w:rPr>
          <w:rFonts w:asciiTheme="majorBidi" w:hAnsiTheme="majorBidi" w:cstheme="majorBidi"/>
          <w:color w:val="000000" w:themeColor="text1"/>
        </w:rPr>
        <w:t xml:space="preserve">mimoriadne prudký rast cien energií a zvýšené </w:t>
      </w:r>
      <w:r w:rsidR="00210DFB">
        <w:rPr>
          <w:rFonts w:asciiTheme="majorBidi" w:hAnsiTheme="majorBidi" w:cstheme="majorBidi"/>
          <w:color w:val="000000" w:themeColor="text1"/>
        </w:rPr>
        <w:t xml:space="preserve">životné náklady </w:t>
      </w:r>
      <w:r w:rsidR="00546AA7">
        <w:rPr>
          <w:rFonts w:asciiTheme="majorBidi" w:hAnsiTheme="majorBidi" w:cstheme="majorBidi"/>
          <w:color w:val="000000" w:themeColor="text1"/>
        </w:rPr>
        <w:t xml:space="preserve">širokej skupiny obyvateľstva, ktorá sa ocitla v ohrození chudobou poskytnúť finančnú pomoc za účelom krytia časti životných nákladov, aby sa toto ohrozenie znížilo alebo aby sa mu úplne zabránilo. </w:t>
      </w:r>
    </w:p>
    <w:p w:rsidR="00B85302" w:rsidRDefault="00B85302" w:rsidP="00B85302">
      <w:pPr>
        <w:spacing w:line="276" w:lineRule="auto"/>
        <w:ind w:firstLine="709"/>
        <w:jc w:val="both"/>
        <w:rPr>
          <w:rFonts w:asciiTheme="majorBidi" w:hAnsiTheme="majorBidi" w:cstheme="majorBidi"/>
        </w:rPr>
      </w:pPr>
    </w:p>
    <w:p w:rsidR="00B85302" w:rsidRDefault="00B85302" w:rsidP="00626779">
      <w:pPr>
        <w:spacing w:line="276" w:lineRule="auto"/>
        <w:ind w:firstLine="709"/>
        <w:jc w:val="both"/>
        <w:rPr>
          <w:rFonts w:asciiTheme="majorBidi" w:hAnsiTheme="majorBidi" w:cstheme="majorBidi"/>
        </w:rPr>
      </w:pPr>
      <w:r>
        <w:rPr>
          <w:rFonts w:asciiTheme="majorBidi" w:hAnsiTheme="majorBidi" w:cstheme="majorBidi"/>
        </w:rPr>
        <w:t xml:space="preserve">Formou pomoci je jednorazový finančný príspevok určený pre vybraný okruh obyvateľov, </w:t>
      </w:r>
      <w:r w:rsidR="00626779">
        <w:rPr>
          <w:rFonts w:asciiTheme="majorBidi" w:hAnsiTheme="majorBidi" w:cstheme="majorBidi"/>
        </w:rPr>
        <w:t xml:space="preserve">ktorí sa podľa jednotnej európskej metodiky štatistického zisťovania chudoby (EU SILC) nachádzajú v riziku príjmovej chudoby. Pri posudzovaní nároku sa pritom bude zohľadňovať každý typ domácnosti osobitne, aby sa zohľadnil počet členov domácnosti a ich veková štruktúra. Na základe metodiky výpočtu hranice rizika príjmovej chudoby predstavuje totiž túto hranicu iná suma v prípade jednočlennej domácnosti a iná v prípade úplnej domácnosti s dvoma deťmi. </w:t>
      </w:r>
      <w:r>
        <w:rPr>
          <w:rFonts w:asciiTheme="majorBidi" w:hAnsiTheme="majorBidi" w:cstheme="majorBidi"/>
        </w:rPr>
        <w:t xml:space="preserve">Zákon </w:t>
      </w:r>
      <w:r w:rsidR="002216C1">
        <w:rPr>
          <w:rFonts w:asciiTheme="majorBidi" w:hAnsiTheme="majorBidi" w:cstheme="majorBidi"/>
        </w:rPr>
        <w:t xml:space="preserve">počíta </w:t>
      </w:r>
      <w:r w:rsidR="00546AA7">
        <w:rPr>
          <w:rFonts w:asciiTheme="majorBidi" w:hAnsiTheme="majorBidi" w:cstheme="majorBidi"/>
        </w:rPr>
        <w:t>s výplatou príspevku v roku 2023</w:t>
      </w:r>
      <w:r w:rsidR="002216C1">
        <w:rPr>
          <w:rFonts w:asciiTheme="majorBidi" w:hAnsiTheme="majorBidi" w:cstheme="majorBidi"/>
        </w:rPr>
        <w:t xml:space="preserve">, ale štruktúra jeho textu umožňuje jednoduchou legislatívnou zmenou poskytnúť takúto pomoc v prípade potreby aj v iných rokoch, ak opäť nastane </w:t>
      </w:r>
      <w:r w:rsidR="00546AA7">
        <w:rPr>
          <w:rFonts w:asciiTheme="majorBidi" w:hAnsiTheme="majorBidi" w:cstheme="majorBidi"/>
        </w:rPr>
        <w:t>takáto objektívna potreba</w:t>
      </w:r>
      <w:r w:rsidR="002216C1">
        <w:rPr>
          <w:rFonts w:asciiTheme="majorBidi" w:hAnsiTheme="majorBidi" w:cstheme="majorBidi"/>
        </w:rPr>
        <w:t xml:space="preserve">. </w:t>
      </w:r>
    </w:p>
    <w:p w:rsidR="002216C1" w:rsidRDefault="002216C1" w:rsidP="002216C1">
      <w:pPr>
        <w:spacing w:line="276" w:lineRule="auto"/>
        <w:ind w:firstLine="709"/>
        <w:jc w:val="both"/>
        <w:rPr>
          <w:rFonts w:asciiTheme="majorBidi" w:hAnsiTheme="majorBidi" w:cstheme="majorBidi"/>
        </w:rPr>
      </w:pPr>
    </w:p>
    <w:p w:rsidR="002216C1" w:rsidRDefault="002216C1" w:rsidP="00626779">
      <w:pPr>
        <w:spacing w:line="276" w:lineRule="auto"/>
        <w:ind w:firstLine="709"/>
        <w:jc w:val="both"/>
        <w:rPr>
          <w:rFonts w:asciiTheme="majorBidi" w:hAnsiTheme="majorBidi" w:cstheme="majorBidi"/>
        </w:rPr>
      </w:pPr>
      <w:r>
        <w:rPr>
          <w:rFonts w:asciiTheme="majorBidi" w:hAnsiTheme="majorBidi" w:cstheme="majorBidi"/>
        </w:rPr>
        <w:t xml:space="preserve">Cieľovou skupinou pomoci sú rodičia nezaopatrených detí, poberatelia peňažného príspevku na opatrovanie a peňažného príspevku na osobnú asistenciu, </w:t>
      </w:r>
      <w:r w:rsidR="00546AA7">
        <w:rPr>
          <w:rFonts w:asciiTheme="majorBidi" w:hAnsiTheme="majorBidi" w:cstheme="majorBidi"/>
        </w:rPr>
        <w:t xml:space="preserve">poberatelia dôchodkových dávok a ľudia </w:t>
      </w:r>
      <w:r>
        <w:rPr>
          <w:rFonts w:asciiTheme="majorBidi" w:hAnsiTheme="majorBidi" w:cstheme="majorBidi"/>
        </w:rPr>
        <w:t>odkázan</w:t>
      </w:r>
      <w:r w:rsidR="00546AA7">
        <w:rPr>
          <w:rFonts w:asciiTheme="majorBidi" w:hAnsiTheme="majorBidi" w:cstheme="majorBidi"/>
        </w:rPr>
        <w:t>í</w:t>
      </w:r>
      <w:r>
        <w:rPr>
          <w:rFonts w:asciiTheme="majorBidi" w:hAnsiTheme="majorBidi" w:cstheme="majorBidi"/>
        </w:rPr>
        <w:t xml:space="preserve"> na pomoc v hmotnej núdzi, ale aj iné fyzické osoby</w:t>
      </w:r>
      <w:r w:rsidR="00546AA7">
        <w:rPr>
          <w:rFonts w:asciiTheme="majorBidi" w:hAnsiTheme="majorBidi" w:cstheme="majorBidi"/>
        </w:rPr>
        <w:t>, ktoré sú ohrozené chudobou</w:t>
      </w:r>
      <w:r>
        <w:rPr>
          <w:rFonts w:asciiTheme="majorBidi" w:hAnsiTheme="majorBidi" w:cstheme="majorBidi"/>
        </w:rPr>
        <w:t xml:space="preserve">. V prípade </w:t>
      </w:r>
      <w:r w:rsidR="00626779">
        <w:rPr>
          <w:rFonts w:asciiTheme="majorBidi" w:hAnsiTheme="majorBidi" w:cstheme="majorBidi"/>
        </w:rPr>
        <w:t>posledných dvoch menovaných skupín fyzických osôb sú podmienky</w:t>
      </w:r>
      <w:r>
        <w:rPr>
          <w:rFonts w:asciiTheme="majorBidi" w:hAnsiTheme="majorBidi" w:cstheme="majorBidi"/>
        </w:rPr>
        <w:t xml:space="preserve"> vzniku nároku na pomoc nastavené tak, aby „ocenili“ ich aspoň minimálnu legálnu pracovnú aktivitu v roku 202</w:t>
      </w:r>
      <w:r w:rsidR="00546AA7">
        <w:rPr>
          <w:rFonts w:asciiTheme="majorBidi" w:hAnsiTheme="majorBidi" w:cstheme="majorBidi"/>
        </w:rPr>
        <w:t>2</w:t>
      </w:r>
      <w:r>
        <w:rPr>
          <w:rFonts w:asciiTheme="majorBidi" w:hAnsiTheme="majorBidi" w:cstheme="majorBidi"/>
        </w:rPr>
        <w:t xml:space="preserve">. </w:t>
      </w:r>
    </w:p>
    <w:p w:rsidR="002216C1" w:rsidRDefault="002216C1" w:rsidP="002216C1">
      <w:pPr>
        <w:spacing w:line="276" w:lineRule="auto"/>
        <w:ind w:firstLine="709"/>
        <w:jc w:val="both"/>
        <w:rPr>
          <w:rFonts w:asciiTheme="majorBidi" w:hAnsiTheme="majorBidi" w:cstheme="majorBidi"/>
        </w:rPr>
      </w:pPr>
    </w:p>
    <w:p w:rsidR="00FD082A" w:rsidRDefault="002216C1" w:rsidP="00626779">
      <w:pPr>
        <w:spacing w:line="276" w:lineRule="auto"/>
        <w:ind w:firstLine="709"/>
        <w:jc w:val="both"/>
        <w:rPr>
          <w:rFonts w:asciiTheme="majorBidi" w:hAnsiTheme="majorBidi" w:cstheme="majorBidi"/>
        </w:rPr>
      </w:pPr>
      <w:r>
        <w:rPr>
          <w:rFonts w:asciiTheme="majorBidi" w:hAnsiTheme="majorBidi" w:cstheme="majorBidi"/>
        </w:rPr>
        <w:t xml:space="preserve">Navrhovatelia sa rozhodli podporiť </w:t>
      </w:r>
      <w:r w:rsidR="00626779">
        <w:rPr>
          <w:rFonts w:asciiTheme="majorBidi" w:hAnsiTheme="majorBidi" w:cstheme="majorBidi"/>
        </w:rPr>
        <w:t xml:space="preserve">chudobných </w:t>
      </w:r>
      <w:r>
        <w:rPr>
          <w:rFonts w:asciiTheme="majorBidi" w:hAnsiTheme="majorBidi" w:cstheme="majorBidi"/>
        </w:rPr>
        <w:t xml:space="preserve">obyvateľov </w:t>
      </w:r>
      <w:r w:rsidR="00626779">
        <w:rPr>
          <w:rFonts w:asciiTheme="majorBidi" w:hAnsiTheme="majorBidi" w:cstheme="majorBidi"/>
        </w:rPr>
        <w:t xml:space="preserve">využitím najnovších dostupných údajov o hranici rizika príjmovej chudoby, ktoré budú dostupné </w:t>
      </w:r>
      <w:r w:rsidR="00FD082A">
        <w:rPr>
          <w:rFonts w:asciiTheme="majorBidi" w:hAnsiTheme="majorBidi" w:cstheme="majorBidi"/>
        </w:rPr>
        <w:t>ku dňu účinnosti tohto zákona</w:t>
      </w:r>
      <w:r>
        <w:rPr>
          <w:rFonts w:asciiTheme="majorBidi" w:hAnsiTheme="majorBidi" w:cstheme="majorBidi"/>
        </w:rPr>
        <w:t xml:space="preserve">. </w:t>
      </w:r>
    </w:p>
    <w:p w:rsidR="00FD082A" w:rsidRDefault="00FD082A" w:rsidP="00FD082A">
      <w:pPr>
        <w:spacing w:line="276" w:lineRule="auto"/>
        <w:ind w:firstLine="709"/>
        <w:jc w:val="both"/>
        <w:rPr>
          <w:rFonts w:asciiTheme="majorBidi" w:hAnsiTheme="majorBidi" w:cstheme="majorBidi"/>
        </w:rPr>
      </w:pPr>
    </w:p>
    <w:p w:rsidR="004D081A" w:rsidRDefault="00626779" w:rsidP="008115D2">
      <w:pPr>
        <w:spacing w:line="276" w:lineRule="auto"/>
        <w:ind w:firstLine="709"/>
        <w:jc w:val="both"/>
        <w:rPr>
          <w:rFonts w:asciiTheme="majorBidi" w:hAnsiTheme="majorBidi" w:cstheme="majorBidi"/>
        </w:rPr>
      </w:pPr>
      <w:r>
        <w:rPr>
          <w:rFonts w:asciiTheme="majorBidi" w:hAnsiTheme="majorBidi" w:cstheme="majorBidi"/>
        </w:rPr>
        <w:t xml:space="preserve">Hoci v súčasnosti ešte nie sú dostupné údaje, na základe ktorých sa bude posudzovať nárok na pomoc podľa tohto zákona, predkladatelia </w:t>
      </w:r>
      <w:r w:rsidR="008115D2">
        <w:rPr>
          <w:rFonts w:asciiTheme="majorBidi" w:hAnsiTheme="majorBidi" w:cstheme="majorBidi"/>
        </w:rPr>
        <w:t>zvolili údaje, ktoré budú najaktuálnejšie ku dňu účinnosti zákona, aby sa tak najviac priblížili príjmovej realite chudobných ľudí v súčasnosti. Vzhľadom na nedostupnosť najaktuálnejších údajov v čase predloženia návrhu zákona nie je možné presne kvantifikovať dopady návrhu na výdavkovú časť štátneho rozpočtu.</w:t>
      </w:r>
      <w:r w:rsidR="00495DDA">
        <w:rPr>
          <w:rFonts w:asciiTheme="majorBidi" w:hAnsiTheme="majorBidi" w:cstheme="majorBidi"/>
        </w:rPr>
        <w:t xml:space="preserve"> Opatrenie sa dotkne odhadom do 700 tisíc ľudí, pričom pôjde o dotáciu na domácnosť. Vzhľadom na to</w:t>
      </w:r>
      <w:r w:rsidR="00A05378">
        <w:rPr>
          <w:rFonts w:asciiTheme="majorBidi" w:hAnsiTheme="majorBidi" w:cstheme="majorBidi"/>
        </w:rPr>
        <w:t>,</w:t>
      </w:r>
      <w:bookmarkStart w:id="0" w:name="_GoBack"/>
      <w:bookmarkEnd w:id="0"/>
      <w:r w:rsidR="008115D2">
        <w:rPr>
          <w:rFonts w:asciiTheme="majorBidi" w:hAnsiTheme="majorBidi" w:cstheme="majorBidi"/>
        </w:rPr>
        <w:t xml:space="preserve"> ro</w:t>
      </w:r>
      <w:r w:rsidR="000317AB">
        <w:rPr>
          <w:rFonts w:asciiTheme="majorBidi" w:hAnsiTheme="majorBidi" w:cstheme="majorBidi"/>
        </w:rPr>
        <w:t xml:space="preserve">zpočtové dopady </w:t>
      </w:r>
      <w:r w:rsidR="008115D2">
        <w:rPr>
          <w:rFonts w:asciiTheme="majorBidi" w:hAnsiTheme="majorBidi" w:cstheme="majorBidi"/>
        </w:rPr>
        <w:t xml:space="preserve">nemožno považovať </w:t>
      </w:r>
      <w:r w:rsidR="000317AB">
        <w:rPr>
          <w:rFonts w:asciiTheme="majorBidi" w:hAnsiTheme="majorBidi" w:cstheme="majorBidi"/>
        </w:rPr>
        <w:t xml:space="preserve">za rizikové </w:t>
      </w:r>
      <w:r w:rsidR="00495DDA">
        <w:rPr>
          <w:rFonts w:asciiTheme="majorBidi" w:hAnsiTheme="majorBidi" w:cstheme="majorBidi"/>
        </w:rPr>
        <w:t>z hľadiska udržateľnosti štátneho rozpočtu</w:t>
      </w:r>
      <w:r w:rsidR="000317AB">
        <w:rPr>
          <w:rFonts w:asciiTheme="majorBidi" w:hAnsiTheme="majorBidi" w:cstheme="majorBidi"/>
        </w:rPr>
        <w:t xml:space="preserve">. Zároveň </w:t>
      </w:r>
      <w:r w:rsidR="004D081A">
        <w:rPr>
          <w:rFonts w:asciiTheme="majorBidi" w:hAnsiTheme="majorBidi" w:cstheme="majorBidi"/>
        </w:rPr>
        <w:t>vo svetle výdavkov na opatrenia na podporu podnikov v uplynulých rokoch, ako aj vo svetle pokračujúceho nárastu výdavkov na zbrojenie</w:t>
      </w:r>
      <w:r w:rsidR="00D91FF9">
        <w:rPr>
          <w:rFonts w:asciiTheme="majorBidi" w:hAnsiTheme="majorBidi" w:cstheme="majorBidi"/>
        </w:rPr>
        <w:t xml:space="preserve"> v stách miliónov eur</w:t>
      </w:r>
      <w:r w:rsidR="004D081A">
        <w:rPr>
          <w:rFonts w:asciiTheme="majorBidi" w:hAnsiTheme="majorBidi" w:cstheme="majorBidi"/>
        </w:rPr>
        <w:t xml:space="preserve">, vyplývajúcich s veľkých investičných nákupov v pôsobnosti rezortu </w:t>
      </w:r>
      <w:r w:rsidR="004D081A">
        <w:rPr>
          <w:rFonts w:asciiTheme="majorBidi" w:hAnsiTheme="majorBidi" w:cstheme="majorBidi"/>
        </w:rPr>
        <w:lastRenderedPageBreak/>
        <w:t>obrany</w:t>
      </w:r>
      <w:r w:rsidR="00D91FF9">
        <w:rPr>
          <w:rFonts w:asciiTheme="majorBidi" w:hAnsiTheme="majorBidi" w:cstheme="majorBidi"/>
        </w:rPr>
        <w:t xml:space="preserve"> sú </w:t>
      </w:r>
      <w:r w:rsidR="000317AB">
        <w:rPr>
          <w:rFonts w:asciiTheme="majorBidi" w:hAnsiTheme="majorBidi" w:cstheme="majorBidi"/>
        </w:rPr>
        <w:t xml:space="preserve">predkladatelia </w:t>
      </w:r>
      <w:r w:rsidR="00D91FF9">
        <w:rPr>
          <w:rFonts w:asciiTheme="majorBidi" w:hAnsiTheme="majorBidi" w:cstheme="majorBidi"/>
        </w:rPr>
        <w:t xml:space="preserve">presvedčení, že vláda je povinná nájsť zdroje na </w:t>
      </w:r>
      <w:r w:rsidR="000317AB">
        <w:rPr>
          <w:rFonts w:asciiTheme="majorBidi" w:hAnsiTheme="majorBidi" w:cstheme="majorBidi"/>
        </w:rPr>
        <w:t xml:space="preserve">takúto </w:t>
      </w:r>
      <w:r w:rsidR="00D91FF9">
        <w:rPr>
          <w:rFonts w:asciiTheme="majorBidi" w:hAnsiTheme="majorBidi" w:cstheme="majorBidi"/>
        </w:rPr>
        <w:t xml:space="preserve">pomoc obyvateľom. </w:t>
      </w:r>
    </w:p>
    <w:p w:rsidR="007270FB" w:rsidRPr="006C25C6" w:rsidRDefault="00706D76" w:rsidP="00766B03">
      <w:pPr>
        <w:spacing w:before="120" w:line="276" w:lineRule="auto"/>
        <w:ind w:firstLine="709"/>
        <w:jc w:val="both"/>
        <w:rPr>
          <w:rFonts w:asciiTheme="majorBidi" w:hAnsiTheme="majorBidi" w:cstheme="majorBidi"/>
          <w:color w:val="000000" w:themeColor="text1"/>
        </w:rPr>
      </w:pPr>
      <w:r w:rsidRPr="006C25C6">
        <w:rPr>
          <w:rFonts w:asciiTheme="majorBidi" w:hAnsiTheme="majorBidi" w:cstheme="majorBidi"/>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C5139" w:rsidRDefault="004C5139" w:rsidP="00766B03">
      <w:pPr>
        <w:spacing w:line="276" w:lineRule="auto"/>
        <w:jc w:val="both"/>
        <w:rPr>
          <w:rFonts w:asciiTheme="majorBidi" w:hAnsiTheme="majorBidi" w:cstheme="majorBidi"/>
          <w:b/>
          <w:bCs/>
          <w:color w:val="000000" w:themeColor="text1"/>
        </w:rPr>
      </w:pPr>
    </w:p>
    <w:p w:rsidR="005D3B97" w:rsidRDefault="005D3B97" w:rsidP="00766B03">
      <w:pPr>
        <w:spacing w:line="276" w:lineRule="auto"/>
        <w:jc w:val="both"/>
        <w:rPr>
          <w:rFonts w:asciiTheme="majorBidi" w:hAnsiTheme="majorBidi" w:cstheme="majorBidi"/>
          <w:b/>
          <w:bCs/>
          <w:color w:val="000000" w:themeColor="text1"/>
        </w:rPr>
      </w:pPr>
    </w:p>
    <w:p w:rsidR="005D3B97" w:rsidRPr="006C25C6" w:rsidRDefault="005D3B97" w:rsidP="00766B03">
      <w:pPr>
        <w:spacing w:line="276" w:lineRule="auto"/>
        <w:jc w:val="both"/>
        <w:rPr>
          <w:rFonts w:asciiTheme="majorBidi" w:hAnsiTheme="majorBidi" w:cstheme="majorBidi"/>
          <w:b/>
          <w:bCs/>
          <w:color w:val="000000" w:themeColor="text1"/>
        </w:rPr>
      </w:pPr>
    </w:p>
    <w:p w:rsidR="00BE2399" w:rsidRPr="006C25C6" w:rsidRDefault="00BE2399" w:rsidP="00766B03">
      <w:pPr>
        <w:spacing w:line="276" w:lineRule="auto"/>
        <w:rPr>
          <w:rFonts w:asciiTheme="majorBidi" w:eastAsia="Times New Roman" w:hAnsiTheme="majorBidi" w:cstheme="majorBidi"/>
          <w:b/>
          <w:bCs/>
          <w:color w:val="000000" w:themeColor="text1"/>
          <w:lang w:eastAsia="sk-SK"/>
        </w:rPr>
      </w:pPr>
      <w:r w:rsidRPr="006C25C6">
        <w:rPr>
          <w:rFonts w:asciiTheme="majorBidi" w:hAnsiTheme="majorBidi" w:cstheme="majorBidi"/>
          <w:b/>
          <w:bCs/>
          <w:color w:val="000000" w:themeColor="text1"/>
        </w:rPr>
        <w:t xml:space="preserve">Osobitná časť </w:t>
      </w:r>
    </w:p>
    <w:p w:rsidR="008D7E9B" w:rsidRPr="006C25C6" w:rsidRDefault="008D7E9B" w:rsidP="00766B03">
      <w:pPr>
        <w:spacing w:line="276" w:lineRule="auto"/>
        <w:jc w:val="both"/>
        <w:rPr>
          <w:rFonts w:asciiTheme="majorBidi" w:hAnsiTheme="majorBidi" w:cstheme="majorBidi"/>
          <w:b/>
          <w:bCs/>
          <w:color w:val="000000" w:themeColor="text1"/>
        </w:rPr>
      </w:pPr>
    </w:p>
    <w:p w:rsidR="008D7E9B" w:rsidRPr="006C25C6" w:rsidRDefault="008D7E9B" w:rsidP="00766B03">
      <w:pPr>
        <w:spacing w:line="276" w:lineRule="auto"/>
        <w:jc w:val="both"/>
        <w:rPr>
          <w:rFonts w:asciiTheme="majorBidi" w:hAnsiTheme="majorBidi" w:cstheme="majorBidi"/>
          <w:color w:val="000000" w:themeColor="text1"/>
        </w:rPr>
      </w:pPr>
      <w:r w:rsidRPr="006C25C6">
        <w:rPr>
          <w:rFonts w:asciiTheme="majorBidi" w:hAnsiTheme="majorBidi" w:cstheme="majorBidi"/>
          <w:b/>
          <w:bCs/>
          <w:color w:val="000000" w:themeColor="text1"/>
        </w:rPr>
        <w:t>K čl. I</w:t>
      </w:r>
    </w:p>
    <w:p w:rsidR="00794C60" w:rsidRPr="006C25C6" w:rsidRDefault="00794C60" w:rsidP="00766B03">
      <w:pPr>
        <w:spacing w:line="276" w:lineRule="auto"/>
        <w:jc w:val="both"/>
        <w:rPr>
          <w:rFonts w:asciiTheme="majorBidi" w:hAnsiTheme="majorBidi" w:cstheme="majorBidi"/>
          <w:color w:val="000000" w:themeColor="text1"/>
        </w:rPr>
      </w:pPr>
    </w:p>
    <w:p w:rsidR="00D91FF9" w:rsidRDefault="00D91FF9" w:rsidP="00D91FF9">
      <w:pPr>
        <w:spacing w:line="276" w:lineRule="auto"/>
        <w:jc w:val="both"/>
        <w:rPr>
          <w:rFonts w:asciiTheme="majorBidi" w:hAnsiTheme="majorBidi" w:cstheme="majorBidi"/>
        </w:rPr>
      </w:pPr>
      <w:r>
        <w:rPr>
          <w:rFonts w:asciiTheme="majorBidi" w:hAnsiTheme="majorBidi" w:cstheme="majorBidi"/>
        </w:rPr>
        <w:t>§ 1</w:t>
      </w:r>
    </w:p>
    <w:p w:rsidR="00D91FF9" w:rsidRDefault="00D91FF9" w:rsidP="00D91FF9">
      <w:pPr>
        <w:spacing w:line="276" w:lineRule="auto"/>
        <w:jc w:val="both"/>
        <w:rPr>
          <w:rFonts w:asciiTheme="majorBidi" w:hAnsiTheme="majorBidi" w:cstheme="majorBidi"/>
        </w:rPr>
      </w:pPr>
      <w:r>
        <w:rPr>
          <w:rFonts w:asciiTheme="majorBidi" w:hAnsiTheme="majorBidi" w:cstheme="majorBidi"/>
        </w:rPr>
        <w:t xml:space="preserve">Úprava predmetu a cieľa zákona. </w:t>
      </w:r>
    </w:p>
    <w:p w:rsidR="00D91FF9" w:rsidRDefault="00D91FF9" w:rsidP="00D91FF9">
      <w:pPr>
        <w:spacing w:line="276" w:lineRule="auto"/>
        <w:jc w:val="both"/>
        <w:rPr>
          <w:rFonts w:asciiTheme="majorBidi" w:hAnsiTheme="majorBidi" w:cstheme="majorBidi"/>
        </w:rPr>
      </w:pPr>
    </w:p>
    <w:p w:rsidR="00D91FF9" w:rsidRDefault="00D91FF9" w:rsidP="00D91FF9">
      <w:pPr>
        <w:spacing w:line="276" w:lineRule="auto"/>
        <w:jc w:val="both"/>
        <w:rPr>
          <w:rFonts w:asciiTheme="majorBidi" w:hAnsiTheme="majorBidi" w:cstheme="majorBidi"/>
        </w:rPr>
      </w:pPr>
      <w:r>
        <w:rPr>
          <w:rFonts w:asciiTheme="majorBidi" w:hAnsiTheme="majorBidi" w:cstheme="majorBidi"/>
        </w:rPr>
        <w:t>§ 2</w:t>
      </w:r>
    </w:p>
    <w:p w:rsidR="00D91FF9" w:rsidRDefault="00D91FF9" w:rsidP="008115D2">
      <w:pPr>
        <w:spacing w:line="276" w:lineRule="auto"/>
        <w:jc w:val="both"/>
        <w:rPr>
          <w:rFonts w:asciiTheme="majorBidi" w:hAnsiTheme="majorBidi" w:cstheme="majorBidi"/>
        </w:rPr>
      </w:pPr>
      <w:r>
        <w:rPr>
          <w:rFonts w:asciiTheme="majorBidi" w:hAnsiTheme="majorBidi" w:cstheme="majorBidi"/>
        </w:rPr>
        <w:t xml:space="preserve">Definícia účastníkov právnych vzťahov, ktoré upravuje tento zákon. </w:t>
      </w:r>
      <w:r w:rsidR="008115D2">
        <w:rPr>
          <w:rFonts w:asciiTheme="majorBidi" w:hAnsiTheme="majorBidi" w:cstheme="majorBidi"/>
        </w:rPr>
        <w:t xml:space="preserve">Osobitne sú špecifikované viaceré skupiny fyzických osôb, pričom spomedzi tých, ktorí nie sú poberateľmi dôchodkovej dávky a nepatria medzi osoby s ťažkým zdravotným postihnutím budú mať nárok na pomoc tí, ktorí v roku 2022 preukázali aspoň nejakú pracovnú aktivitu. </w:t>
      </w:r>
    </w:p>
    <w:p w:rsidR="00D91FF9" w:rsidRDefault="00D91FF9" w:rsidP="00D91FF9">
      <w:pPr>
        <w:spacing w:line="276" w:lineRule="auto"/>
        <w:jc w:val="both"/>
        <w:rPr>
          <w:rFonts w:asciiTheme="majorBidi" w:hAnsiTheme="majorBidi" w:cstheme="majorBidi"/>
        </w:rPr>
      </w:pPr>
    </w:p>
    <w:p w:rsidR="00D91FF9" w:rsidRDefault="00D91FF9" w:rsidP="00D91FF9">
      <w:pPr>
        <w:spacing w:line="276" w:lineRule="auto"/>
        <w:jc w:val="both"/>
        <w:rPr>
          <w:rFonts w:asciiTheme="majorBidi" w:hAnsiTheme="majorBidi" w:cstheme="majorBidi"/>
        </w:rPr>
      </w:pPr>
      <w:r>
        <w:rPr>
          <w:rFonts w:asciiTheme="majorBidi" w:hAnsiTheme="majorBidi" w:cstheme="majorBidi"/>
        </w:rPr>
        <w:t>§ 3</w:t>
      </w:r>
    </w:p>
    <w:p w:rsidR="00D91FF9" w:rsidRDefault="00D91FF9" w:rsidP="00DB3E0C">
      <w:pPr>
        <w:spacing w:line="276" w:lineRule="auto"/>
        <w:jc w:val="both"/>
        <w:rPr>
          <w:rFonts w:asciiTheme="majorBidi" w:hAnsiTheme="majorBidi" w:cstheme="majorBidi"/>
        </w:rPr>
      </w:pPr>
      <w:r>
        <w:rPr>
          <w:rFonts w:asciiTheme="majorBidi" w:hAnsiTheme="majorBidi" w:cstheme="majorBidi"/>
        </w:rPr>
        <w:t xml:space="preserve">Ustanovenie formy pomoci, ktorou je peňažný príspevok. </w:t>
      </w:r>
      <w:r w:rsidR="00F15AFC">
        <w:rPr>
          <w:rFonts w:asciiTheme="majorBidi" w:hAnsiTheme="majorBidi" w:cstheme="majorBidi"/>
        </w:rPr>
        <w:t xml:space="preserve">Spôsob výplaty sa určuje tak, aby bol administratívne </w:t>
      </w:r>
      <w:r w:rsidR="000317AB">
        <w:rPr>
          <w:rFonts w:asciiTheme="majorBidi" w:hAnsiTheme="majorBidi" w:cstheme="majorBidi"/>
        </w:rPr>
        <w:t xml:space="preserve">čo najmenej náročný tak pre fyzické osoby s nárokom na pomoc, ako aj </w:t>
      </w:r>
      <w:r w:rsidR="00F15AFC">
        <w:rPr>
          <w:rFonts w:asciiTheme="majorBidi" w:hAnsiTheme="majorBidi" w:cstheme="majorBidi"/>
        </w:rPr>
        <w:t xml:space="preserve">pre príslušný orgán. </w:t>
      </w:r>
      <w:r w:rsidR="00D10530">
        <w:rPr>
          <w:rFonts w:asciiTheme="majorBidi" w:hAnsiTheme="majorBidi" w:cstheme="majorBidi"/>
        </w:rPr>
        <w:t xml:space="preserve">Keďže ide o mimoriadne opatrenia, explicitne sa ustanovuje povinnosť príslušných orgánov poskytnúť maximálnu súčinnosť oprávneným fyzickým osobám s vyplnením formulára žiadosti. V tejto súvislosti úrady poradia žiadateľom aj s identifikovať, či im vzniká nárok podľa § 4. </w:t>
      </w:r>
      <w:r w:rsidR="008115D2">
        <w:rPr>
          <w:rFonts w:asciiTheme="majorBidi" w:hAnsiTheme="majorBidi" w:cstheme="majorBidi"/>
        </w:rPr>
        <w:t xml:space="preserve">Formulár žiadosti by mal slúžiť na zistenie len tých údajov, ktoré sú nevyhnutné pre overenie nároku a vyplatenie pomoci. </w:t>
      </w:r>
      <w:r w:rsidR="00DB3E0C">
        <w:rPr>
          <w:rFonts w:asciiTheme="majorBidi" w:hAnsiTheme="majorBidi" w:cstheme="majorBidi"/>
        </w:rPr>
        <w:t xml:space="preserve">Jeho zverejnenie okamžite po nadobudnutí účinnosti zákona nebude vzhľadom na jeho jednoduchú štruktúru predstavovať administratívnu záťaž pre príslušné orgány. </w:t>
      </w:r>
    </w:p>
    <w:p w:rsidR="00D91FF9" w:rsidRDefault="00D91FF9" w:rsidP="00D91FF9">
      <w:pPr>
        <w:spacing w:line="276" w:lineRule="auto"/>
        <w:jc w:val="both"/>
        <w:rPr>
          <w:rFonts w:asciiTheme="majorBidi" w:hAnsiTheme="majorBidi" w:cstheme="majorBidi"/>
        </w:rPr>
      </w:pPr>
    </w:p>
    <w:p w:rsidR="00D91FF9" w:rsidRDefault="00D91FF9" w:rsidP="00D91FF9">
      <w:pPr>
        <w:spacing w:line="276" w:lineRule="auto"/>
        <w:jc w:val="both"/>
        <w:rPr>
          <w:rFonts w:asciiTheme="majorBidi" w:hAnsiTheme="majorBidi" w:cstheme="majorBidi"/>
        </w:rPr>
      </w:pPr>
      <w:r>
        <w:rPr>
          <w:rFonts w:asciiTheme="majorBidi" w:hAnsiTheme="majorBidi" w:cstheme="majorBidi"/>
        </w:rPr>
        <w:t>§ 4</w:t>
      </w:r>
    </w:p>
    <w:p w:rsidR="00D91FF9" w:rsidRDefault="00DB3E0C" w:rsidP="00DB3E0C">
      <w:pPr>
        <w:spacing w:line="276" w:lineRule="auto"/>
        <w:jc w:val="both"/>
        <w:rPr>
          <w:rFonts w:asciiTheme="majorBidi" w:hAnsiTheme="majorBidi" w:cstheme="majorBidi"/>
        </w:rPr>
      </w:pPr>
      <w:r>
        <w:rPr>
          <w:rFonts w:asciiTheme="majorBidi" w:hAnsiTheme="majorBidi" w:cstheme="majorBidi"/>
        </w:rPr>
        <w:t xml:space="preserve">Pre posúdenie nároku bude rozhodujúci typ domácnosti, v ktorej fyzická osoba s nárokom žije, čiže zohľadnenie počtu členov domácnosti a ich vek, ako to zohľadňuje metodika EU SILC pre výpočet hranice rizika príjmovej chudoby. Najnovšie údaje, na základe ktorých ŠÚ SR oznámi údaje potrebné pre posúdenie nároku boli zozbierané vlani za rok 2021. ŠÚ SR ich aspoň v rozsahu účelnom pre aplikáciu zákona musí spracovať najneskôr do konca júna 2023. Za každú domácnosť bude mať nárok na pomoc len jedna fyzická osoba. </w:t>
      </w:r>
      <w:r w:rsidR="00D91FF9">
        <w:rPr>
          <w:rFonts w:asciiTheme="majorBidi" w:hAnsiTheme="majorBidi" w:cstheme="majorBidi"/>
        </w:rPr>
        <w:t xml:space="preserve">Nárok na pomoc podľa tohto zákona vzniká definovaným fyzickým osobám automaticky. Orgány štátnej správy, ktoré vstupujú do právneho vzťahu na základe tohto zákona nebudú o nárokoch </w:t>
      </w:r>
      <w:r w:rsidR="00D91FF9">
        <w:rPr>
          <w:rFonts w:asciiTheme="majorBidi" w:hAnsiTheme="majorBidi" w:cstheme="majorBidi"/>
        </w:rPr>
        <w:lastRenderedPageBreak/>
        <w:t xml:space="preserve">rozhodovať, čím sa odbúra ich nadmerná administratívna záťaž a zjednoduší sa proces poskytnutia pomoci. </w:t>
      </w:r>
    </w:p>
    <w:p w:rsidR="00D91FF9" w:rsidRDefault="00D91FF9" w:rsidP="00D91FF9">
      <w:pPr>
        <w:spacing w:line="276" w:lineRule="auto"/>
        <w:jc w:val="both"/>
        <w:rPr>
          <w:rFonts w:asciiTheme="majorBidi" w:hAnsiTheme="majorBidi" w:cstheme="majorBidi"/>
        </w:rPr>
      </w:pPr>
    </w:p>
    <w:p w:rsidR="00D91FF9" w:rsidRDefault="00D91FF9" w:rsidP="00D91FF9">
      <w:pPr>
        <w:spacing w:line="276" w:lineRule="auto"/>
        <w:jc w:val="both"/>
        <w:rPr>
          <w:rFonts w:asciiTheme="majorBidi" w:hAnsiTheme="majorBidi" w:cstheme="majorBidi"/>
        </w:rPr>
      </w:pPr>
      <w:r>
        <w:rPr>
          <w:rFonts w:asciiTheme="majorBidi" w:hAnsiTheme="majorBidi" w:cstheme="majorBidi"/>
        </w:rPr>
        <w:t>§ 5</w:t>
      </w:r>
    </w:p>
    <w:p w:rsidR="00D91FF9" w:rsidRDefault="00D91FF9" w:rsidP="000317AB">
      <w:pPr>
        <w:spacing w:line="276" w:lineRule="auto"/>
        <w:jc w:val="both"/>
        <w:rPr>
          <w:rFonts w:asciiTheme="majorBidi" w:hAnsiTheme="majorBidi" w:cstheme="majorBidi"/>
        </w:rPr>
      </w:pPr>
      <w:r>
        <w:rPr>
          <w:rFonts w:asciiTheme="majorBidi" w:hAnsiTheme="majorBidi" w:cstheme="majorBidi"/>
        </w:rPr>
        <w:t>Určuje sa výška pomoci</w:t>
      </w:r>
      <w:r w:rsidR="00351755">
        <w:rPr>
          <w:rFonts w:asciiTheme="majorBidi" w:hAnsiTheme="majorBidi" w:cstheme="majorBidi"/>
        </w:rPr>
        <w:t xml:space="preserve">. </w:t>
      </w:r>
    </w:p>
    <w:p w:rsidR="000610B1" w:rsidRDefault="000610B1" w:rsidP="00D91FF9">
      <w:pPr>
        <w:spacing w:line="276" w:lineRule="auto"/>
        <w:jc w:val="both"/>
        <w:rPr>
          <w:rFonts w:asciiTheme="majorBidi" w:hAnsiTheme="majorBidi" w:cstheme="majorBidi"/>
        </w:rPr>
      </w:pPr>
    </w:p>
    <w:p w:rsidR="000610B1" w:rsidRDefault="000610B1" w:rsidP="00D91FF9">
      <w:pPr>
        <w:spacing w:line="276" w:lineRule="auto"/>
        <w:jc w:val="both"/>
        <w:rPr>
          <w:rFonts w:asciiTheme="majorBidi" w:hAnsiTheme="majorBidi" w:cstheme="majorBidi"/>
        </w:rPr>
      </w:pPr>
      <w:r>
        <w:rPr>
          <w:rFonts w:asciiTheme="majorBidi" w:hAnsiTheme="majorBidi" w:cstheme="majorBidi"/>
        </w:rPr>
        <w:t>§ 6</w:t>
      </w:r>
    </w:p>
    <w:p w:rsidR="000610B1" w:rsidRDefault="00D10530" w:rsidP="00DB3E0C">
      <w:pPr>
        <w:spacing w:line="276" w:lineRule="auto"/>
        <w:jc w:val="both"/>
        <w:rPr>
          <w:rFonts w:asciiTheme="majorBidi" w:hAnsiTheme="majorBidi" w:cstheme="majorBidi"/>
        </w:rPr>
      </w:pPr>
      <w:r>
        <w:rPr>
          <w:rFonts w:asciiTheme="majorBidi" w:hAnsiTheme="majorBidi" w:cstheme="majorBidi"/>
        </w:rPr>
        <w:t xml:space="preserve">Príslušnosť orgánu sa určuje tak, aby poberatelia dôchodkových dávok komunikovali s úradmi, s ktorými už majú kontakt a skúsenosti so vzájomnou komunikáciou. Zároveň sa ustanovuje viacero termínov pre výplatu pomoci tak, aby oprávnené fyzické osoby mali dosť času na podanie žiadosti, a zároveň aby po jej podaní získali pomoc čo najskôr. Pritom sa rešpektuje administratívna náročnosť procesu spracovania žiadosti a vyplatenia pomoci. </w:t>
      </w:r>
      <w:r w:rsidR="00DB3E0C">
        <w:rPr>
          <w:rFonts w:asciiTheme="majorBidi" w:hAnsiTheme="majorBidi" w:cstheme="majorBidi"/>
        </w:rPr>
        <w:t xml:space="preserve">ŠÚ SR oznámi príslušným úradom potrebné údaje najneskôr 1. júla 2023. Znenie § 6 predpokladá vzájomnú komunikáciu príslušných orgánov so ŠÚ SR pri definovaní všetkých typov domácností, v ktorých žijú fyzické osoby podľa § 2, aby pre všetky prípady bolo možné posúdiť ich nárok podľa § 4. </w:t>
      </w:r>
    </w:p>
    <w:p w:rsidR="00F15AFC" w:rsidRDefault="00F15AFC" w:rsidP="000610B1">
      <w:pPr>
        <w:spacing w:line="276" w:lineRule="auto"/>
        <w:jc w:val="both"/>
        <w:rPr>
          <w:rFonts w:asciiTheme="majorBidi" w:hAnsiTheme="majorBidi" w:cstheme="majorBidi"/>
        </w:rPr>
      </w:pPr>
    </w:p>
    <w:p w:rsidR="00F15AFC" w:rsidRDefault="00F15AFC" w:rsidP="000610B1">
      <w:pPr>
        <w:spacing w:line="276" w:lineRule="auto"/>
        <w:jc w:val="both"/>
        <w:rPr>
          <w:rFonts w:asciiTheme="majorBidi" w:hAnsiTheme="majorBidi" w:cstheme="majorBidi"/>
        </w:rPr>
      </w:pPr>
      <w:r>
        <w:rPr>
          <w:rFonts w:asciiTheme="majorBidi" w:hAnsiTheme="majorBidi" w:cstheme="majorBidi"/>
        </w:rPr>
        <w:t>§ 7</w:t>
      </w:r>
    </w:p>
    <w:p w:rsidR="00F15AFC" w:rsidRDefault="00F15AFC" w:rsidP="00D77FFD">
      <w:pPr>
        <w:spacing w:line="276" w:lineRule="auto"/>
        <w:jc w:val="both"/>
        <w:rPr>
          <w:rFonts w:asciiTheme="majorBidi" w:hAnsiTheme="majorBidi" w:cstheme="majorBidi"/>
        </w:rPr>
      </w:pPr>
      <w:r>
        <w:rPr>
          <w:rFonts w:asciiTheme="majorBidi" w:hAnsiTheme="majorBidi" w:cstheme="majorBidi"/>
        </w:rPr>
        <w:t>Ustanovujú sa pravidlá pre prácu s osobnými údajmi</w:t>
      </w:r>
      <w:r w:rsidR="000317AB">
        <w:rPr>
          <w:rFonts w:asciiTheme="majorBidi" w:hAnsiTheme="majorBidi" w:cstheme="majorBidi"/>
        </w:rPr>
        <w:t xml:space="preserve">, pričom toto ustanovenie predpokladá aj </w:t>
      </w:r>
      <w:r w:rsidR="00AB0F6B">
        <w:rPr>
          <w:rFonts w:asciiTheme="majorBidi" w:hAnsiTheme="majorBidi" w:cstheme="majorBidi"/>
        </w:rPr>
        <w:t xml:space="preserve">výmenu informácií </w:t>
      </w:r>
      <w:r w:rsidR="00D10530">
        <w:rPr>
          <w:rFonts w:asciiTheme="majorBidi" w:hAnsiTheme="majorBidi" w:cstheme="majorBidi"/>
        </w:rPr>
        <w:t xml:space="preserve">o príjmoch všetkých členov domácnosti </w:t>
      </w:r>
      <w:r w:rsidR="00AB0F6B">
        <w:rPr>
          <w:rFonts w:asciiTheme="majorBidi" w:hAnsiTheme="majorBidi" w:cstheme="majorBidi"/>
        </w:rPr>
        <w:t>za účelom kontroly, či sú splnené podmienky nároku podľa § 4 ods. 1</w:t>
      </w:r>
      <w:r>
        <w:rPr>
          <w:rFonts w:asciiTheme="majorBidi" w:hAnsiTheme="majorBidi" w:cstheme="majorBidi"/>
        </w:rPr>
        <w:t xml:space="preserve">. </w:t>
      </w:r>
      <w:r w:rsidR="00D77FFD">
        <w:rPr>
          <w:rFonts w:asciiTheme="majorBidi" w:hAnsiTheme="majorBidi" w:cstheme="majorBidi"/>
        </w:rPr>
        <w:t xml:space="preserve">Hoci nárok bude fyzická osoba deklarovať v žiadosti, v ktorej uvedie aj sumu príjmu za všetkých členov domácnosti za rok 2022, výmena informácií medzi verejnými inštitúciami podľa § 7 má o. i. zabezpečiť kontrolu poskytnutých údajov, najmä pokiaľ ide o počet členov domácnosti, ich vekovú štruktúru a sumu príjmu za všetkých členov domácnosti za rok 2022. </w:t>
      </w:r>
    </w:p>
    <w:p w:rsidR="00F15AFC" w:rsidRDefault="00F15AFC" w:rsidP="00F15AFC">
      <w:pPr>
        <w:spacing w:line="276" w:lineRule="auto"/>
        <w:jc w:val="both"/>
        <w:rPr>
          <w:rFonts w:asciiTheme="majorBidi" w:hAnsiTheme="majorBidi" w:cstheme="majorBidi"/>
        </w:rPr>
      </w:pPr>
    </w:p>
    <w:p w:rsidR="00F15AFC" w:rsidRDefault="00F15AFC" w:rsidP="00F15AFC">
      <w:pPr>
        <w:spacing w:line="276" w:lineRule="auto"/>
        <w:jc w:val="both"/>
        <w:rPr>
          <w:rFonts w:asciiTheme="majorBidi" w:hAnsiTheme="majorBidi" w:cstheme="majorBidi"/>
        </w:rPr>
      </w:pPr>
      <w:r>
        <w:rPr>
          <w:rFonts w:asciiTheme="majorBidi" w:hAnsiTheme="majorBidi" w:cstheme="majorBidi"/>
        </w:rPr>
        <w:t>§ 8</w:t>
      </w:r>
    </w:p>
    <w:p w:rsidR="00F15AFC" w:rsidRDefault="00F15AFC" w:rsidP="00D10530">
      <w:pPr>
        <w:spacing w:line="276" w:lineRule="auto"/>
        <w:jc w:val="both"/>
        <w:rPr>
          <w:rFonts w:asciiTheme="majorBidi" w:hAnsiTheme="majorBidi" w:cstheme="majorBidi"/>
        </w:rPr>
      </w:pPr>
      <w:r>
        <w:rPr>
          <w:rFonts w:asciiTheme="majorBidi" w:hAnsiTheme="majorBidi" w:cstheme="majorBidi"/>
        </w:rPr>
        <w:t>Ustanovuj</w:t>
      </w:r>
      <w:r w:rsidR="00D10530">
        <w:rPr>
          <w:rFonts w:asciiTheme="majorBidi" w:hAnsiTheme="majorBidi" w:cstheme="majorBidi"/>
        </w:rPr>
        <w:t>e</w:t>
      </w:r>
      <w:r>
        <w:rPr>
          <w:rFonts w:asciiTheme="majorBidi" w:hAnsiTheme="majorBidi" w:cstheme="majorBidi"/>
        </w:rPr>
        <w:t xml:space="preserve"> sa povinnosť fyzickej osoby vrátiť neoprávnene poskytnutú pomoc, resp. neoprávnenú časť pomoci a spôsob vrátenia. </w:t>
      </w:r>
    </w:p>
    <w:p w:rsidR="00F15AFC" w:rsidRDefault="00F15AFC" w:rsidP="00F15AFC">
      <w:pPr>
        <w:spacing w:line="276" w:lineRule="auto"/>
        <w:jc w:val="both"/>
        <w:rPr>
          <w:rFonts w:asciiTheme="majorBidi" w:hAnsiTheme="majorBidi" w:cstheme="majorBidi"/>
        </w:rPr>
      </w:pPr>
    </w:p>
    <w:p w:rsidR="00F15AFC" w:rsidRDefault="00F15AFC" w:rsidP="00F15AFC">
      <w:pPr>
        <w:spacing w:line="276" w:lineRule="auto"/>
        <w:jc w:val="both"/>
        <w:rPr>
          <w:rFonts w:asciiTheme="majorBidi" w:hAnsiTheme="majorBidi" w:cstheme="majorBidi"/>
        </w:rPr>
      </w:pPr>
      <w:r>
        <w:rPr>
          <w:rFonts w:asciiTheme="majorBidi" w:hAnsiTheme="majorBidi" w:cstheme="majorBidi"/>
        </w:rPr>
        <w:t>§ 9</w:t>
      </w:r>
    </w:p>
    <w:p w:rsidR="00D10530" w:rsidRDefault="00D10530" w:rsidP="00F15AFC">
      <w:pPr>
        <w:spacing w:line="276" w:lineRule="auto"/>
        <w:jc w:val="both"/>
        <w:rPr>
          <w:rFonts w:asciiTheme="majorBidi" w:hAnsiTheme="majorBidi" w:cstheme="majorBidi"/>
        </w:rPr>
      </w:pPr>
      <w:r>
        <w:rPr>
          <w:rFonts w:asciiTheme="majorBidi" w:hAnsiTheme="majorBidi" w:cstheme="majorBidi"/>
        </w:rPr>
        <w:t xml:space="preserve">Ustanovuje sa financovanie pomoci z prostriedkov štátneho rozpočtu. </w:t>
      </w:r>
    </w:p>
    <w:p w:rsidR="00D10530" w:rsidRDefault="00D10530" w:rsidP="00F15AFC">
      <w:pPr>
        <w:spacing w:line="276" w:lineRule="auto"/>
        <w:jc w:val="both"/>
        <w:rPr>
          <w:rFonts w:asciiTheme="majorBidi" w:hAnsiTheme="majorBidi" w:cstheme="majorBidi"/>
        </w:rPr>
      </w:pPr>
    </w:p>
    <w:p w:rsidR="00D10530" w:rsidRDefault="00D10530" w:rsidP="00F15AFC">
      <w:pPr>
        <w:spacing w:line="276" w:lineRule="auto"/>
        <w:jc w:val="both"/>
        <w:rPr>
          <w:rFonts w:asciiTheme="majorBidi" w:hAnsiTheme="majorBidi" w:cstheme="majorBidi"/>
        </w:rPr>
      </w:pPr>
      <w:r>
        <w:rPr>
          <w:rFonts w:asciiTheme="majorBidi" w:hAnsiTheme="majorBidi" w:cstheme="majorBidi"/>
        </w:rPr>
        <w:t>§ 10</w:t>
      </w:r>
    </w:p>
    <w:p w:rsidR="00F15AFC" w:rsidRDefault="00F15AFC" w:rsidP="00F15AFC">
      <w:pPr>
        <w:spacing w:line="276" w:lineRule="auto"/>
        <w:jc w:val="both"/>
        <w:rPr>
          <w:rFonts w:asciiTheme="majorBidi" w:hAnsiTheme="majorBidi" w:cstheme="majorBidi"/>
        </w:rPr>
      </w:pPr>
      <w:r>
        <w:rPr>
          <w:rFonts w:asciiTheme="majorBidi" w:hAnsiTheme="majorBidi" w:cstheme="majorBidi"/>
        </w:rPr>
        <w:t xml:space="preserve">Ustanovuje sa vylúčenie pomoci podľa tohto zákona z príjmu pre najrôznejšie účely. Zámerom zákonodarcu je, aby bolo jasné, že v žiadnom právnom predpise, kde sa akýmkoľvek spôsobom určuje povinnosť alebo vznik nároku na základe príjmu sa pomoc podľa tohto zákona za príjem nepovažuje. </w:t>
      </w:r>
    </w:p>
    <w:p w:rsidR="00F15AFC" w:rsidRDefault="00F15AFC" w:rsidP="00F15AFC">
      <w:pPr>
        <w:spacing w:line="276" w:lineRule="auto"/>
        <w:jc w:val="both"/>
        <w:rPr>
          <w:rFonts w:asciiTheme="majorBidi" w:hAnsiTheme="majorBidi" w:cstheme="majorBidi"/>
        </w:rPr>
      </w:pPr>
    </w:p>
    <w:p w:rsidR="00F15AFC" w:rsidRPr="00F15AFC" w:rsidRDefault="00F15AFC" w:rsidP="00F15AFC">
      <w:pPr>
        <w:spacing w:line="276" w:lineRule="auto"/>
        <w:jc w:val="both"/>
        <w:rPr>
          <w:rFonts w:asciiTheme="majorBidi" w:hAnsiTheme="majorBidi" w:cstheme="majorBidi"/>
          <w:b/>
          <w:bCs/>
        </w:rPr>
      </w:pPr>
      <w:r w:rsidRPr="00F15AFC">
        <w:rPr>
          <w:rFonts w:asciiTheme="majorBidi" w:hAnsiTheme="majorBidi" w:cstheme="majorBidi"/>
          <w:b/>
          <w:bCs/>
        </w:rPr>
        <w:t>K čl. II</w:t>
      </w:r>
    </w:p>
    <w:p w:rsidR="00F15AFC" w:rsidRDefault="00F15AFC" w:rsidP="00F15AFC">
      <w:pPr>
        <w:spacing w:line="276" w:lineRule="auto"/>
        <w:jc w:val="both"/>
        <w:rPr>
          <w:rFonts w:asciiTheme="majorBidi" w:hAnsiTheme="majorBidi" w:cstheme="majorBidi"/>
        </w:rPr>
      </w:pPr>
      <w:r>
        <w:rPr>
          <w:rFonts w:asciiTheme="majorBidi" w:hAnsiTheme="majorBidi" w:cstheme="majorBidi"/>
        </w:rPr>
        <w:t xml:space="preserve">Ustanovuje sa účinnosť zákona tak, aby sa vytvoril dostatočný časový rámec na jeho realizáciu. </w:t>
      </w:r>
    </w:p>
    <w:p w:rsidR="00D77FFD" w:rsidRDefault="00D77FFD" w:rsidP="00766B03">
      <w:pPr>
        <w:spacing w:before="120" w:line="276" w:lineRule="auto"/>
        <w:jc w:val="center"/>
        <w:rPr>
          <w:rFonts w:ascii="Times New Roman" w:hAnsi="Times New Roman" w:cs="Times New Roman"/>
          <w:b/>
          <w:bCs/>
          <w:caps/>
          <w:color w:val="000000" w:themeColor="text1"/>
          <w:spacing w:val="30"/>
        </w:rPr>
      </w:pPr>
    </w:p>
    <w:p w:rsidR="00B83154" w:rsidRPr="00D60773" w:rsidRDefault="006C25C6"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w:t>
      </w:r>
      <w:r w:rsidR="00B83154" w:rsidRPr="00D60773">
        <w:rPr>
          <w:rFonts w:ascii="Times New Roman" w:hAnsi="Times New Roman" w:cs="Times New Roman"/>
          <w:b/>
          <w:bCs/>
          <w:caps/>
          <w:color w:val="000000" w:themeColor="text1"/>
          <w:spacing w:val="30"/>
        </w:rPr>
        <w:t>OLOŽKA ZLUČITEĽNOSTI</w:t>
      </w:r>
    </w:p>
    <w:p w:rsidR="00B83154" w:rsidRPr="00D60773" w:rsidRDefault="00B83154" w:rsidP="00766B03">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rsidR="00B83154" w:rsidRPr="00D60773" w:rsidRDefault="00B83154" w:rsidP="00766B03">
      <w:pPr>
        <w:pStyle w:val="Normlnywebov"/>
        <w:spacing w:before="120" w:after="0" w:line="276" w:lineRule="auto"/>
        <w:jc w:val="both"/>
        <w:rPr>
          <w:color w:val="000000" w:themeColor="text1"/>
        </w:rPr>
      </w:pPr>
      <w:r w:rsidRPr="00D60773">
        <w:rPr>
          <w:color w:val="000000" w:themeColor="text1"/>
        </w:rPr>
        <w:t> </w:t>
      </w:r>
    </w:p>
    <w:p w:rsidR="00B83154" w:rsidRPr="00D60773" w:rsidRDefault="00B83154" w:rsidP="00766B03">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rsidR="00B83154" w:rsidRPr="00D60773" w:rsidRDefault="00B83154" w:rsidP="00766B03">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6E26EC">
        <w:rPr>
          <w:color w:val="000000" w:themeColor="text1"/>
        </w:rPr>
        <w:t>N</w:t>
      </w:r>
      <w:r w:rsidRPr="00D60773">
        <w:rPr>
          <w:color w:val="000000" w:themeColor="text1"/>
        </w:rPr>
        <w:t xml:space="preserve">ávrh zákona, ktorým sa mení a dopĺňa zákon č. </w:t>
      </w:r>
      <w:r w:rsidR="00057603" w:rsidRPr="00145931">
        <w:rPr>
          <w:color w:val="000000" w:themeColor="text1"/>
        </w:rPr>
        <w:t>461/2003 Z. z. o sociálnom poistení v znení neskorších predpiso</w:t>
      </w:r>
      <w:r w:rsidR="00057603">
        <w:rPr>
          <w:color w:val="000000" w:themeColor="text1"/>
        </w:rPr>
        <w:t>v</w:t>
      </w:r>
      <w:r w:rsidR="009D10CE">
        <w:rPr>
          <w:color w:val="000000" w:themeColor="text1"/>
        </w:rPr>
        <w:t>.</w:t>
      </w:r>
    </w:p>
    <w:p w:rsidR="00B83154" w:rsidRPr="00D60773" w:rsidRDefault="00B83154" w:rsidP="00766B03">
      <w:pPr>
        <w:pStyle w:val="Normlnywebov"/>
        <w:spacing w:before="120" w:after="0" w:line="276" w:lineRule="auto"/>
        <w:jc w:val="both"/>
        <w:rPr>
          <w:b/>
          <w:bCs/>
          <w:color w:val="000000" w:themeColor="text1"/>
        </w:rPr>
      </w:pPr>
      <w:r w:rsidRPr="00D60773">
        <w:rPr>
          <w:b/>
          <w:bCs/>
          <w:color w:val="000000" w:themeColor="text1"/>
        </w:rPr>
        <w:t>3. Predmet návrhu zákona:</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rsidR="00B83154" w:rsidRPr="00D60773" w:rsidRDefault="00B83154" w:rsidP="00766B03">
      <w:pPr>
        <w:pStyle w:val="Normlnywebov"/>
        <w:suppressAutoHyphens/>
        <w:spacing w:before="120" w:beforeAutospacing="0" w:after="0" w:afterAutospacing="0" w:line="276" w:lineRule="auto"/>
        <w:jc w:val="both"/>
        <w:rPr>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Default="00B83154" w:rsidP="00766B03">
      <w:pPr>
        <w:spacing w:line="276" w:lineRule="auto"/>
        <w:jc w:val="both"/>
        <w:rPr>
          <w:rFonts w:ascii="Times New Roman" w:hAnsi="Times New Roman" w:cs="Times New Roman"/>
          <w:b/>
          <w:bCs/>
          <w:color w:val="000000" w:themeColor="text1"/>
        </w:rPr>
      </w:pPr>
    </w:p>
    <w:p w:rsidR="003527EB" w:rsidRDefault="003527EB" w:rsidP="00766B03">
      <w:pPr>
        <w:spacing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Doložka</w:t>
      </w:r>
    </w:p>
    <w:p w:rsidR="00F42969" w:rsidRDefault="00F42969" w:rsidP="00766B03">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rsidR="00F42969" w:rsidRDefault="00F42969" w:rsidP="00766B03">
      <w:pPr>
        <w:spacing w:before="120" w:line="276" w:lineRule="auto"/>
        <w:jc w:val="both"/>
        <w:rPr>
          <w:rFonts w:ascii="Times New Roman" w:hAnsi="Times New Roman" w:cs="Times New Roman"/>
          <w:color w:val="000000" w:themeColor="text1"/>
        </w:rPr>
      </w:pPr>
    </w:p>
    <w:p w:rsidR="00F42969" w:rsidRPr="006E26EC" w:rsidRDefault="00F42969" w:rsidP="00766B03">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Pr="006E26EC">
        <w:rPr>
          <w:rFonts w:ascii="Times New Roman" w:hAnsi="Times New Roman" w:cs="Times New Roman"/>
          <w:color w:val="000000" w:themeColor="text1"/>
        </w:rPr>
        <w:t>Návrh zákona, ktorým sa mení a dopĺňa zákon č. 461/2003 Z. z. o sociálnom poistení v znení neskorších predpisov</w:t>
      </w:r>
    </w:p>
    <w:p w:rsidR="00F42969" w:rsidRDefault="00F42969" w:rsidP="00766B03">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9F1FDF"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bl>
    <w:p w:rsidR="00F42969" w:rsidRDefault="00F42969" w:rsidP="00766B03">
      <w:pPr>
        <w:spacing w:before="120" w:line="276" w:lineRule="auto"/>
        <w:jc w:val="both"/>
        <w:rPr>
          <w:rFonts w:ascii="Times New Roman" w:hAnsi="Times New Roman" w:cs="Times New Roman"/>
          <w:color w:val="000000" w:themeColor="text1"/>
        </w:rPr>
      </w:pPr>
    </w:p>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rsidR="00F42969" w:rsidRDefault="00F42969" w:rsidP="00766B03">
      <w:pPr>
        <w:pStyle w:val="Normlnywebov"/>
        <w:spacing w:before="120" w:beforeAutospacing="0" w:after="0" w:afterAutospacing="0" w:line="276" w:lineRule="auto"/>
        <w:ind w:left="567" w:hanging="567"/>
        <w:jc w:val="both"/>
        <w:rPr>
          <w:b/>
          <w:bCs/>
          <w:color w:val="000000" w:themeColor="text1"/>
        </w:rPr>
      </w:pPr>
    </w:p>
    <w:p w:rsidR="00F42969" w:rsidRDefault="00F42969" w:rsidP="00766B03">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rsidR="00F42969" w:rsidRPr="00D60773" w:rsidRDefault="00F42969" w:rsidP="006C25C6">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9A2" w:rsidRDefault="00A439A2" w:rsidP="00A8760C">
      <w:r>
        <w:separator/>
      </w:r>
    </w:p>
  </w:endnote>
  <w:endnote w:type="continuationSeparator" w:id="0">
    <w:p w:rsidR="00A439A2" w:rsidRDefault="00A439A2"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rsidR="008115D2" w:rsidRDefault="008115D2" w:rsidP="00514C1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8115D2" w:rsidRDefault="008115D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8115D2" w:rsidRPr="00A8760C" w:rsidRDefault="008115D2" w:rsidP="00514C14">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D77FFD">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rsidR="008115D2" w:rsidRPr="00A8760C" w:rsidRDefault="008115D2">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rsidR="008115D2" w:rsidRDefault="00D71C43">
        <w:pPr>
          <w:pStyle w:val="Pta"/>
          <w:jc w:val="center"/>
        </w:pPr>
        <w:r>
          <w:fldChar w:fldCharType="begin"/>
        </w:r>
        <w:r>
          <w:instrText>PAGE   \* MERGEFORMAT</w:instrText>
        </w:r>
        <w:r>
          <w:fldChar w:fldCharType="separate"/>
        </w:r>
        <w:r w:rsidR="00D77FFD">
          <w:rPr>
            <w:noProof/>
          </w:rPr>
          <w:t>1</w:t>
        </w:r>
        <w:r>
          <w:rPr>
            <w:noProof/>
          </w:rPr>
          <w:fldChar w:fldCharType="end"/>
        </w:r>
      </w:p>
    </w:sdtContent>
  </w:sdt>
  <w:p w:rsidR="008115D2" w:rsidRDefault="008115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9A2" w:rsidRDefault="00A439A2" w:rsidP="00A8760C">
      <w:r>
        <w:separator/>
      </w:r>
    </w:p>
  </w:footnote>
  <w:footnote w:type="continuationSeparator" w:id="0">
    <w:p w:rsidR="00A439A2" w:rsidRDefault="00A439A2"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5D2" w:rsidRDefault="008115D2">
    <w:pPr>
      <w:pStyle w:val="Hlavika"/>
      <w:jc w:val="center"/>
    </w:pPr>
  </w:p>
  <w:p w:rsidR="008115D2" w:rsidRDefault="008115D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8F6AAE"/>
    <w:multiLevelType w:val="hybridMultilevel"/>
    <w:tmpl w:val="AAE81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C773C"/>
    <w:multiLevelType w:val="hybridMultilevel"/>
    <w:tmpl w:val="046E5D08"/>
    <w:lvl w:ilvl="0" w:tplc="4006A60E">
      <w:start w:val="14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5CC533B5"/>
    <w:multiLevelType w:val="hybridMultilevel"/>
    <w:tmpl w:val="DCE4C81E"/>
    <w:lvl w:ilvl="0" w:tplc="FC0A97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
  </w:num>
  <w:num w:numId="4">
    <w:abstractNumId w:val="7"/>
  </w:num>
  <w:num w:numId="5">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sNaAPC5SPwsAAAA"/>
  </w:docVars>
  <w:rsids>
    <w:rsidRoot w:val="00BE2399"/>
    <w:rsid w:val="000317AB"/>
    <w:rsid w:val="00045086"/>
    <w:rsid w:val="00055641"/>
    <w:rsid w:val="00057603"/>
    <w:rsid w:val="000610B1"/>
    <w:rsid w:val="000761CB"/>
    <w:rsid w:val="00082E79"/>
    <w:rsid w:val="000843A4"/>
    <w:rsid w:val="00090EA2"/>
    <w:rsid w:val="0009435F"/>
    <w:rsid w:val="000A35E6"/>
    <w:rsid w:val="000A6519"/>
    <w:rsid w:val="000B54AD"/>
    <w:rsid w:val="000B5E7A"/>
    <w:rsid w:val="000C493B"/>
    <w:rsid w:val="000F56B6"/>
    <w:rsid w:val="001264FB"/>
    <w:rsid w:val="00127F4B"/>
    <w:rsid w:val="00145931"/>
    <w:rsid w:val="00155991"/>
    <w:rsid w:val="0019318E"/>
    <w:rsid w:val="001B0FF5"/>
    <w:rsid w:val="001B1182"/>
    <w:rsid w:val="001B22FF"/>
    <w:rsid w:val="001D2F11"/>
    <w:rsid w:val="001F103A"/>
    <w:rsid w:val="001F4D4E"/>
    <w:rsid w:val="002061AA"/>
    <w:rsid w:val="002063ED"/>
    <w:rsid w:val="00210DFB"/>
    <w:rsid w:val="002216C1"/>
    <w:rsid w:val="002471FC"/>
    <w:rsid w:val="00260CC7"/>
    <w:rsid w:val="002743D5"/>
    <w:rsid w:val="00277BE4"/>
    <w:rsid w:val="00281B1D"/>
    <w:rsid w:val="002A37C4"/>
    <w:rsid w:val="002D0EFE"/>
    <w:rsid w:val="00316A26"/>
    <w:rsid w:val="003175E8"/>
    <w:rsid w:val="003205C3"/>
    <w:rsid w:val="00325B3A"/>
    <w:rsid w:val="0034071B"/>
    <w:rsid w:val="00350DC1"/>
    <w:rsid w:val="00351755"/>
    <w:rsid w:val="003527EB"/>
    <w:rsid w:val="00352BBC"/>
    <w:rsid w:val="00355B12"/>
    <w:rsid w:val="0037025A"/>
    <w:rsid w:val="00377B0D"/>
    <w:rsid w:val="003920F8"/>
    <w:rsid w:val="003A4F3F"/>
    <w:rsid w:val="003A7C2D"/>
    <w:rsid w:val="003D2FCA"/>
    <w:rsid w:val="003E1AD9"/>
    <w:rsid w:val="003F46AF"/>
    <w:rsid w:val="003F4F96"/>
    <w:rsid w:val="00404741"/>
    <w:rsid w:val="00433D46"/>
    <w:rsid w:val="00446004"/>
    <w:rsid w:val="00463651"/>
    <w:rsid w:val="00482331"/>
    <w:rsid w:val="00495DDA"/>
    <w:rsid w:val="004C3D7A"/>
    <w:rsid w:val="004C5139"/>
    <w:rsid w:val="004D081A"/>
    <w:rsid w:val="004D1400"/>
    <w:rsid w:val="00500013"/>
    <w:rsid w:val="00505E0A"/>
    <w:rsid w:val="00514C14"/>
    <w:rsid w:val="0051761C"/>
    <w:rsid w:val="00526BCB"/>
    <w:rsid w:val="00535B17"/>
    <w:rsid w:val="00544392"/>
    <w:rsid w:val="00546AA7"/>
    <w:rsid w:val="00565A44"/>
    <w:rsid w:val="005776A7"/>
    <w:rsid w:val="00587C8F"/>
    <w:rsid w:val="00595F40"/>
    <w:rsid w:val="005B0819"/>
    <w:rsid w:val="005B4EF1"/>
    <w:rsid w:val="005C0DF7"/>
    <w:rsid w:val="005D3B97"/>
    <w:rsid w:val="005D6D52"/>
    <w:rsid w:val="00603BC1"/>
    <w:rsid w:val="006213AF"/>
    <w:rsid w:val="00626779"/>
    <w:rsid w:val="00630934"/>
    <w:rsid w:val="006351F6"/>
    <w:rsid w:val="00635F60"/>
    <w:rsid w:val="0065140F"/>
    <w:rsid w:val="00653DD1"/>
    <w:rsid w:val="00680087"/>
    <w:rsid w:val="006864D9"/>
    <w:rsid w:val="00696D3E"/>
    <w:rsid w:val="006C15A1"/>
    <w:rsid w:val="006C25C6"/>
    <w:rsid w:val="006C74C4"/>
    <w:rsid w:val="006E26EC"/>
    <w:rsid w:val="00706D76"/>
    <w:rsid w:val="00711180"/>
    <w:rsid w:val="007270FB"/>
    <w:rsid w:val="0073149C"/>
    <w:rsid w:val="007453F7"/>
    <w:rsid w:val="00750A03"/>
    <w:rsid w:val="0076386C"/>
    <w:rsid w:val="0076645F"/>
    <w:rsid w:val="00766B03"/>
    <w:rsid w:val="00774679"/>
    <w:rsid w:val="007813BB"/>
    <w:rsid w:val="00785942"/>
    <w:rsid w:val="00794C60"/>
    <w:rsid w:val="007C2246"/>
    <w:rsid w:val="007D4705"/>
    <w:rsid w:val="007F13B3"/>
    <w:rsid w:val="007F535E"/>
    <w:rsid w:val="008115D2"/>
    <w:rsid w:val="008126BB"/>
    <w:rsid w:val="00851889"/>
    <w:rsid w:val="00866D63"/>
    <w:rsid w:val="00872B76"/>
    <w:rsid w:val="0089040E"/>
    <w:rsid w:val="008A7D9F"/>
    <w:rsid w:val="008C014A"/>
    <w:rsid w:val="008D3514"/>
    <w:rsid w:val="008D7E9B"/>
    <w:rsid w:val="008E37A2"/>
    <w:rsid w:val="008F0400"/>
    <w:rsid w:val="00905CEF"/>
    <w:rsid w:val="0091278C"/>
    <w:rsid w:val="009144C1"/>
    <w:rsid w:val="009337B1"/>
    <w:rsid w:val="00936279"/>
    <w:rsid w:val="009425C3"/>
    <w:rsid w:val="00947904"/>
    <w:rsid w:val="00987592"/>
    <w:rsid w:val="00995168"/>
    <w:rsid w:val="009A1EA0"/>
    <w:rsid w:val="009C0174"/>
    <w:rsid w:val="009D10CE"/>
    <w:rsid w:val="009E363D"/>
    <w:rsid w:val="009F1FDF"/>
    <w:rsid w:val="00A05378"/>
    <w:rsid w:val="00A1263B"/>
    <w:rsid w:val="00A17B2E"/>
    <w:rsid w:val="00A246F7"/>
    <w:rsid w:val="00A34902"/>
    <w:rsid w:val="00A439A2"/>
    <w:rsid w:val="00A503B5"/>
    <w:rsid w:val="00A54DCA"/>
    <w:rsid w:val="00A82E11"/>
    <w:rsid w:val="00A8760C"/>
    <w:rsid w:val="00A9400B"/>
    <w:rsid w:val="00AA4BFC"/>
    <w:rsid w:val="00AB0F6B"/>
    <w:rsid w:val="00AF7F00"/>
    <w:rsid w:val="00B026AE"/>
    <w:rsid w:val="00B14ECB"/>
    <w:rsid w:val="00B1528B"/>
    <w:rsid w:val="00B15AA7"/>
    <w:rsid w:val="00B2540E"/>
    <w:rsid w:val="00B27823"/>
    <w:rsid w:val="00B4147C"/>
    <w:rsid w:val="00B83154"/>
    <w:rsid w:val="00B85302"/>
    <w:rsid w:val="00B86ECF"/>
    <w:rsid w:val="00B94948"/>
    <w:rsid w:val="00BB4A28"/>
    <w:rsid w:val="00BD39E2"/>
    <w:rsid w:val="00BE1434"/>
    <w:rsid w:val="00BE2399"/>
    <w:rsid w:val="00BE418B"/>
    <w:rsid w:val="00BF538E"/>
    <w:rsid w:val="00C01600"/>
    <w:rsid w:val="00C27F38"/>
    <w:rsid w:val="00C5445B"/>
    <w:rsid w:val="00C5793B"/>
    <w:rsid w:val="00C66CD7"/>
    <w:rsid w:val="00C8069D"/>
    <w:rsid w:val="00C87D0B"/>
    <w:rsid w:val="00C90AC6"/>
    <w:rsid w:val="00CC33BC"/>
    <w:rsid w:val="00CD71EC"/>
    <w:rsid w:val="00CF7915"/>
    <w:rsid w:val="00CF7CED"/>
    <w:rsid w:val="00D10530"/>
    <w:rsid w:val="00D6067C"/>
    <w:rsid w:val="00D60773"/>
    <w:rsid w:val="00D71C43"/>
    <w:rsid w:val="00D768CD"/>
    <w:rsid w:val="00D77FFD"/>
    <w:rsid w:val="00D83641"/>
    <w:rsid w:val="00D85EA2"/>
    <w:rsid w:val="00D91FF9"/>
    <w:rsid w:val="00DA3104"/>
    <w:rsid w:val="00DB3E0C"/>
    <w:rsid w:val="00DC68C8"/>
    <w:rsid w:val="00DD5EA4"/>
    <w:rsid w:val="00DE6B19"/>
    <w:rsid w:val="00DF7B06"/>
    <w:rsid w:val="00E14DDF"/>
    <w:rsid w:val="00E22B80"/>
    <w:rsid w:val="00E24535"/>
    <w:rsid w:val="00E64BD2"/>
    <w:rsid w:val="00EA1B5A"/>
    <w:rsid w:val="00EA3411"/>
    <w:rsid w:val="00ED45D7"/>
    <w:rsid w:val="00EE7B5F"/>
    <w:rsid w:val="00EF0811"/>
    <w:rsid w:val="00EF4DB6"/>
    <w:rsid w:val="00EF5B40"/>
    <w:rsid w:val="00F15AFC"/>
    <w:rsid w:val="00F17D4B"/>
    <w:rsid w:val="00F25E33"/>
    <w:rsid w:val="00F31928"/>
    <w:rsid w:val="00F42969"/>
    <w:rsid w:val="00F5283D"/>
    <w:rsid w:val="00F52CE4"/>
    <w:rsid w:val="00F56ACD"/>
    <w:rsid w:val="00F75D46"/>
    <w:rsid w:val="00F763F4"/>
    <w:rsid w:val="00FC029C"/>
    <w:rsid w:val="00FD082A"/>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EF68"/>
  <w15:docId w15:val="{F1DFDD28-BBB3-48E5-BCAC-AA46D9F0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91218">
      <w:bodyDiv w:val="1"/>
      <w:marLeft w:val="0"/>
      <w:marRight w:val="0"/>
      <w:marTop w:val="0"/>
      <w:marBottom w:val="0"/>
      <w:divBdr>
        <w:top w:val="none" w:sz="0" w:space="0" w:color="auto"/>
        <w:left w:val="none" w:sz="0" w:space="0" w:color="auto"/>
        <w:bottom w:val="none" w:sz="0" w:space="0" w:color="auto"/>
        <w:right w:val="none" w:sz="0" w:space="0" w:color="auto"/>
      </w:divBdr>
      <w:divsChild>
        <w:div w:id="197083387">
          <w:marLeft w:val="0"/>
          <w:marRight w:val="0"/>
          <w:marTop w:val="0"/>
          <w:marBottom w:val="0"/>
          <w:divBdr>
            <w:top w:val="none" w:sz="0" w:space="0" w:color="auto"/>
            <w:left w:val="none" w:sz="0" w:space="0" w:color="auto"/>
            <w:bottom w:val="none" w:sz="0" w:space="0" w:color="auto"/>
            <w:right w:val="none" w:sz="0" w:space="0" w:color="auto"/>
          </w:divBdr>
        </w:div>
        <w:div w:id="1423376528">
          <w:marLeft w:val="0"/>
          <w:marRight w:val="0"/>
          <w:marTop w:val="0"/>
          <w:marBottom w:val="0"/>
          <w:divBdr>
            <w:top w:val="none" w:sz="0" w:space="0" w:color="auto"/>
            <w:left w:val="none" w:sz="0" w:space="0" w:color="auto"/>
            <w:bottom w:val="none" w:sz="0" w:space="0" w:color="auto"/>
            <w:right w:val="none" w:sz="0" w:space="0" w:color="auto"/>
          </w:divBdr>
          <w:divsChild>
            <w:div w:id="1892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207C-5BA1-41DF-BACE-20D4495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1254</Words>
  <Characters>7151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Igor Tkačivský</cp:lastModifiedBy>
  <cp:revision>9</cp:revision>
  <dcterms:created xsi:type="dcterms:W3CDTF">2023-04-12T11:22:00Z</dcterms:created>
  <dcterms:modified xsi:type="dcterms:W3CDTF">2023-04-14T08:42:00Z</dcterms:modified>
</cp:coreProperties>
</file>