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8EB3E" w14:textId="77777777" w:rsidR="004B0C4F" w:rsidRDefault="004B0C4F" w:rsidP="004B0C4F">
      <w:pPr>
        <w:pBdr>
          <w:bottom w:val="single" w:sz="12" w:space="1" w:color="00000A"/>
        </w:pBd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  <w:bookmarkStart w:id="0" w:name="_GoBack"/>
      <w:bookmarkEnd w:id="0"/>
      <w:r>
        <w:rPr>
          <w:rFonts w:ascii="Book Antiqua" w:eastAsia="Book Antiqua" w:hAnsi="Book Antiqua" w:cs="Book Antiqua"/>
          <w:b/>
          <w:color w:val="000000"/>
        </w:rPr>
        <w:t>NÁRODNÁ  RADA  SLOVENSKEJ  REPUBLIKY</w:t>
      </w:r>
    </w:p>
    <w:p w14:paraId="3D758C6E" w14:textId="77777777" w:rsidR="004B0C4F" w:rsidRDefault="004B0C4F" w:rsidP="004B0C4F">
      <w:pPr>
        <w:widowControl w:val="0"/>
        <w:tabs>
          <w:tab w:val="left" w:pos="3515"/>
        </w:tabs>
        <w:spacing w:after="0" w:line="240" w:lineRule="auto"/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14:paraId="619928CF" w14:textId="77777777" w:rsidR="004B0C4F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>VIII. volebné obdobie</w:t>
      </w:r>
    </w:p>
    <w:p w14:paraId="4BBF66AA" w14:textId="77777777" w:rsidR="004B0C4F" w:rsidRDefault="004B0C4F" w:rsidP="004B0C4F">
      <w:pPr>
        <w:spacing w:before="120" w:after="0"/>
        <w:rPr>
          <w:rFonts w:ascii="Book Antiqua" w:eastAsia="Book Antiqua" w:hAnsi="Book Antiqua" w:cs="Book Antiqua"/>
          <w:b/>
          <w:color w:val="000000"/>
        </w:rPr>
      </w:pPr>
    </w:p>
    <w:p w14:paraId="08D25CF4" w14:textId="77777777" w:rsidR="004B0C4F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Návrh</w:t>
      </w:r>
    </w:p>
    <w:p w14:paraId="0944C447" w14:textId="77777777" w:rsidR="004B0C4F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2E2A7DC8" w14:textId="77777777" w:rsidR="004B0C4F" w:rsidRPr="00FD47CA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b/>
          <w:smallCaps/>
          <w:color w:val="000000"/>
        </w:rPr>
        <w:t>ZÁKON</w:t>
      </w:r>
    </w:p>
    <w:p w14:paraId="2F283F05" w14:textId="77777777" w:rsidR="004B0C4F" w:rsidRPr="00FD47CA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</w:p>
    <w:p w14:paraId="360662BB" w14:textId="61AA8193" w:rsidR="004B0C4F" w:rsidRPr="00FD47CA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 ... 202</w:t>
      </w:r>
      <w:r w:rsidR="00EA60DB">
        <w:rPr>
          <w:rFonts w:ascii="Book Antiqua" w:eastAsia="Book Antiqua" w:hAnsi="Book Antiqua" w:cs="Book Antiqua"/>
          <w:color w:val="000000"/>
        </w:rPr>
        <w:t>3</w:t>
      </w:r>
      <w:r w:rsidRPr="00FD47CA">
        <w:rPr>
          <w:rFonts w:ascii="Book Antiqua" w:eastAsia="Book Antiqua" w:hAnsi="Book Antiqua" w:cs="Book Antiqua"/>
          <w:color w:val="000000"/>
        </w:rPr>
        <w:t>,</w:t>
      </w:r>
    </w:p>
    <w:p w14:paraId="2E067774" w14:textId="77777777" w:rsidR="004B0C4F" w:rsidRPr="00FD47CA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28667EFE" w14:textId="63F44930" w:rsidR="00694B9D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  <w:highlight w:val="yellow"/>
        </w:rPr>
      </w:pPr>
      <w:r w:rsidRPr="00D24FDB">
        <w:rPr>
          <w:rFonts w:ascii="Book Antiqua" w:eastAsia="Book Antiqua" w:hAnsi="Book Antiqua" w:cs="Book Antiqua"/>
          <w:color w:val="000000"/>
        </w:rPr>
        <w:t>ktorým sa mení a dopĺňa zákon Národne</w:t>
      </w:r>
      <w:r w:rsidR="00694B9D" w:rsidRPr="00D24FDB">
        <w:rPr>
          <w:rFonts w:ascii="Book Antiqua" w:eastAsia="Book Antiqua" w:hAnsi="Book Antiqua" w:cs="Book Antiqua"/>
          <w:color w:val="000000"/>
        </w:rPr>
        <w:t>j rady Slovenskej republiky</w:t>
      </w:r>
      <w:r w:rsidR="00694B9D" w:rsidRPr="00D24FDB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694B9D" w:rsidRPr="00D24FDB">
        <w:rPr>
          <w:rFonts w:ascii="Book Antiqua" w:eastAsia="Book Antiqua" w:hAnsi="Book Antiqua" w:cs="Book Antiqua"/>
          <w:color w:val="000000"/>
        </w:rPr>
        <w:t>č.</w:t>
      </w:r>
      <w:r w:rsidR="00694B9D" w:rsidRPr="00D24FDB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694B9D" w:rsidRPr="00EA60DB">
        <w:rPr>
          <w:rFonts w:ascii="Book Antiqua" w:eastAsia="Book Antiqua" w:hAnsi="Book Antiqua" w:cs="Book Antiqua"/>
          <w:color w:val="000000"/>
        </w:rPr>
        <w:t> </w:t>
      </w:r>
      <w:hyperlink r:id="rId5" w:tooltip="Odkaz na predpis alebo ustanovenie" w:history="1">
        <w:r w:rsidR="00694B9D" w:rsidRPr="00EA60DB">
          <w:rPr>
            <w:rFonts w:ascii="Book Antiqua" w:eastAsia="Book Antiqua" w:hAnsi="Book Antiqua" w:cs="Book Antiqua"/>
            <w:color w:val="000000"/>
          </w:rPr>
          <w:t>595/2003 Z. z.</w:t>
        </w:r>
      </w:hyperlink>
      <w:r w:rsidR="00694B9D" w:rsidRPr="00EA60DB">
        <w:rPr>
          <w:rFonts w:ascii="Book Antiqua" w:eastAsia="Book Antiqua" w:hAnsi="Book Antiqua" w:cs="Book Antiqua"/>
          <w:color w:val="000000"/>
        </w:rPr>
        <w:t> o dani z</w:t>
      </w:r>
      <w:r w:rsidR="00694B9D">
        <w:rPr>
          <w:rFonts w:ascii="Book Antiqua" w:eastAsia="Book Antiqua" w:hAnsi="Book Antiqua" w:cs="Book Antiqua"/>
          <w:color w:val="000000"/>
        </w:rPr>
        <w:t> </w:t>
      </w:r>
      <w:r w:rsidR="00694B9D" w:rsidRPr="00EA60DB">
        <w:rPr>
          <w:rFonts w:ascii="Book Antiqua" w:eastAsia="Book Antiqua" w:hAnsi="Book Antiqua" w:cs="Book Antiqua"/>
          <w:color w:val="000000"/>
        </w:rPr>
        <w:t>príjmov</w:t>
      </w:r>
      <w:r w:rsidR="00694B9D">
        <w:rPr>
          <w:rFonts w:ascii="Book Antiqua" w:eastAsia="Book Antiqua" w:hAnsi="Book Antiqua" w:cs="Book Antiqua"/>
          <w:color w:val="000000"/>
        </w:rPr>
        <w:t xml:space="preserve">, </w:t>
      </w:r>
    </w:p>
    <w:p w14:paraId="5383A825" w14:textId="77777777" w:rsidR="00694B9D" w:rsidRDefault="00694B9D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  <w:highlight w:val="yellow"/>
        </w:rPr>
      </w:pPr>
    </w:p>
    <w:p w14:paraId="2CE24EE9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Národná rada Slovenskej republiky sa uzniesla na tomto zákone</w:t>
      </w:r>
      <w:r w:rsidRPr="00FD47CA">
        <w:rPr>
          <w:rFonts w:ascii="Book Antiqua" w:eastAsia="Book Antiqua" w:hAnsi="Book Antiqua" w:cs="Book Antiqua"/>
          <w:b/>
          <w:color w:val="000000"/>
        </w:rPr>
        <w:t>:</w:t>
      </w:r>
    </w:p>
    <w:p w14:paraId="00F9FF37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11C087CC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 w:rsidRPr="00FD47CA">
        <w:rPr>
          <w:rFonts w:ascii="Book Antiqua" w:eastAsia="Book Antiqua" w:hAnsi="Book Antiqua" w:cs="Book Antiqua"/>
          <w:b/>
        </w:rPr>
        <w:t>Čl. I</w:t>
      </w:r>
    </w:p>
    <w:p w14:paraId="22265409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</w:p>
    <w:p w14:paraId="4FB2D3C4" w14:textId="2C0D6597" w:rsidR="004B0C4F" w:rsidRPr="00EA60DB" w:rsidRDefault="00EA60DB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  <w:r w:rsidRPr="00EA60DB">
        <w:rPr>
          <w:rFonts w:ascii="Book Antiqua" w:eastAsia="Book Antiqua" w:hAnsi="Book Antiqua" w:cs="Book Antiqua"/>
          <w:color w:val="000000"/>
        </w:rPr>
        <w:t>Zákon č. </w:t>
      </w:r>
      <w:hyperlink r:id="rId6" w:tooltip="Odkaz na predpis alebo ustanovenie" w:history="1">
        <w:r w:rsidRPr="00EA60DB">
          <w:rPr>
            <w:rFonts w:ascii="Book Antiqua" w:eastAsia="Book Antiqua" w:hAnsi="Book Antiqua" w:cs="Book Antiqua"/>
            <w:color w:val="000000"/>
          </w:rPr>
          <w:t>595/2003 Z. z.</w:t>
        </w:r>
      </w:hyperlink>
      <w:r w:rsidRPr="00EA60DB">
        <w:rPr>
          <w:rFonts w:ascii="Book Antiqua" w:eastAsia="Book Antiqua" w:hAnsi="Book Antiqua" w:cs="Book Antiqua"/>
          <w:color w:val="000000"/>
        </w:rPr>
        <w:t xml:space="preserve"> 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</w:t>
      </w:r>
      <w:r w:rsidRPr="00EA60DB">
        <w:rPr>
          <w:rFonts w:ascii="Book Antiqua" w:eastAsia="Book Antiqua" w:hAnsi="Book Antiqua" w:cs="Book Antiqua"/>
          <w:color w:val="000000"/>
        </w:rPr>
        <w:lastRenderedPageBreak/>
        <w:t xml:space="preserve">Z. z., zákona č. 408/2021 Z. z., zákona č. 416/2021 Z. z., </w:t>
      </w:r>
      <w:r>
        <w:rPr>
          <w:rFonts w:ascii="Book Antiqua" w:eastAsia="Book Antiqua" w:hAnsi="Book Antiqua" w:cs="Book Antiqua"/>
          <w:color w:val="000000"/>
        </w:rPr>
        <w:t xml:space="preserve">zákona č. 232/2022 Z. z., </w:t>
      </w:r>
      <w:r w:rsidR="00D96703">
        <w:rPr>
          <w:rFonts w:ascii="Book Antiqua" w:eastAsia="Book Antiqua" w:hAnsi="Book Antiqua" w:cs="Book Antiqua"/>
          <w:color w:val="000000"/>
        </w:rPr>
        <w:t xml:space="preserve">zákona č. 257/2022 Z. z., zákona č. 433/2022 Z. z., zákona č. 519/2022 Z. z., </w:t>
      </w:r>
      <w:r w:rsidRPr="00EA60DB">
        <w:rPr>
          <w:rFonts w:ascii="Book Antiqua" w:eastAsia="Book Antiqua" w:hAnsi="Book Antiqua" w:cs="Book Antiqua"/>
          <w:color w:val="000000"/>
        </w:rPr>
        <w:t>zákona č. 129/2022 Z. z. a zákona č. 222/2022 Z. z.</w:t>
      </w:r>
      <w:r w:rsidR="00D96703">
        <w:rPr>
          <w:rFonts w:ascii="Book Antiqua" w:eastAsia="Book Antiqua" w:hAnsi="Book Antiqua" w:cs="Book Antiqua"/>
          <w:color w:val="000000"/>
        </w:rPr>
        <w:t>, zákona č. 496/2022 Z. z.</w:t>
      </w:r>
      <w:r w:rsidR="002966A1">
        <w:rPr>
          <w:rFonts w:ascii="Book Antiqua" w:eastAsia="Book Antiqua" w:hAnsi="Book Antiqua" w:cs="Book Antiqua"/>
          <w:color w:val="000000"/>
        </w:rPr>
        <w:t xml:space="preserve">, zákon č. 59/2023 Z. z., zákon č. 60/2023, zákon č. 65/2023 </w:t>
      </w:r>
      <w:r w:rsidRPr="00EA60DB">
        <w:rPr>
          <w:rFonts w:ascii="Book Antiqua" w:eastAsia="Book Antiqua" w:hAnsi="Book Antiqua" w:cs="Book Antiqua"/>
          <w:color w:val="000000"/>
        </w:rPr>
        <w:t>sa mení a dopĺňa takto:</w:t>
      </w:r>
    </w:p>
    <w:p w14:paraId="5A5EC763" w14:textId="3248A090" w:rsidR="00EA60DB" w:rsidRDefault="00EA60DB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2627B21B" w14:textId="75D1D54E" w:rsidR="00B149DC" w:rsidRDefault="00B149DC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345081BB" w14:textId="064CF8E7" w:rsidR="00B149DC" w:rsidRPr="00FD47CA" w:rsidRDefault="00E3316D" w:rsidP="00B53F2D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1. </w:t>
      </w:r>
      <w:r w:rsidR="00B53F2D"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 xml:space="preserve">V § 6 ods. 10 sa v celom odseku suma </w:t>
      </w:r>
      <w:r w:rsidR="003A71B2">
        <w:rPr>
          <w:rFonts w:ascii="Book Antiqua" w:eastAsia="Book Antiqua" w:hAnsi="Book Antiqua" w:cs="Book Antiqua"/>
        </w:rPr>
        <w:t>„</w:t>
      </w:r>
      <w:r>
        <w:rPr>
          <w:rFonts w:ascii="Book Antiqua" w:eastAsia="Book Antiqua" w:hAnsi="Book Antiqua" w:cs="Book Antiqua"/>
        </w:rPr>
        <w:t>20</w:t>
      </w:r>
      <w:r w:rsidR="003A71B2">
        <w:rPr>
          <w:rFonts w:ascii="Book Antiqua" w:eastAsia="Book Antiqua" w:hAnsi="Book Antiqua" w:cs="Book Antiqua"/>
        </w:rPr>
        <w:t> </w:t>
      </w:r>
      <w:r>
        <w:rPr>
          <w:rFonts w:ascii="Book Antiqua" w:eastAsia="Book Antiqua" w:hAnsi="Book Antiqua" w:cs="Book Antiqua"/>
        </w:rPr>
        <w:t>000</w:t>
      </w:r>
      <w:r w:rsidR="003A71B2">
        <w:rPr>
          <w:rFonts w:ascii="Book Antiqua" w:eastAsia="Book Antiqua" w:hAnsi="Book Antiqua" w:cs="Book Antiqua"/>
        </w:rPr>
        <w:t>“</w:t>
      </w:r>
      <w:r>
        <w:rPr>
          <w:rFonts w:ascii="Book Antiqua" w:eastAsia="Book Antiqua" w:hAnsi="Book Antiqua" w:cs="Book Antiqua"/>
        </w:rPr>
        <w:t xml:space="preserve"> nahrádza sumou </w:t>
      </w:r>
      <w:r w:rsidR="003A71B2">
        <w:rPr>
          <w:rFonts w:ascii="Book Antiqua" w:eastAsia="Book Antiqua" w:hAnsi="Book Antiqua" w:cs="Book Antiqua"/>
        </w:rPr>
        <w:t>„</w:t>
      </w:r>
      <w:r>
        <w:rPr>
          <w:rFonts w:ascii="Book Antiqua" w:eastAsia="Book Antiqua" w:hAnsi="Book Antiqua" w:cs="Book Antiqua"/>
        </w:rPr>
        <w:t>25</w:t>
      </w:r>
      <w:r w:rsidR="003A71B2">
        <w:rPr>
          <w:rFonts w:ascii="Book Antiqua" w:eastAsia="Book Antiqua" w:hAnsi="Book Antiqua" w:cs="Book Antiqua"/>
        </w:rPr>
        <w:t xml:space="preserve"> 000“. Na konci odseku sa dopĺňa veta: „ </w:t>
      </w:r>
      <w:r w:rsidR="00B73BAF">
        <w:rPr>
          <w:rFonts w:ascii="Book Antiqua" w:eastAsia="Book Antiqua" w:hAnsi="Book Antiqua" w:cs="Book Antiqua"/>
        </w:rPr>
        <w:t xml:space="preserve">Suma </w:t>
      </w:r>
      <w:r w:rsidR="001E44CB">
        <w:rPr>
          <w:rFonts w:ascii="Book Antiqua" w:eastAsia="Book Antiqua" w:hAnsi="Book Antiqua" w:cs="Book Antiqua"/>
        </w:rPr>
        <w:t xml:space="preserve">uvedená v prvej a druhej vete </w:t>
      </w:r>
      <w:r w:rsidR="003A71B2" w:rsidRPr="00B73BAF">
        <w:rPr>
          <w:rFonts w:ascii="Book Antiqua" w:eastAsia="Book Antiqua" w:hAnsi="Book Antiqua" w:cs="Book Antiqua"/>
        </w:rPr>
        <w:t xml:space="preserve">sa </w:t>
      </w:r>
      <w:r w:rsidR="001E44CB">
        <w:rPr>
          <w:rFonts w:ascii="Book Antiqua" w:eastAsia="Book Antiqua" w:hAnsi="Book Antiqua" w:cs="Book Antiqua"/>
        </w:rPr>
        <w:t xml:space="preserve">pre príslušné zdaňovacie obdobie </w:t>
      </w:r>
      <w:r w:rsidR="003A71B2" w:rsidRPr="00B73BAF">
        <w:rPr>
          <w:rFonts w:ascii="Book Antiqua" w:eastAsia="Book Antiqua" w:hAnsi="Book Antiqua" w:cs="Book Antiqua"/>
        </w:rPr>
        <w:t xml:space="preserve">zvyšuje </w:t>
      </w:r>
      <w:r w:rsidR="00B73BAF">
        <w:rPr>
          <w:rFonts w:ascii="Book Antiqua" w:eastAsia="Book Antiqua" w:hAnsi="Book Antiqua" w:cs="Book Antiqua"/>
        </w:rPr>
        <w:t>každoročne</w:t>
      </w:r>
      <w:r w:rsidR="00B73BAF" w:rsidRPr="00B73BAF">
        <w:rPr>
          <w:rFonts w:ascii="Book Antiqua" w:eastAsia="Book Antiqua" w:hAnsi="Book Antiqua" w:cs="Book Antiqua"/>
        </w:rPr>
        <w:t xml:space="preserve"> </w:t>
      </w:r>
      <w:r w:rsidR="003A71B2" w:rsidRPr="00B73BAF">
        <w:rPr>
          <w:rFonts w:ascii="Book Antiqua" w:eastAsia="Book Antiqua" w:hAnsi="Book Antiqua" w:cs="Book Antiqua"/>
        </w:rPr>
        <w:t xml:space="preserve">o </w:t>
      </w:r>
      <w:r w:rsidR="001E44CB" w:rsidRPr="001E44CB">
        <w:rPr>
          <w:rFonts w:ascii="Book Antiqua" w:eastAsia="Book Antiqua" w:hAnsi="Book Antiqua" w:cs="Book Antiqua"/>
        </w:rPr>
        <w:t>výšk</w:t>
      </w:r>
      <w:r w:rsidR="001E44CB">
        <w:rPr>
          <w:rFonts w:ascii="Book Antiqua" w:eastAsia="Book Antiqua" w:hAnsi="Book Antiqua" w:cs="Book Antiqua"/>
        </w:rPr>
        <w:t>u</w:t>
      </w:r>
      <w:r w:rsidR="001E44CB" w:rsidRPr="001E44CB">
        <w:rPr>
          <w:rFonts w:ascii="Book Antiqua" w:eastAsia="Book Antiqua" w:hAnsi="Book Antiqua" w:cs="Book Antiqua"/>
        </w:rPr>
        <w:t xml:space="preserve"> miery inflácie </w:t>
      </w:r>
      <w:r w:rsidR="00B53F2D">
        <w:rPr>
          <w:rFonts w:ascii="Book Antiqua" w:eastAsia="Book Antiqua" w:hAnsi="Book Antiqua" w:cs="Book Antiqua"/>
        </w:rPr>
        <w:t>vykázanej</w:t>
      </w:r>
      <w:r w:rsidR="003A71B2" w:rsidRPr="00B73BAF">
        <w:rPr>
          <w:rFonts w:ascii="Book Antiqua" w:eastAsia="Book Antiqua" w:hAnsi="Book Antiqua" w:cs="Book Antiqua"/>
        </w:rPr>
        <w:t xml:space="preserve"> štatistickým úradom za </w:t>
      </w:r>
      <w:r w:rsidR="00B73BAF">
        <w:rPr>
          <w:rFonts w:ascii="Book Antiqua" w:eastAsia="Book Antiqua" w:hAnsi="Book Antiqua" w:cs="Book Antiqua"/>
        </w:rPr>
        <w:t>predchádzajúci</w:t>
      </w:r>
      <w:r w:rsidR="003A71B2" w:rsidRPr="00B73BAF">
        <w:rPr>
          <w:rFonts w:ascii="Book Antiqua" w:eastAsia="Book Antiqua" w:hAnsi="Book Antiqua" w:cs="Book Antiqua"/>
        </w:rPr>
        <w:t xml:space="preserve"> kalendárn</w:t>
      </w:r>
      <w:r w:rsidR="00B73BAF">
        <w:rPr>
          <w:rFonts w:ascii="Book Antiqua" w:eastAsia="Book Antiqua" w:hAnsi="Book Antiqua" w:cs="Book Antiqua"/>
        </w:rPr>
        <w:t>y</w:t>
      </w:r>
      <w:r w:rsidR="003A71B2" w:rsidRPr="00B73BAF">
        <w:rPr>
          <w:rFonts w:ascii="Book Antiqua" w:eastAsia="Book Antiqua" w:hAnsi="Book Antiqua" w:cs="Book Antiqua"/>
        </w:rPr>
        <w:t xml:space="preserve"> rok, ktorý predchádza príslušnému </w:t>
      </w:r>
      <w:r w:rsidR="00CA0D89">
        <w:rPr>
          <w:rFonts w:ascii="Book Antiqua" w:eastAsia="Book Antiqua" w:hAnsi="Book Antiqua" w:cs="Book Antiqua"/>
        </w:rPr>
        <w:t>zdaňovaciemu obdobiu</w:t>
      </w:r>
      <w:r w:rsidR="003A71B2" w:rsidRPr="00B73BAF">
        <w:rPr>
          <w:rFonts w:ascii="Book Antiqua" w:eastAsia="Book Antiqua" w:hAnsi="Book Antiqua" w:cs="Book Antiqua"/>
        </w:rPr>
        <w:t>.</w:t>
      </w:r>
      <w:r w:rsidR="00CA0D89">
        <w:rPr>
          <w:rFonts w:ascii="Book Antiqua" w:eastAsia="Book Antiqua" w:hAnsi="Book Antiqua" w:cs="Book Antiqua"/>
        </w:rPr>
        <w:t xml:space="preserve"> Správca dane do 30 dní odo dňa zverejnenia miery inflácie podľa predchádzajúcej vety zverejní na svojom webovom sídle aktuálnu výšku sumy podľa prvej a druhej vety. </w:t>
      </w:r>
    </w:p>
    <w:p w14:paraId="532E071B" w14:textId="617AA08A" w:rsidR="00DC42CE" w:rsidRDefault="00E3316D" w:rsidP="00B53F2D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/>
        <w:ind w:left="426" w:hanging="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</w:t>
      </w:r>
      <w:r w:rsidR="002966A1">
        <w:rPr>
          <w:rFonts w:ascii="Book Antiqua" w:eastAsia="Book Antiqua" w:hAnsi="Book Antiqua" w:cs="Book Antiqua"/>
        </w:rPr>
        <w:t xml:space="preserve">. </w:t>
      </w:r>
      <w:r w:rsidR="005879F2">
        <w:rPr>
          <w:rFonts w:ascii="Book Antiqua" w:eastAsia="Book Antiqua" w:hAnsi="Book Antiqua" w:cs="Book Antiqua"/>
        </w:rPr>
        <w:tab/>
      </w:r>
      <w:r w:rsidR="002966A1" w:rsidRPr="002966A1">
        <w:rPr>
          <w:rFonts w:ascii="Book Antiqua" w:eastAsia="Book Antiqua" w:hAnsi="Book Antiqua" w:cs="Book Antiqua"/>
        </w:rPr>
        <w:t>V § 15 písm. a) druhom bode  a treťom bode a písm. b) prvom bode</w:t>
      </w:r>
      <w:r>
        <w:rPr>
          <w:rFonts w:ascii="Book Antiqua" w:eastAsia="Book Antiqua" w:hAnsi="Book Antiqua" w:cs="Book Antiqua"/>
        </w:rPr>
        <w:t>,</w:t>
      </w:r>
      <w:r w:rsidR="002966A1" w:rsidRPr="002966A1">
        <w:rPr>
          <w:rFonts w:ascii="Book Antiqua" w:eastAsia="Book Antiqua" w:hAnsi="Book Antiqua" w:cs="Book Antiqua"/>
        </w:rPr>
        <w:t xml:space="preserve"> </w:t>
      </w:r>
      <w:proofErr w:type="spellStart"/>
      <w:r w:rsidR="002966A1" w:rsidRPr="002966A1">
        <w:rPr>
          <w:rFonts w:ascii="Book Antiqua" w:eastAsia="Book Antiqua" w:hAnsi="Book Antiqua" w:cs="Book Antiqua"/>
        </w:rPr>
        <w:t>podbode</w:t>
      </w:r>
      <w:proofErr w:type="spellEnd"/>
      <w:r w:rsidR="002966A1" w:rsidRPr="002966A1">
        <w:rPr>
          <w:rFonts w:ascii="Book Antiqua" w:eastAsia="Book Antiqua" w:hAnsi="Book Antiqua" w:cs="Book Antiqua"/>
        </w:rPr>
        <w:t xml:space="preserve"> 1a. sa slovo „</w:t>
      </w:r>
      <w:r w:rsidR="005879F2" w:rsidRPr="002966A1">
        <w:rPr>
          <w:rFonts w:ascii="Book Antiqua" w:eastAsia="Book Antiqua" w:hAnsi="Book Antiqua" w:cs="Book Antiqua"/>
        </w:rPr>
        <w:t>ustanovenú osobitným predpisom,</w:t>
      </w:r>
      <w:r w:rsidR="005879F2" w:rsidRPr="00B149DC">
        <w:rPr>
          <w:rFonts w:ascii="Book Antiqua" w:eastAsia="Book Antiqua" w:hAnsi="Book Antiqua" w:cs="Book Antiqua"/>
          <w:vertAlign w:val="superscript"/>
        </w:rPr>
        <w:t>2a</w:t>
      </w:r>
      <w:r w:rsidR="002966A1" w:rsidRPr="002966A1">
        <w:rPr>
          <w:rFonts w:ascii="Book Antiqua" w:eastAsia="Book Antiqua" w:hAnsi="Book Antiqua" w:cs="Book Antiqua"/>
        </w:rPr>
        <w:t xml:space="preserve">“ </w:t>
      </w:r>
      <w:r>
        <w:rPr>
          <w:rFonts w:ascii="Book Antiqua" w:eastAsia="Book Antiqua" w:hAnsi="Book Antiqua" w:cs="Book Antiqua"/>
        </w:rPr>
        <w:t>nahrádza</w:t>
      </w:r>
      <w:r w:rsidR="002966A1" w:rsidRPr="002966A1">
        <w:rPr>
          <w:rFonts w:ascii="Book Antiqua" w:eastAsia="Book Antiqua" w:hAnsi="Book Antiqua" w:cs="Book Antiqua"/>
        </w:rPr>
        <w:t xml:space="preserve"> sum</w:t>
      </w:r>
      <w:r>
        <w:rPr>
          <w:rFonts w:ascii="Book Antiqua" w:eastAsia="Book Antiqua" w:hAnsi="Book Antiqua" w:cs="Book Antiqua"/>
        </w:rPr>
        <w:t>ou</w:t>
      </w:r>
      <w:r w:rsidR="002966A1" w:rsidRPr="002966A1">
        <w:rPr>
          <w:rFonts w:ascii="Book Antiqua" w:eastAsia="Book Antiqua" w:hAnsi="Book Antiqua" w:cs="Book Antiqua"/>
        </w:rPr>
        <w:t xml:space="preserve"> „100 000 eur“</w:t>
      </w:r>
      <w:r w:rsidR="00B149DC">
        <w:rPr>
          <w:rFonts w:ascii="Book Antiqua" w:eastAsia="Book Antiqua" w:hAnsi="Book Antiqua" w:cs="Book Antiqua"/>
        </w:rPr>
        <w:t>.</w:t>
      </w:r>
      <w:r w:rsidR="002966A1" w:rsidRPr="002966A1">
        <w:rPr>
          <w:rFonts w:ascii="Book Antiqua" w:eastAsia="Book Antiqua" w:hAnsi="Book Antiqua" w:cs="Book Antiqua"/>
        </w:rPr>
        <w:t xml:space="preserve"> </w:t>
      </w:r>
    </w:p>
    <w:p w14:paraId="07572DAD" w14:textId="1C269F23" w:rsidR="004B0C4F" w:rsidRPr="00FD47CA" w:rsidRDefault="004B0C4F" w:rsidP="00D24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  <w:color w:val="000000"/>
        </w:rPr>
        <w:tab/>
      </w:r>
    </w:p>
    <w:p w14:paraId="684D22A6" w14:textId="3611CD22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bookmarkStart w:id="1" w:name="_heading=h.1fob9te" w:colFirst="0" w:colLast="0"/>
      <w:bookmarkEnd w:id="1"/>
      <w:r w:rsidRPr="00FD47CA">
        <w:rPr>
          <w:rFonts w:ascii="Book Antiqua" w:eastAsia="Book Antiqua" w:hAnsi="Book Antiqua" w:cs="Book Antiqua"/>
          <w:b/>
        </w:rPr>
        <w:t>Čl. I</w:t>
      </w:r>
      <w:r w:rsidR="009F3B92">
        <w:rPr>
          <w:rFonts w:ascii="Book Antiqua" w:eastAsia="Book Antiqua" w:hAnsi="Book Antiqua" w:cs="Book Antiqua"/>
          <w:b/>
        </w:rPr>
        <w:t>I</w:t>
      </w:r>
    </w:p>
    <w:p w14:paraId="72371CFC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Book Antiqua" w:eastAsia="Book Antiqua" w:hAnsi="Book Antiqua" w:cs="Book Antiqua"/>
          <w:b/>
          <w:color w:val="000000"/>
        </w:rPr>
      </w:pPr>
    </w:p>
    <w:p w14:paraId="42027E06" w14:textId="0991793D" w:rsidR="004B0C4F" w:rsidRDefault="004B0C4F" w:rsidP="00DC42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Tento zákon nadobúda účinnosť </w:t>
      </w:r>
      <w:r w:rsidRPr="00447EFF">
        <w:rPr>
          <w:rFonts w:ascii="Book Antiqua" w:eastAsia="Book Antiqua" w:hAnsi="Book Antiqua" w:cs="Book Antiqua"/>
          <w:color w:val="000000"/>
        </w:rPr>
        <w:t>pätnástym dňom po jeho vyhlásení v zbierke zákonov</w:t>
      </w:r>
      <w:r>
        <w:rPr>
          <w:rFonts w:ascii="Book Antiqua" w:eastAsia="Book Antiqua" w:hAnsi="Book Antiqua" w:cs="Book Antiqua"/>
          <w:color w:val="000000"/>
        </w:rPr>
        <w:t xml:space="preserve">. </w:t>
      </w:r>
    </w:p>
    <w:p w14:paraId="74A9803F" w14:textId="77777777" w:rsidR="00103767" w:rsidRDefault="00103767"/>
    <w:sectPr w:rsidR="00103767" w:rsidSect="00D24FDB">
      <w:pgSz w:w="11906" w:h="16838"/>
      <w:pgMar w:top="1134" w:right="1134" w:bottom="709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0135"/>
    <w:multiLevelType w:val="multilevel"/>
    <w:tmpl w:val="03CAC6AC"/>
    <w:lvl w:ilvl="0">
      <w:start w:val="1"/>
      <w:numFmt w:val="decimal"/>
      <w:lvlText w:val="%1."/>
      <w:lvlJc w:val="left"/>
      <w:pPr>
        <w:ind w:left="113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B53EF8"/>
    <w:multiLevelType w:val="multilevel"/>
    <w:tmpl w:val="85DA8E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3C34"/>
    <w:multiLevelType w:val="multilevel"/>
    <w:tmpl w:val="B524D7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E7DCB"/>
    <w:multiLevelType w:val="multilevel"/>
    <w:tmpl w:val="34DE9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66AE3"/>
    <w:multiLevelType w:val="multilevel"/>
    <w:tmpl w:val="8B7475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1F"/>
    <w:rsid w:val="0009373F"/>
    <w:rsid w:val="000D1B32"/>
    <w:rsid w:val="00103767"/>
    <w:rsid w:val="001E44CB"/>
    <w:rsid w:val="002966A1"/>
    <w:rsid w:val="003A71B2"/>
    <w:rsid w:val="003C4B3B"/>
    <w:rsid w:val="004B0C4F"/>
    <w:rsid w:val="00576D95"/>
    <w:rsid w:val="005879F2"/>
    <w:rsid w:val="006213BD"/>
    <w:rsid w:val="00694B9D"/>
    <w:rsid w:val="006F3E68"/>
    <w:rsid w:val="008077EE"/>
    <w:rsid w:val="008C7DD2"/>
    <w:rsid w:val="009F3B92"/>
    <w:rsid w:val="00B149DC"/>
    <w:rsid w:val="00B53F2D"/>
    <w:rsid w:val="00B64177"/>
    <w:rsid w:val="00B73BAF"/>
    <w:rsid w:val="00BD6C55"/>
    <w:rsid w:val="00CA0D89"/>
    <w:rsid w:val="00D24FDB"/>
    <w:rsid w:val="00D96703"/>
    <w:rsid w:val="00DB731F"/>
    <w:rsid w:val="00DC42CE"/>
    <w:rsid w:val="00E3316D"/>
    <w:rsid w:val="00E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4562"/>
  <w15:chartTrackingRefBased/>
  <w15:docId w15:val="{14E0DD44-2969-4A17-8511-896F3F0E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0C4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0C4F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styleId="Hypertextovprepojenie">
    <w:name w:val="Hyperlink"/>
    <w:basedOn w:val="Predvolenpsmoodseku"/>
    <w:uiPriority w:val="99"/>
    <w:rsid w:val="004B0C4F"/>
    <w:rPr>
      <w:rFonts w:cs="Times New Roman"/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6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6C55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3/595/" TargetMode="External"/><Relationship Id="rId5" Type="http://schemas.openxmlformats.org/officeDocument/2006/relationships/hyperlink" Target="https://www.slov-lex.sk/pravne-predpisy/SK/ZZ/2003/5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Taraba, Tomáš (asistent)</cp:lastModifiedBy>
  <cp:revision>2</cp:revision>
  <cp:lastPrinted>2023-04-14T12:54:00Z</cp:lastPrinted>
  <dcterms:created xsi:type="dcterms:W3CDTF">2023-04-14T12:54:00Z</dcterms:created>
  <dcterms:modified xsi:type="dcterms:W3CDTF">2023-04-14T12:54:00Z</dcterms:modified>
</cp:coreProperties>
</file>