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rtl w:val="0"/>
        </w:rPr>
        <w:t xml:space="preserve">právneho predpisu s právom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1. Predkladateľ právneho predpisu:</w:t>
      </w:r>
      <w:r w:rsidDel="00000000" w:rsidR="00000000" w:rsidRPr="00000000">
        <w:rPr>
          <w:rtl w:val="0"/>
        </w:rPr>
        <w:t xml:space="preserve"> poslanec Národnej rady Slovenskej republiky Tomáš Valášek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2. Názov návrhu právneho predpisu:</w:t>
      </w:r>
      <w:r w:rsidDel="00000000" w:rsidR="00000000" w:rsidRPr="00000000">
        <w:rPr>
          <w:rtl w:val="0"/>
        </w:rPr>
        <w:t xml:space="preserve"> Návrh zákona, ktorým sa mení a dopĺňa zákon č. 311/2001 Z. z. Zákonník práce v znení neskorších predpisov a o zmene a doplnení ďalších zákonov a ktorým sa dopĺňajú niektoré ďalšie zákony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3. Problematika návrhu právneho predpisu: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a) nie je upravená v práve Európskych spoločenstiev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b) nie je obsiahnutá v práve Európskej únie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c) nie je obsiahnutá v judikatúre Súdneho dvora Európskej únie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b w:val="1"/>
          <w:rtl w:val="0"/>
        </w:rPr>
        <w:t xml:space="preserve">DOLOŽKA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b w:val="1"/>
          <w:rtl w:val="0"/>
        </w:rPr>
        <w:t xml:space="preserve">vybraných vplyvov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A.1. Názov materiálu: </w:t>
      </w:r>
      <w:r w:rsidDel="00000000" w:rsidR="00000000" w:rsidRPr="00000000">
        <w:rPr>
          <w:rtl w:val="0"/>
        </w:rPr>
        <w:t xml:space="preserve">Návrh zákona, ktorým sa mení a dopĺňa zákon č. 311/2001 Z. z. Zákonník práce v znení neskorších predpisov a o zmene a doplnení ďalších zákonov a ktorým sa dopĺňajú niektoré ďalšie zákony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A.2. Vplyvy: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Layout w:type="fixed"/>
        <w:tblLook w:val="0400"/>
      </w:tblPr>
      <w:tblGrid>
        <w:gridCol w:w="5385"/>
        <w:gridCol w:w="1215"/>
        <w:gridCol w:w="1050"/>
        <w:gridCol w:w="1350"/>
        <w:tblGridChange w:id="0">
          <w:tblGrid>
            <w:gridCol w:w="5385"/>
            <w:gridCol w:w="1215"/>
            <w:gridCol w:w="1050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Vplyv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Pozitívne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Žiadne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Negatívne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Vplyvy na rozpočet verejnej správy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 Vplyvy na podnikateľské prostredie – dochádza k zvýšeniu regulačného zaťaženia?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 Sociálne vplyvy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– vplyvy na hospodárenie obyvateľstva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– sociálnu exklúziu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 Vplyvy na životné prostredie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5. Vplyvy na informatizáciu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6. Vplyvy na služby pre občana z toho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- vplyvy služieb verejnej správy na občana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- vplyvy na procesy služieb vo verejnej správe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7. Vplyvy na manželstvo, rodičovstvo a rodinu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rtl w:val="0"/>
        </w:rPr>
        <w:t xml:space="preserve">A.3. Poznámky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Predkladaný návrh bude mať pozitívny vplyv na hospodárenie obyvateľstva aj na rodiny, nakoľko jeho cieľom je finančná podpora mladých ľudí a riešenie ich ťažkej finančnej situácie. Príjmovou chudobou bolo na Slovensku v roku 2021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ohrozených 12,3 percenta obyvateľov, čo predstavuje približne 660-tisíc osôb. Najvýraznejšie zhoršenie po roku 2021 nastalo práve vo vekovej skupine mladých ľudí od 18 do 24 rokov, ich počet sa zvýšil o 1,6 percentuálneho bodu a chudoba ohrozovala približne každého šiesteho v tejto vekovej skupine. V súčasnosti mladí ľudia nie sú za stáže finančne odmeňovaní a preto musí drvivá väčšina z nich kumulovať niekoľko aktivít alebo ich musí aj v dospelosti podporovať rodina. Neplatené stáže sú tiež faktorom prehlbovania existujúcich sociálnych a iných nerovností: kvalitnú stáž bez finančného ohodnotenia si môžu dovoliť len mladí ľudia, ktorých rodiny sú schopné finančne im pomôcť a zabezpečiť ich základné životné potreby ako bývanie, stravu a ďalšie náklady spojené so štúdiom a životom vo všeobecnosti. </w:t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b w:val="1"/>
          <w:rtl w:val="0"/>
        </w:rPr>
        <w:t xml:space="preserve">Finančné dopady: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Návrh má negatívny vplyv na rozpočet verejnej správy z dôvodu úhrady mzdových nákladov na stážistov pracujúcich vo verejných inštitúciách. Údaje získané na základe infožiadostí naznačujú, že počet neplatených stážistov vo vybraných štátnych inštitúciách (najmä ministerstvá a NR SR) možno aktuálne odhadnúť na niekoľko desiatok. Dá sa však očakávať, že počet záujemcov o stáž by výrazne stúpol v prípade, že by stáž bola platená. Presný počet záujemcov nie je možné odhadnúť ex ante. Za predpokladu, že by sa stáže zúčastnilo 1000 študentov (čo zodpovedá zhruba 1 % študentov v dennom štúdiu na slovenských VŠ) po dobu 6 mesiacov, a priemerná odmena by sa rovnala minimálnej mzde, úhrnná cena práce by dosiahla výšku 5,7 milióna eur ročne.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b w:val="1"/>
          <w:rtl w:val="0"/>
        </w:rPr>
        <w:t xml:space="preserve">A.4. Alternatívne riešenia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Bezpredmetné  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b w:val="1"/>
          <w:rtl w:val="0"/>
        </w:rPr>
        <w:t xml:space="preserve">A.5. </w:t>
        <w:tab/>
        <w:t xml:space="preserve">Stanovisko gestorov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Bezpredmetné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Štatistický úrad SR, </w:t>
      </w:r>
      <w:hyperlink r:id="rId1">
        <w:r w:rsidDel="00000000" w:rsidR="00000000" w:rsidRPr="00000000">
          <w:rPr>
            <w:sz w:val="20"/>
            <w:szCs w:val="20"/>
            <w:highlight w:val="white"/>
            <w:rtl w:val="0"/>
          </w:rPr>
          <w:t xml:space="preserve">EU SILC 2021 - Indikátory chudoby a sociálneho vylúčenia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762E3"/>
    <w:pPr>
      <w:keepNext w:val="1"/>
      <w:spacing w:after="60" w:before="240"/>
      <w:outlineLvl w:val="0"/>
    </w:pPr>
    <w:rPr>
      <w:rFonts w:ascii="Arial" w:cs="Arial" w:hAnsi="Arial" w:eastAsiaTheme="majorEastAsia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5762E3"/>
    <w:pPr>
      <w:keepNext w:val="1"/>
      <w:spacing w:after="60" w:before="240"/>
      <w:outlineLvl w:val="1"/>
    </w:pPr>
    <w:rPr>
      <w:rFonts w:ascii="Arial" w:cs="Arial" w:hAnsi="Arial" w:eastAsiaTheme="majorEastAs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762E3"/>
    <w:pPr>
      <w:keepNext w:val="1"/>
      <w:spacing w:after="60" w:before="240"/>
      <w:outlineLvl w:val="2"/>
    </w:pPr>
    <w:rPr>
      <w:rFonts w:ascii="Arial" w:cs="Arial" w:hAnsi="Arial" w:eastAsiaTheme="majorEastAs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5762E3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5762E3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5762E3"/>
    <w:pPr>
      <w:spacing w:after="60" w:before="240"/>
      <w:outlineLvl w:val="5"/>
    </w:pPr>
    <w:rPr>
      <w:b w:val="1"/>
      <w:bCs w:val="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762E3"/>
    <w:pPr>
      <w:spacing w:after="60" w:before="2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762E3"/>
    <w:pPr>
      <w:spacing w:after="60" w:before="240"/>
      <w:outlineLvl w:val="7"/>
    </w:pPr>
    <w:rPr>
      <w:i w:val="1"/>
      <w:iCs w:val="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762E3"/>
    <w:pPr>
      <w:spacing w:after="60" w:before="240"/>
      <w:outlineLvl w:val="8"/>
    </w:pPr>
    <w:rPr>
      <w:rFonts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762E3"/>
    <w:rPr>
      <w:rFonts w:ascii="Arial" w:cs="Arial" w:hAnsi="Arial" w:eastAsiaTheme="majorEastAsia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762E3"/>
    <w:rPr>
      <w:rFonts w:ascii="Arial" w:cs="Arial" w:hAnsi="Arial" w:eastAsiaTheme="majorEastAsia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762E3"/>
    <w:rPr>
      <w:rFonts w:ascii="Arial" w:cs="Arial" w:hAnsi="Arial" w:eastAsiaTheme="majorEastAsia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762E3"/>
    <w:rPr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762E3"/>
    <w:rPr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762E3"/>
    <w:rPr>
      <w:b w:val="1"/>
      <w:bCs w:val="1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762E3"/>
    <w:rPr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762E3"/>
    <w:rPr>
      <w:i w:val="1"/>
      <w:iCs w:val="1"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 w:val="1"/>
    <w:rsid w:val="005762E3"/>
    <w:pPr>
      <w:spacing w:after="60" w:before="240"/>
      <w:jc w:val="center"/>
      <w:outlineLvl w:val="0"/>
    </w:pPr>
    <w:rPr>
      <w:rFonts w:ascii="Arial" w:cs="Arial" w:hAnsi="Arial" w:eastAsiaTheme="majorEastAsia"/>
      <w:b w:val="1"/>
      <w:bCs w:val="1"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5762E3"/>
    <w:rPr>
      <w:rFonts w:ascii="Arial" w:cs="Arial" w:hAnsi="Arial" w:eastAsiaTheme="majorEastAsia"/>
      <w:b w:val="1"/>
      <w:bCs w:val="1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5762E3"/>
    <w:pPr>
      <w:spacing w:after="60"/>
      <w:jc w:val="center"/>
      <w:outlineLvl w:val="1"/>
    </w:pPr>
    <w:rPr>
      <w:rFonts w:ascii="Arial" w:cs="Arial" w:hAnsi="Arial" w:eastAsiaTheme="majorEastAsia"/>
    </w:rPr>
  </w:style>
  <w:style w:type="character" w:styleId="SubtitleChar" w:customStyle="1">
    <w:name w:val="Subtitle Char"/>
    <w:basedOn w:val="DefaultParagraphFont"/>
    <w:link w:val="Subtitle"/>
    <w:uiPriority w:val="11"/>
    <w:rsid w:val="005762E3"/>
    <w:rPr>
      <w:rFonts w:ascii="Arial" w:cs="Arial" w:hAnsi="Arial" w:eastAsiaTheme="majorEastAsia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5762E3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5762E3"/>
    <w:rPr>
      <w:rFonts w:asciiTheme="minorHAnsi" w:hAnsiTheme="minorHAnsi"/>
      <w:b w:val="1"/>
      <w:i w:val="1"/>
      <w:iCs w:val="1"/>
    </w:rPr>
  </w:style>
  <w:style w:type="paragraph" w:styleId="NoSpacing">
    <w:name w:val="No Spacing"/>
    <w:basedOn w:val="Normal"/>
    <w:uiPriority w:val="1"/>
    <w:qFormat w:val="1"/>
    <w:rsid w:val="005762E3"/>
    <w:rPr>
      <w:szCs w:val="32"/>
    </w:rPr>
  </w:style>
  <w:style w:type="paragraph" w:styleId="ListParagraph">
    <w:name w:val="List Paragraph"/>
    <w:basedOn w:val="Normal"/>
    <w:uiPriority w:val="34"/>
    <w:qFormat w:val="1"/>
    <w:rsid w:val="005762E3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29"/>
    <w:qFormat w:val="1"/>
    <w:rsid w:val="005762E3"/>
    <w:rPr>
      <w:i w:val="1"/>
    </w:rPr>
  </w:style>
  <w:style w:type="character" w:styleId="QuoteChar" w:customStyle="1">
    <w:name w:val="Quote Char"/>
    <w:basedOn w:val="DefaultParagraphFont"/>
    <w:link w:val="Quote"/>
    <w:uiPriority w:val="29"/>
    <w:rsid w:val="005762E3"/>
    <w:rPr>
      <w:i w:val="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762E3"/>
    <w:pPr>
      <w:ind w:left="720" w:right="720"/>
    </w:pPr>
    <w:rPr>
      <w:b w:val="1"/>
      <w:i w:val="1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762E3"/>
    <w:rPr>
      <w:b w:val="1"/>
      <w:i w:val="1"/>
      <w:sz w:val="24"/>
    </w:rPr>
  </w:style>
  <w:style w:type="character" w:styleId="SubtleEmphasis">
    <w:name w:val="Subtle Emphasis"/>
    <w:uiPriority w:val="19"/>
    <w:qFormat w:val="1"/>
    <w:rsid w:val="005762E3"/>
    <w:rPr>
      <w:i w:val="1"/>
      <w:color w:val="5a5a5a" w:themeColor="text1" w:themeTint="0000A5"/>
    </w:rPr>
  </w:style>
  <w:style w:type="character" w:styleId="IntenseEmphasis">
    <w:name w:val="Intense Emphasis"/>
    <w:basedOn w:val="DefaultParagraphFont"/>
    <w:uiPriority w:val="21"/>
    <w:qFormat w:val="1"/>
    <w:rsid w:val="005762E3"/>
    <w:rPr>
      <w:b w:val="1"/>
      <w:i w:val="1"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 w:val="1"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5762E3"/>
    <w:rPr>
      <w:b w:val="1"/>
      <w:sz w:val="24"/>
      <w:u w:val="single"/>
    </w:rPr>
  </w:style>
  <w:style w:type="character" w:styleId="BookTitle">
    <w:name w:val="Book Title"/>
    <w:basedOn w:val="DefaultParagraphFont"/>
    <w:uiPriority w:val="33"/>
    <w:qFormat w:val="1"/>
    <w:rsid w:val="005762E3"/>
    <w:rPr>
      <w:rFonts w:asciiTheme="majorHAnsi" w:eastAsiaTheme="majorEastAsia" w:hAnsiTheme="majorHAnsi"/>
      <w:b w:val="1"/>
      <w:i w:val="1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5762E3"/>
    <w:pPr>
      <w:outlineLvl w:val="9"/>
    </w:pPr>
  </w:style>
  <w:style w:type="character" w:styleId="Hyperlink">
    <w:name w:val="Hyperlink"/>
    <w:basedOn w:val="DefaultParagraphFont"/>
    <w:uiPriority w:val="99"/>
    <w:unhideWhenUsed w:val="1"/>
    <w:rsid w:val="00E85A3B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slovak.statistics.sk/wps/portal/cf1c2237-5fbc-49b9-820e-5c861aef2088/!ut/p/z0/jZFRb8IgFIV_yx76iFwoBfqoMzGamcyYZV1fFopUa1taW6xzv364ZYk-zOyFy72ck-_cgFOc4NSqodgqVzRWVb5_S_n7SszlZELGACKawnzxMl3N1jEBBnjdl3iB023VZD9y2i0fl1uctsrtUGHzBientsdJ23TOK7y2yOrRSdcjGLGYSBLRkEtGBSHk4i_2h0M6xqlurDMfDidN1qsd6ssAeudjafT9Yl0AAn1mpkPHjdo3QwC2Gc7Xk1uWkAJCITyJxTwKwzssYy_BkSo947JBV3vuYA3q204N5wCG3rjSV76JYsiFj8QVRUzzECkwBoWx1pRLrYHltykIlYIzSpiMaejvdzdG7TELwB9VUSpdmF_w9UTnRFMaChTlmUYszmIkKRgUacmJMjkFKf_4ln9Z23L2-ly_ojSLquFp_PAFaRxHzw!!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mmWptDuj3hFq04O43MnO17bfRQ==">AMUW2mVgaVhlbgAsnUmEwbpVmjhuLQgKJffGBTQnVLWKMetvKX+wsHl3kwusoj0D3Q0dT0rJJ7/VRrWEjKGHX7EpLmbuoYTq5O2fbQgYb2jbocUupkk6ocVYgiNrlhtzNdDiBA4k3fRB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2023-04-12T12:36:00Z</dcterms:created>
  <dc:creator>JURIK Beata</dc:creator>
</cp:coreProperties>
</file>