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D22" w:rsidRPr="00C347BD" w:rsidRDefault="00690D22" w:rsidP="00C347B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bookmarkStart w:id="0" w:name="_GoBack"/>
      <w:bookmarkEnd w:id="0"/>
      <w:r w:rsidRPr="00690D22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DOLOŽKA</w:t>
      </w:r>
      <w:r w:rsidRPr="00690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vybraných vplyvov</w:t>
      </w:r>
    </w:p>
    <w:p w:rsidR="00690D22" w:rsidRPr="00690D22" w:rsidRDefault="00690D22" w:rsidP="00690D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2576D4" w:rsidRDefault="00690D22" w:rsidP="002576D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90D22">
        <w:rPr>
          <w:rFonts w:ascii="Times New Roman" w:hAnsi="Times New Roman" w:cs="Times New Roman"/>
          <w:b/>
          <w:sz w:val="24"/>
          <w:szCs w:val="24"/>
          <w:lang w:eastAsia="sk-SK"/>
        </w:rPr>
        <w:t>A.1. Názov materiálu:</w:t>
      </w:r>
      <w:r w:rsidRPr="00690D2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2576D4">
        <w:rPr>
          <w:rFonts w:ascii="Times New Roman" w:hAnsi="Times New Roman" w:cs="Times New Roman"/>
          <w:sz w:val="24"/>
          <w:szCs w:val="24"/>
          <w:lang w:eastAsia="sk-SK"/>
        </w:rPr>
        <w:t xml:space="preserve">Návrh </w:t>
      </w:r>
      <w:r w:rsidR="002576D4" w:rsidRPr="002576D4">
        <w:rPr>
          <w:rFonts w:ascii="Times New Roman" w:hAnsi="Times New Roman" w:cs="Times New Roman"/>
          <w:sz w:val="24"/>
          <w:szCs w:val="24"/>
          <w:lang w:eastAsia="sk-SK"/>
        </w:rPr>
        <w:t xml:space="preserve">zákona, ktorým sa mení a dopĺňa zákon č. 576/2004 Z. z. o zdravotnej starostlivosti, službách súvisiacich s poskytovaním zdravotnej starostlivosti a o zmene a doplnení niektorých zákonov v znení neskorších predpisov </w:t>
      </w:r>
    </w:p>
    <w:p w:rsidR="00363E1E" w:rsidRPr="00690D22" w:rsidRDefault="00363E1E" w:rsidP="002576D4">
      <w:pPr>
        <w:pStyle w:val="Bezriadkovania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90D22" w:rsidRPr="00690D22" w:rsidRDefault="00690D22" w:rsidP="00690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90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Termín začatia a ukončenia PPK: </w:t>
      </w:r>
      <w:r w:rsidRPr="00690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bezpredmetné</w:t>
      </w:r>
    </w:p>
    <w:p w:rsidR="00690D22" w:rsidRDefault="00690D22" w:rsidP="00690D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90D22" w:rsidRDefault="00690D22" w:rsidP="00690D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90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</w:p>
    <w:p w:rsidR="00690D22" w:rsidRPr="00690D22" w:rsidRDefault="00690D22" w:rsidP="00690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541"/>
        <w:gridCol w:w="1123"/>
        <w:gridCol w:w="992"/>
        <w:gridCol w:w="1203"/>
      </w:tblGrid>
      <w:tr w:rsidR="00690D22" w:rsidTr="00690D22">
        <w:trPr>
          <w:trHeight w:val="469"/>
          <w:jc w:val="center"/>
        </w:trPr>
        <w:tc>
          <w:tcPr>
            <w:tcW w:w="4541" w:type="dxa"/>
          </w:tcPr>
          <w:p w:rsidR="00690D22" w:rsidRDefault="00690D22" w:rsidP="00690D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23" w:type="dxa"/>
          </w:tcPr>
          <w:p w:rsidR="00690D22" w:rsidRPr="00690D22" w:rsidRDefault="00690D22" w:rsidP="00690D2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6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992" w:type="dxa"/>
          </w:tcPr>
          <w:p w:rsidR="00690D22" w:rsidRPr="00690D22" w:rsidRDefault="00690D22" w:rsidP="00690D2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6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1203" w:type="dxa"/>
          </w:tcPr>
          <w:p w:rsidR="00690D22" w:rsidRPr="00690D22" w:rsidRDefault="00690D22" w:rsidP="00690D2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6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Negatívne</w:t>
            </w:r>
          </w:p>
        </w:tc>
      </w:tr>
      <w:tr w:rsidR="00690D22" w:rsidTr="00690D22">
        <w:trPr>
          <w:jc w:val="center"/>
        </w:trPr>
        <w:tc>
          <w:tcPr>
            <w:tcW w:w="4541" w:type="dxa"/>
          </w:tcPr>
          <w:p w:rsidR="00690D22" w:rsidRPr="00690D22" w:rsidRDefault="00690D22" w:rsidP="00690D2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6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1123" w:type="dxa"/>
          </w:tcPr>
          <w:p w:rsidR="00690D22" w:rsidRDefault="00690D22" w:rsidP="00690D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:rsidR="00690D22" w:rsidRDefault="00690D22" w:rsidP="0025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03" w:type="dxa"/>
          </w:tcPr>
          <w:p w:rsidR="00690D22" w:rsidRDefault="00FB22E0" w:rsidP="00690D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</w:tr>
      <w:tr w:rsidR="00690D22" w:rsidTr="00690D22">
        <w:trPr>
          <w:jc w:val="center"/>
        </w:trPr>
        <w:tc>
          <w:tcPr>
            <w:tcW w:w="4541" w:type="dxa"/>
          </w:tcPr>
          <w:p w:rsidR="00690D22" w:rsidRPr="00690D22" w:rsidRDefault="00690D22" w:rsidP="00690D2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6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2. Vplyvy na podnikateľské prostredie</w:t>
            </w:r>
          </w:p>
        </w:tc>
        <w:tc>
          <w:tcPr>
            <w:tcW w:w="1123" w:type="dxa"/>
          </w:tcPr>
          <w:p w:rsidR="00690D22" w:rsidRDefault="00690D22" w:rsidP="00690D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:rsidR="00690D22" w:rsidRDefault="00690D22" w:rsidP="00690D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03" w:type="dxa"/>
          </w:tcPr>
          <w:p w:rsidR="00690D22" w:rsidRDefault="00690D22" w:rsidP="00690D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690D22" w:rsidTr="002576D4">
        <w:trPr>
          <w:trHeight w:val="1380"/>
          <w:jc w:val="center"/>
        </w:trPr>
        <w:tc>
          <w:tcPr>
            <w:tcW w:w="4541" w:type="dxa"/>
          </w:tcPr>
          <w:p w:rsidR="00690D22" w:rsidRPr="00690D22" w:rsidRDefault="00690D22" w:rsidP="00690D2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6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3. Sociálne vplyvy</w:t>
            </w:r>
          </w:p>
          <w:p w:rsidR="00690D22" w:rsidRPr="00690D22" w:rsidRDefault="00690D22" w:rsidP="00690D22">
            <w:pPr>
              <w:pStyle w:val="Odsekzoznamu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</w:t>
            </w:r>
            <w:r w:rsidRPr="006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plyvy na hospodárenie obyvateľstva</w:t>
            </w:r>
          </w:p>
          <w:p w:rsidR="00690D22" w:rsidRPr="00690D22" w:rsidRDefault="00690D22" w:rsidP="00690D22">
            <w:pPr>
              <w:pStyle w:val="Odsekzoznamu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sociálnu exklúziu</w:t>
            </w:r>
          </w:p>
          <w:p w:rsidR="00690D22" w:rsidRPr="00690D22" w:rsidRDefault="00690D22" w:rsidP="00690D22">
            <w:pPr>
              <w:pStyle w:val="Odsekzoznamu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rovnosť príležitostí a rodovú rovnosť a vplyvy na zamestnanosť</w:t>
            </w:r>
          </w:p>
        </w:tc>
        <w:tc>
          <w:tcPr>
            <w:tcW w:w="1123" w:type="dxa"/>
          </w:tcPr>
          <w:p w:rsidR="00690D22" w:rsidRDefault="00690D22" w:rsidP="00690D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690D22" w:rsidRDefault="00690D22" w:rsidP="00690D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690D22" w:rsidRDefault="00690D22" w:rsidP="00690D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vAlign w:val="center"/>
          </w:tcPr>
          <w:p w:rsidR="00690D22" w:rsidRDefault="002576D4" w:rsidP="0025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03" w:type="dxa"/>
          </w:tcPr>
          <w:p w:rsidR="00690D22" w:rsidRDefault="00690D22" w:rsidP="00690D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690D22" w:rsidTr="00690D22">
        <w:trPr>
          <w:jc w:val="center"/>
        </w:trPr>
        <w:tc>
          <w:tcPr>
            <w:tcW w:w="4541" w:type="dxa"/>
          </w:tcPr>
          <w:p w:rsidR="00690D22" w:rsidRPr="00690D22" w:rsidRDefault="00690D22" w:rsidP="00690D2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6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1123" w:type="dxa"/>
          </w:tcPr>
          <w:p w:rsidR="00690D22" w:rsidRDefault="00690D22" w:rsidP="00690D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:rsidR="00690D22" w:rsidRDefault="00690D22" w:rsidP="00690D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03" w:type="dxa"/>
          </w:tcPr>
          <w:p w:rsidR="00690D22" w:rsidRDefault="00690D22" w:rsidP="00690D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690D22" w:rsidTr="00690D22">
        <w:trPr>
          <w:jc w:val="center"/>
        </w:trPr>
        <w:tc>
          <w:tcPr>
            <w:tcW w:w="4541" w:type="dxa"/>
          </w:tcPr>
          <w:p w:rsidR="00690D22" w:rsidRPr="00690D22" w:rsidRDefault="00690D22" w:rsidP="00690D2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6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5. Vplyvy na informatizáciu spoločnosti </w:t>
            </w:r>
          </w:p>
        </w:tc>
        <w:tc>
          <w:tcPr>
            <w:tcW w:w="1123" w:type="dxa"/>
          </w:tcPr>
          <w:p w:rsidR="00690D22" w:rsidRDefault="00690D22" w:rsidP="00690D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:rsidR="00690D22" w:rsidRDefault="00690D22" w:rsidP="00690D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03" w:type="dxa"/>
          </w:tcPr>
          <w:p w:rsidR="00690D22" w:rsidRDefault="00690D22" w:rsidP="00690D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706833" w:rsidTr="00690D22">
        <w:trPr>
          <w:jc w:val="center"/>
        </w:trPr>
        <w:tc>
          <w:tcPr>
            <w:tcW w:w="4541" w:type="dxa"/>
          </w:tcPr>
          <w:p w:rsidR="00966733" w:rsidRDefault="00706833" w:rsidP="00690D2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6. Vplyvy na služby verejnej správy pre </w:t>
            </w:r>
          </w:p>
          <w:p w:rsidR="00706833" w:rsidRPr="00690D22" w:rsidRDefault="00966733" w:rsidP="00690D2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    </w:t>
            </w:r>
            <w:r w:rsidR="007068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občana</w:t>
            </w:r>
          </w:p>
        </w:tc>
        <w:tc>
          <w:tcPr>
            <w:tcW w:w="1123" w:type="dxa"/>
          </w:tcPr>
          <w:p w:rsidR="00706833" w:rsidRDefault="00706833" w:rsidP="00690D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:rsidR="00706833" w:rsidRDefault="00706833" w:rsidP="00690D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03" w:type="dxa"/>
          </w:tcPr>
          <w:p w:rsidR="00706833" w:rsidRDefault="00706833" w:rsidP="00690D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706833" w:rsidTr="00690D22">
        <w:trPr>
          <w:jc w:val="center"/>
        </w:trPr>
        <w:tc>
          <w:tcPr>
            <w:tcW w:w="4541" w:type="dxa"/>
          </w:tcPr>
          <w:p w:rsidR="00966733" w:rsidRDefault="00706833" w:rsidP="00690D2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7. Vplyvy na manželstvo, rodičovstvo a </w:t>
            </w:r>
          </w:p>
          <w:p w:rsidR="00706833" w:rsidRDefault="00966733" w:rsidP="00690D2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    </w:t>
            </w:r>
            <w:r w:rsidR="007068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rodinu</w:t>
            </w:r>
          </w:p>
        </w:tc>
        <w:tc>
          <w:tcPr>
            <w:tcW w:w="1123" w:type="dxa"/>
          </w:tcPr>
          <w:p w:rsidR="00706833" w:rsidRDefault="00706833" w:rsidP="00690D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:rsidR="00706833" w:rsidRDefault="00706833" w:rsidP="00690D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03" w:type="dxa"/>
          </w:tcPr>
          <w:p w:rsidR="00706833" w:rsidRDefault="00706833" w:rsidP="00690D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690D22" w:rsidRDefault="00690D22" w:rsidP="00690D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90D22" w:rsidRPr="00690D22" w:rsidRDefault="00690D22" w:rsidP="00690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90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A.3. Poznámky</w:t>
      </w:r>
    </w:p>
    <w:p w:rsidR="00FB0CA8" w:rsidRPr="00FB0CA8" w:rsidRDefault="003C2886" w:rsidP="003C2886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</w:pPr>
      <w:r w:rsidRPr="00FB0CA8"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  <w:t xml:space="preserve">Návrh zákona má negatívny vplyv na rozpočet verejnej správy, </w:t>
      </w:r>
      <w:r w:rsidR="00FB0CA8" w:rsidRPr="00FB0CA8"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  <w:t>ktorý je vyčíslený v analýz</w:t>
      </w:r>
      <w:r w:rsidR="00FB0CA8"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  <w:t>e</w:t>
      </w:r>
      <w:r w:rsidR="00FB0CA8" w:rsidRPr="00FB0CA8"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  <w:t xml:space="preserve"> vply</w:t>
      </w:r>
      <w:r w:rsidR="00FB0CA8"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  <w:t>vov na rozpočet verejnej správy a zabezpečený z iných</w:t>
      </w:r>
      <w:r w:rsidR="00FB0CA8" w:rsidRPr="00FB0CA8"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  <w:t xml:space="preserve"> ako rozpočtov</w:t>
      </w:r>
      <w:r w:rsidR="00FB0CA8"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  <w:t>ých</w:t>
      </w:r>
      <w:r w:rsidR="00FB0CA8" w:rsidRPr="00FB0CA8"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  <w:t xml:space="preserve"> zdroj</w:t>
      </w:r>
      <w:r w:rsidR="00FB0CA8"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  <w:t xml:space="preserve">ov. Ide o zdroje z Plánu obnovy a odolnosti SR. </w:t>
      </w:r>
      <w:r w:rsidR="00A21198"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  <w:t xml:space="preserve">Návrh zákona ako aj dopad na finančné prostriedky a ich zabezpečenie bol konzultovaný s Ministerstvom zdravotníctva Slovenskej republiky. </w:t>
      </w:r>
    </w:p>
    <w:p w:rsidR="00690D22" w:rsidRDefault="00FB0CA8" w:rsidP="003C2886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</w:pPr>
      <w:r w:rsidRPr="00FB0CA8"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  <w:t xml:space="preserve">Návrh zákona </w:t>
      </w:r>
      <w:r w:rsidR="003C2886" w:rsidRPr="00FB0CA8"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  <w:t>nemá vplyvy na podnikateľské prostredie, životné prostredie, informatizáciu spoločnosti, služby verejnej správy pre občana, na manželstvo, rodičovstvo a rodinu a nemá</w:t>
      </w:r>
      <w:r w:rsidR="003C2886" w:rsidRPr="003C2886"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  <w:t xml:space="preserve"> sociálne vplyvy.</w:t>
      </w:r>
    </w:p>
    <w:p w:rsidR="00FB0CA8" w:rsidRPr="003C2886" w:rsidRDefault="00FB0CA8" w:rsidP="003C2886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</w:pPr>
    </w:p>
    <w:p w:rsidR="00690D22" w:rsidRDefault="00690D22" w:rsidP="00690D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90D22" w:rsidRPr="00690D22" w:rsidRDefault="00690D22" w:rsidP="00257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90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A.4. Alternatívne riešenia</w:t>
      </w:r>
    </w:p>
    <w:p w:rsidR="00690D22" w:rsidRPr="00462A2E" w:rsidRDefault="009A602C" w:rsidP="002576D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i/>
          <w:sz w:val="24"/>
          <w:szCs w:val="24"/>
        </w:rPr>
        <w:t>Bezpredmetné.</w:t>
      </w:r>
    </w:p>
    <w:p w:rsidR="002576D4" w:rsidRPr="00690D22" w:rsidRDefault="002576D4" w:rsidP="00257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90D22" w:rsidRPr="00690D22" w:rsidRDefault="00690D22" w:rsidP="00690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90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</w:t>
      </w:r>
      <w:r w:rsidRPr="00690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A.5. Stanovisko gestorov</w:t>
      </w:r>
    </w:p>
    <w:p w:rsidR="00690D22" w:rsidRDefault="009658A4" w:rsidP="00690D22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</w:t>
      </w:r>
      <w:r w:rsidR="00257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ezpredmetné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.</w:t>
      </w:r>
    </w:p>
    <w:p w:rsidR="00D14185" w:rsidRDefault="00D14185" w:rsidP="00D14185">
      <w:pPr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284"/>
        <w:gridCol w:w="8930"/>
      </w:tblGrid>
      <w:tr w:rsidR="00C347BD" w:rsidRPr="00B25493" w:rsidTr="00651150">
        <w:tc>
          <w:tcPr>
            <w:tcW w:w="284" w:type="dxa"/>
            <w:shd w:val="clear" w:color="auto" w:fill="auto"/>
          </w:tcPr>
          <w:p w:rsidR="00C347BD" w:rsidRPr="00B25493" w:rsidRDefault="00C347BD" w:rsidP="00B413CD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C347BD" w:rsidRDefault="00C347BD" w:rsidP="00B413C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  <w:p w:rsidR="00C347BD" w:rsidRDefault="00C347BD" w:rsidP="00B413C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  <w:p w:rsidR="00C347BD" w:rsidRDefault="00C347BD" w:rsidP="00B413C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  <w:p w:rsidR="00C347BD" w:rsidRDefault="00C347BD" w:rsidP="00B413C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  <w:p w:rsidR="00C347BD" w:rsidRDefault="00C347BD" w:rsidP="00B413C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  <w:p w:rsidR="00C347BD" w:rsidRDefault="00C347BD" w:rsidP="00B413C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  <w:p w:rsidR="00C347BD" w:rsidRDefault="00C347BD" w:rsidP="00B413C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  <w:p w:rsidR="00C347BD" w:rsidRPr="004C1E0E" w:rsidRDefault="004C1E0E" w:rsidP="00B413C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4C1E0E">
              <w:rPr>
                <w:rFonts w:ascii="Times New Roman" w:hAnsi="Times New Roman"/>
                <w:i/>
                <w:sz w:val="24"/>
              </w:rPr>
              <w:t>Príloha č. 1</w:t>
            </w:r>
          </w:p>
          <w:p w:rsidR="00C347BD" w:rsidRPr="00B14AD5" w:rsidRDefault="00C347BD" w:rsidP="00B413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k-SK"/>
              </w:rPr>
            </w:pPr>
            <w:r w:rsidRPr="007F001F">
              <w:rPr>
                <w:rFonts w:ascii="Times New Roman" w:hAnsi="Times New Roman"/>
                <w:sz w:val="24"/>
              </w:rPr>
              <w:t xml:space="preserve">        </w:t>
            </w:r>
            <w:r w:rsidRPr="007A5FE6">
              <w:rPr>
                <w:rFonts w:ascii="Times New Roman" w:hAnsi="Times New Roman"/>
                <w:sz w:val="24"/>
              </w:rPr>
              <w:t xml:space="preserve">                              </w:t>
            </w:r>
            <w:r w:rsidRPr="007A5FE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k-SK"/>
              </w:rPr>
              <w:t>Analýza</w:t>
            </w:r>
            <w:r w:rsidRPr="00B14A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k-SK"/>
              </w:rPr>
              <w:t xml:space="preserve"> vplyvov na rozpočet verejnej správy,</w:t>
            </w:r>
          </w:p>
          <w:p w:rsidR="00C347BD" w:rsidRDefault="00C347BD" w:rsidP="00B4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k-SK"/>
              </w:rPr>
            </w:pPr>
            <w:r w:rsidRPr="00B14A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k-SK"/>
              </w:rPr>
              <w:t>na zamestnanosť vo verejnej správe a financovanie návrhu</w:t>
            </w:r>
          </w:p>
          <w:p w:rsidR="00C347BD" w:rsidRPr="00B14AD5" w:rsidRDefault="00C347BD" w:rsidP="00B41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  <w:p w:rsidR="00C347BD" w:rsidRPr="00B14AD5" w:rsidRDefault="004C1E0E" w:rsidP="00B413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C347BD" w:rsidRPr="00B14A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.1 Zhrnutie vplyvov na rozpočet verejnej správy v návrhu</w:t>
            </w:r>
          </w:p>
          <w:p w:rsidR="00C347BD" w:rsidRPr="004C1E0E" w:rsidRDefault="00651150" w:rsidP="00651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                                                                                                 </w:t>
            </w:r>
            <w:r w:rsidR="00C347BD" w:rsidRPr="004C1E0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Tabuľka č. 1 </w:t>
            </w:r>
          </w:p>
          <w:tbl>
            <w:tblPr>
              <w:tblW w:w="86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09"/>
              <w:gridCol w:w="1418"/>
              <w:gridCol w:w="1417"/>
              <w:gridCol w:w="1418"/>
              <w:gridCol w:w="1342"/>
            </w:tblGrid>
            <w:tr w:rsidR="00C347BD" w:rsidRPr="00B14AD5" w:rsidTr="00064D0E">
              <w:trPr>
                <w:trHeight w:val="194"/>
              </w:trPr>
              <w:tc>
                <w:tcPr>
                  <w:tcW w:w="3009" w:type="dxa"/>
                  <w:vMerge w:val="restart"/>
                  <w:shd w:val="clear" w:color="auto" w:fill="BFBFBF"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bookmarkStart w:id="1" w:name="OLE_LINK1"/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Vplyvy na rozpočet verejnej správy</w:t>
                  </w:r>
                </w:p>
              </w:tc>
              <w:tc>
                <w:tcPr>
                  <w:tcW w:w="5595" w:type="dxa"/>
                  <w:gridSpan w:val="4"/>
                  <w:shd w:val="clear" w:color="auto" w:fill="BFBFBF"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Vplyv na rozpočet verejnej správy (v eurách)</w:t>
                  </w:r>
                </w:p>
              </w:tc>
            </w:tr>
            <w:tr w:rsidR="00C347BD" w:rsidRPr="00B14AD5" w:rsidTr="00064D0E">
              <w:trPr>
                <w:trHeight w:val="70"/>
              </w:trPr>
              <w:tc>
                <w:tcPr>
                  <w:tcW w:w="3009" w:type="dxa"/>
                  <w:vMerge/>
                  <w:shd w:val="clear" w:color="auto" w:fill="BFBFBF"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418" w:type="dxa"/>
                  <w:shd w:val="clear" w:color="auto" w:fill="BFBFBF"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r</w:t>
                  </w:r>
                </w:p>
              </w:tc>
              <w:tc>
                <w:tcPr>
                  <w:tcW w:w="1417" w:type="dxa"/>
                  <w:shd w:val="clear" w:color="auto" w:fill="BFBFBF"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r + 1</w:t>
                  </w:r>
                </w:p>
              </w:tc>
              <w:tc>
                <w:tcPr>
                  <w:tcW w:w="1418" w:type="dxa"/>
                  <w:shd w:val="clear" w:color="auto" w:fill="BFBFBF"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r + 2</w:t>
                  </w:r>
                </w:p>
              </w:tc>
              <w:tc>
                <w:tcPr>
                  <w:tcW w:w="1342" w:type="dxa"/>
                  <w:shd w:val="clear" w:color="auto" w:fill="BFBFBF"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r + 3</w:t>
                  </w:r>
                </w:p>
              </w:tc>
            </w:tr>
            <w:tr w:rsidR="00C347BD" w:rsidRPr="00B14AD5" w:rsidTr="00064D0E">
              <w:trPr>
                <w:trHeight w:val="70"/>
              </w:trPr>
              <w:tc>
                <w:tcPr>
                  <w:tcW w:w="3009" w:type="dxa"/>
                  <w:shd w:val="clear" w:color="auto" w:fill="C0C0C0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Príjmy verejnej správy celkom</w:t>
                  </w:r>
                </w:p>
              </w:tc>
              <w:tc>
                <w:tcPr>
                  <w:tcW w:w="1418" w:type="dxa"/>
                  <w:shd w:val="clear" w:color="auto" w:fill="C0C0C0"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shd w:val="clear" w:color="auto" w:fill="C0C0C0"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shd w:val="clear" w:color="auto" w:fill="C0C0C0"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shd w:val="clear" w:color="auto" w:fill="C0C0C0"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132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v tom: za každý subjekt verejnej správy zvlášť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70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 xml:space="preserve">z toho:  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C347BD" w:rsidRPr="00B14AD5" w:rsidTr="00064D0E">
              <w:trPr>
                <w:trHeight w:val="125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>- vplyv na ŠR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125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ind w:left="259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>Rozpočtové prostriedky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125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ind w:left="259"/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>EÚ zdroje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125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>- vplyv na obce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125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>- vplyv na vyššie územné celky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125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>- vplyv na ostatné subjekty verejnej správy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97392D" w:rsidRPr="00B14AD5" w:rsidTr="0097392D">
              <w:trPr>
                <w:trHeight w:val="125"/>
              </w:trPr>
              <w:tc>
                <w:tcPr>
                  <w:tcW w:w="3009" w:type="dxa"/>
                  <w:shd w:val="clear" w:color="auto" w:fill="C0C0C0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Výdavky verejnej správy celkom</w:t>
                  </w:r>
                </w:p>
              </w:tc>
              <w:tc>
                <w:tcPr>
                  <w:tcW w:w="1418" w:type="dxa"/>
                  <w:shd w:val="clear" w:color="auto" w:fill="C0C0C0"/>
                  <w:noWrap/>
                  <w:vAlign w:val="center"/>
                </w:tcPr>
                <w:p w:rsidR="0097392D" w:rsidRPr="0097392D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97392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shd w:val="clear" w:color="auto" w:fill="C0C0C0"/>
                  <w:noWrap/>
                  <w:vAlign w:val="center"/>
                </w:tcPr>
                <w:p w:rsidR="0097392D" w:rsidRPr="0097392D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97392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shd w:val="clear" w:color="auto" w:fill="C0C0C0"/>
                  <w:noWrap/>
                  <w:vAlign w:val="center"/>
                </w:tcPr>
                <w:p w:rsidR="0097392D" w:rsidRPr="0097392D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97392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shd w:val="clear" w:color="auto" w:fill="C0C0C0"/>
                  <w:noWrap/>
                  <w:vAlign w:val="center"/>
                </w:tcPr>
                <w:p w:rsidR="0097392D" w:rsidRPr="0097392D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97392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97392D" w:rsidRPr="00B14AD5" w:rsidTr="00064D0E">
              <w:trPr>
                <w:trHeight w:val="70"/>
              </w:trPr>
              <w:tc>
                <w:tcPr>
                  <w:tcW w:w="3009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v tom: za každý subjekt verejnej správy / program zvlášť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97392D" w:rsidRPr="00B14AD5" w:rsidTr="00064D0E">
              <w:trPr>
                <w:trHeight w:val="70"/>
              </w:trPr>
              <w:tc>
                <w:tcPr>
                  <w:tcW w:w="3009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 xml:space="preserve">z toho: 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97392D" w:rsidRPr="00B14AD5" w:rsidTr="0097392D">
              <w:trPr>
                <w:trHeight w:val="70"/>
              </w:trPr>
              <w:tc>
                <w:tcPr>
                  <w:tcW w:w="3009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>- vplyv na ŠR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97392D" w:rsidRPr="00703D38" w:rsidTr="0097392D">
              <w:trPr>
                <w:trHeight w:val="70"/>
              </w:trPr>
              <w:tc>
                <w:tcPr>
                  <w:tcW w:w="3009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ind w:left="259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>Rozpočtové prostriedky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97392D" w:rsidRPr="00B14AD5" w:rsidTr="00064D0E">
              <w:trPr>
                <w:trHeight w:val="70"/>
              </w:trPr>
              <w:tc>
                <w:tcPr>
                  <w:tcW w:w="3009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 xml:space="preserve">    EÚ zdroje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70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 xml:space="preserve">    Spolufinancovanie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125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>- vplyv na obce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125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ind w:left="203"/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 xml:space="preserve">z toho vplyv nových úloh v zmysle ods. 2 Čl. 6 ústavného zákona č. 493/2011 Z. z. </w:t>
                  </w:r>
                </w:p>
                <w:p w:rsidR="00C347BD" w:rsidRPr="00B14AD5" w:rsidRDefault="00C347BD" w:rsidP="00B413CD">
                  <w:pPr>
                    <w:spacing w:after="0" w:line="240" w:lineRule="auto"/>
                    <w:ind w:left="203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>o rozpočtovej zodpovednosti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125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>- vplyv na vyššie územné celky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hRule="exact" w:val="785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ind w:left="203"/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 xml:space="preserve">z toho vplyv nových úloh v zmysle ods. 2 Čl. 6 ústavného zákona č. 493/2011 Z. z. </w:t>
                  </w:r>
                </w:p>
                <w:p w:rsidR="00C347BD" w:rsidRPr="00B14AD5" w:rsidRDefault="00C347BD" w:rsidP="00B413CD">
                  <w:pPr>
                    <w:spacing w:after="0" w:line="240" w:lineRule="auto"/>
                    <w:ind w:left="203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>o rozpočtovej zodpovednosti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70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>- vplyv na ostatné subjekty verejnej správy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70"/>
              </w:trPr>
              <w:tc>
                <w:tcPr>
                  <w:tcW w:w="3009" w:type="dxa"/>
                  <w:shd w:val="clear" w:color="auto" w:fill="BFBFBF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Vplyv na počet zamestnancov </w:t>
                  </w:r>
                </w:p>
              </w:tc>
              <w:tc>
                <w:tcPr>
                  <w:tcW w:w="1418" w:type="dxa"/>
                  <w:shd w:val="clear" w:color="auto" w:fill="BFBFBF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shd w:val="clear" w:color="auto" w:fill="BFBFBF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shd w:val="clear" w:color="auto" w:fill="BFBFBF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shd w:val="clear" w:color="auto" w:fill="BFBFBF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70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>- vplyv na ŠR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70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>- vplyv na obce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70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>- vplyv na vyššie územné celky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70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>- vplyv na ostatné subjekty verejnej správy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70"/>
              </w:trPr>
              <w:tc>
                <w:tcPr>
                  <w:tcW w:w="3009" w:type="dxa"/>
                  <w:shd w:val="clear" w:color="auto" w:fill="BFBFBF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  <w:t>Vplyv na mzdové výdavky</w:t>
                  </w:r>
                </w:p>
              </w:tc>
              <w:tc>
                <w:tcPr>
                  <w:tcW w:w="1418" w:type="dxa"/>
                  <w:shd w:val="clear" w:color="auto" w:fill="BFBFBF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shd w:val="clear" w:color="auto" w:fill="BFBFBF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shd w:val="clear" w:color="auto" w:fill="BFBFBF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shd w:val="clear" w:color="auto" w:fill="BFBFBF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70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>- vplyv na ŠR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70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>- vplyv na obce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70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>- vplyv na vyššie územné celky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70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sk-SK"/>
                    </w:rPr>
                    <w:t>- vplyv na ostatné subjekty verejnej správy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70"/>
              </w:trPr>
              <w:tc>
                <w:tcPr>
                  <w:tcW w:w="3009" w:type="dxa"/>
                  <w:shd w:val="clear" w:color="auto" w:fill="C0C0C0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Financovanie zabezpečené v rozpočte</w:t>
                  </w:r>
                </w:p>
              </w:tc>
              <w:tc>
                <w:tcPr>
                  <w:tcW w:w="1418" w:type="dxa"/>
                  <w:shd w:val="clear" w:color="auto" w:fill="C0C0C0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shd w:val="clear" w:color="auto" w:fill="C0C0C0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shd w:val="clear" w:color="auto" w:fill="C0C0C0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shd w:val="clear" w:color="auto" w:fill="C0C0C0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C347BD" w:rsidRPr="00B14AD5" w:rsidTr="00064D0E">
              <w:trPr>
                <w:trHeight w:val="70"/>
              </w:trPr>
              <w:tc>
                <w:tcPr>
                  <w:tcW w:w="3009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v tom: za každý subjekt verejnej správy / program zvlášť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97392D" w:rsidRPr="00B14AD5" w:rsidTr="0097392D">
              <w:trPr>
                <w:trHeight w:val="70"/>
              </w:trPr>
              <w:tc>
                <w:tcPr>
                  <w:tcW w:w="3009" w:type="dxa"/>
                  <w:shd w:val="clear" w:color="auto" w:fill="BFBFBF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sk-SK"/>
                    </w:rPr>
                    <w:t>Iné ako rozpočtové zdroje</w:t>
                  </w:r>
                </w:p>
              </w:tc>
              <w:tc>
                <w:tcPr>
                  <w:tcW w:w="1418" w:type="dxa"/>
                  <w:shd w:val="clear" w:color="auto" w:fill="BFBFBF"/>
                  <w:noWrap/>
                </w:tcPr>
                <w:p w:rsidR="0097392D" w:rsidRPr="000B2829" w:rsidRDefault="0097392D" w:rsidP="0097392D">
                  <w:pPr>
                    <w:rPr>
                      <w:b/>
                    </w:rPr>
                  </w:pPr>
                  <w:r w:rsidRPr="000B2829">
                    <w:rPr>
                      <w:b/>
                    </w:rPr>
                    <w:t>1 078 448 €</w:t>
                  </w:r>
                </w:p>
              </w:tc>
              <w:tc>
                <w:tcPr>
                  <w:tcW w:w="1417" w:type="dxa"/>
                  <w:shd w:val="clear" w:color="auto" w:fill="BFBFBF"/>
                  <w:noWrap/>
                </w:tcPr>
                <w:p w:rsidR="0097392D" w:rsidRPr="000B2829" w:rsidRDefault="0097392D" w:rsidP="0097392D">
                  <w:pPr>
                    <w:rPr>
                      <w:b/>
                    </w:rPr>
                  </w:pPr>
                  <w:r w:rsidRPr="000B2829">
                    <w:rPr>
                      <w:b/>
                    </w:rPr>
                    <w:t>1 053 657 €</w:t>
                  </w:r>
                </w:p>
              </w:tc>
              <w:tc>
                <w:tcPr>
                  <w:tcW w:w="1418" w:type="dxa"/>
                  <w:shd w:val="clear" w:color="auto" w:fill="BFBFBF"/>
                  <w:noWrap/>
                </w:tcPr>
                <w:p w:rsidR="0097392D" w:rsidRPr="000B2829" w:rsidRDefault="0097392D" w:rsidP="0097392D">
                  <w:pPr>
                    <w:rPr>
                      <w:b/>
                    </w:rPr>
                  </w:pPr>
                  <w:r w:rsidRPr="000B2829">
                    <w:rPr>
                      <w:b/>
                    </w:rPr>
                    <w:t xml:space="preserve">1 095 804 € </w:t>
                  </w:r>
                </w:p>
              </w:tc>
              <w:tc>
                <w:tcPr>
                  <w:tcW w:w="1342" w:type="dxa"/>
                  <w:shd w:val="clear" w:color="auto" w:fill="BFBFBF"/>
                  <w:noWrap/>
                </w:tcPr>
                <w:p w:rsidR="0097392D" w:rsidRPr="000B2829" w:rsidRDefault="0097392D" w:rsidP="0097392D">
                  <w:pPr>
                    <w:rPr>
                      <w:b/>
                    </w:rPr>
                  </w:pPr>
                  <w:r w:rsidRPr="000B2829">
                    <w:rPr>
                      <w:b/>
                    </w:rPr>
                    <w:t xml:space="preserve">1 139 636 € </w:t>
                  </w:r>
                </w:p>
              </w:tc>
            </w:tr>
            <w:tr w:rsidR="0097392D" w:rsidRPr="00B14AD5" w:rsidTr="0097392D">
              <w:trPr>
                <w:trHeight w:val="70"/>
              </w:trPr>
              <w:tc>
                <w:tcPr>
                  <w:tcW w:w="3009" w:type="dxa"/>
                  <w:shd w:val="clear" w:color="auto" w:fill="A6A6A6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Rozpočtovo nekrytý vplyv / úspora</w:t>
                  </w:r>
                </w:p>
              </w:tc>
              <w:tc>
                <w:tcPr>
                  <w:tcW w:w="1418" w:type="dxa"/>
                  <w:shd w:val="clear" w:color="auto" w:fill="A6A6A6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7" w:type="dxa"/>
                  <w:shd w:val="clear" w:color="auto" w:fill="A6A6A6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418" w:type="dxa"/>
                  <w:shd w:val="clear" w:color="auto" w:fill="A6A6A6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342" w:type="dxa"/>
                  <w:shd w:val="clear" w:color="auto" w:fill="A6A6A6"/>
                  <w:noWrap/>
                  <w:vAlign w:val="center"/>
                </w:tcPr>
                <w:p w:rsidR="0097392D" w:rsidRPr="00B14AD5" w:rsidRDefault="0097392D" w:rsidP="0097392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bookmarkEnd w:id="1"/>
          </w:tbl>
          <w:p w:rsidR="004A58DB" w:rsidRDefault="004A58DB" w:rsidP="00B413C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  <w:p w:rsidR="00C347BD" w:rsidRPr="00B14AD5" w:rsidRDefault="004A58DB" w:rsidP="00B413C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C347BD" w:rsidRPr="00B14A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.1.1. Financovanie návrhu - Návrh na riešenie úbytku príjmov alebo zvýšených výdavkov podľa § 33 ods. 1 zákona č. 523/2004 Z. z. o rozpočtových pravidlách verejnej správy:</w:t>
            </w:r>
          </w:p>
          <w:p w:rsidR="00C347BD" w:rsidRPr="00B14AD5" w:rsidRDefault="00C347BD" w:rsidP="00B41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2"/>
                <w:szCs w:val="24"/>
                <w:lang w:eastAsia="sk-SK"/>
              </w:rPr>
            </w:pPr>
          </w:p>
          <w:p w:rsidR="00C347BD" w:rsidRDefault="00C347BD" w:rsidP="00B413CD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541B2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lastRenderedPageBreak/>
              <w:t xml:space="preserve">Prostredníctvom </w:t>
            </w:r>
            <w:r w:rsidR="00B3262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útvaru</w:t>
            </w:r>
            <w:r w:rsidRPr="00541B2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podpory riadenia bude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Ministerstvo zdravotníctva SR</w:t>
            </w:r>
            <w:r w:rsidRPr="00541B2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vykonávať podporu riadenia organizácií vo svojej pôsobnosti. </w:t>
            </w:r>
            <w:r w:rsidR="00B3262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Útvar</w:t>
            </w:r>
            <w:r w:rsidRPr="00541B2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podpory riadenia bude jeho organizačným útvarom, riadeným generálnym riaditeľom, ktorý spadá do riadiacej pôsobnosti ministra zdravotníctva Slovenskej republiky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. </w:t>
            </w:r>
          </w:p>
          <w:p w:rsidR="00C347BD" w:rsidRDefault="00C347BD" w:rsidP="00B413CD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9204A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Zdroj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om</w:t>
            </w:r>
            <w:r w:rsidRPr="009204A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pre vypracovanie návrhu zákona bola analýza súčasného stavu pro</w:t>
            </w:r>
            <w:r w:rsidR="0097392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cesov a vzťahov medzi MZ SR a </w:t>
            </w:r>
            <w:r w:rsidRPr="009204A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organizáciami v pôsobnosti ministerstva a organizáciami navzájom v oblasti podpory riadenia a návrh na riešenie aktuálneho stavu. Analýzu a návrh na riešenie pripravilo ministerstvo v rámci projektu Technickej pomoci Európskej komisie v rokoch 2021-23.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Návrh riešenia obsahuje aj návrh nasledovného organizačného zabezpečenia </w:t>
            </w:r>
            <w:r w:rsidR="00B3262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útvaru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podpory riadenia, ktorý má dopad na financovanie návrhu. </w:t>
            </w:r>
          </w:p>
          <w:p w:rsidR="00C347BD" w:rsidRDefault="00C347BD" w:rsidP="00B413CD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C347BD" w:rsidRDefault="00C347BD" w:rsidP="00B413CD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Návrh personálneho zabezpečenia </w:t>
            </w:r>
            <w:r w:rsidR="00B3262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útvaru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podpory riadenia je nasledovný: </w:t>
            </w:r>
          </w:p>
          <w:p w:rsidR="00C347BD" w:rsidRDefault="00C347BD" w:rsidP="00B413CD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celkový počet - 42 pracovníkov, z toho: </w:t>
            </w:r>
          </w:p>
          <w:p w:rsidR="00C347BD" w:rsidRDefault="00C347BD" w:rsidP="00B413CD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i) 20 pracovníkov - presunutých z iných útvarov MZ SR, ktoré aktuálne zastrešujú niektorú z oblastí </w:t>
            </w:r>
            <w:r w:rsidR="00B3262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útvaru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podpory riadenia a ich zaradenie nemá vplyv na zmenu štátneho rozpočtu</w:t>
            </w:r>
          </w:p>
          <w:p w:rsidR="00C347BD" w:rsidRDefault="00C347BD" w:rsidP="00B413CD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ii) 22 pracovníkov – nových,  ktorých zaradenie má vplyv na zmenu štátneho rozpočtu</w:t>
            </w:r>
          </w:p>
          <w:p w:rsidR="00C347BD" w:rsidRDefault="00C347BD" w:rsidP="00B413CD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C347BD" w:rsidRDefault="00C347BD" w:rsidP="00B413CD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Predpokladá sa, že pôsobenie </w:t>
            </w:r>
            <w:r w:rsidR="00B3262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útvaru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podpory riadenia bude mať zo strednodobého hľadiska pozitívny vplyv na štátny rozpočet vo forme zníženia zadlženosti organizácií v pôsobnosti ministerstva, v úsporách z rozsahu pri centrálnom verejnom obstarávaní vybraných komodít, ako aj úsporách pri efektívnom riadení strategických investičných projektov. </w:t>
            </w:r>
          </w:p>
          <w:p w:rsidR="00C347BD" w:rsidRDefault="00C347BD" w:rsidP="00B413CD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  <w:p w:rsidR="00C347BD" w:rsidRPr="00B14AD5" w:rsidRDefault="00C347BD" w:rsidP="00B413CD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  <w:p w:rsidR="00C347BD" w:rsidRPr="00B14AD5" w:rsidRDefault="004A58DB" w:rsidP="00B413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C347BD" w:rsidRPr="00B14A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.2. Popis a charakteristika návrhu</w:t>
            </w:r>
          </w:p>
          <w:p w:rsidR="00C347BD" w:rsidRPr="00B14AD5" w:rsidRDefault="00C347BD" w:rsidP="00B413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C347BD" w:rsidRPr="00B14AD5" w:rsidRDefault="004A58DB" w:rsidP="00B41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C347BD" w:rsidRPr="00B14A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.2.1. Popis návrhu:</w:t>
            </w:r>
          </w:p>
          <w:p w:rsidR="00C347BD" w:rsidRPr="00B14AD5" w:rsidRDefault="00C347BD" w:rsidP="00B41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  <w:p w:rsidR="00C347BD" w:rsidRPr="00B14AD5" w:rsidRDefault="00C347BD" w:rsidP="00B413C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Akú problematiku návrh rieši? Kto bude návrh implementovať? Kde sa budú služby poskytovať?</w:t>
            </w:r>
          </w:p>
          <w:p w:rsidR="00C347BD" w:rsidRDefault="00C347BD" w:rsidP="00B41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C347BD" w:rsidRDefault="00C347BD" w:rsidP="00B41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A83A3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Návrh zákona reaguje na dlhodobú zad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l</w:t>
            </w:r>
            <w:r w:rsidRPr="00A83A3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ženosť organizácií v zriaďovateľskej a zakladateľskej  pôsobnosti ministerstva (ďalej len „organizácie v pôsobnosti ministerstva“) a  na dlhodobo nereflektovanú potrebu Ministerstva zdravotníctva Slovenskej republiky (ďalej len „ministerstva“) ako zriaďovateľa, koordinovať a podporovať riadiace procesy v organizáciách v pôsobnosti ministerstva a rovnako aj na potreby týchto organizácií, súvisiacich s koordináciou ich riadenia zriaďovateľom. </w:t>
            </w:r>
          </w:p>
          <w:p w:rsidR="00C347BD" w:rsidRPr="00A83A31" w:rsidRDefault="00C347BD" w:rsidP="00B41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C347BD" w:rsidRDefault="00C347BD" w:rsidP="00B41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A83A3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Návrh zákona bol vypracovaný v súlade s  cieľmi a míľnikmi Plánu obnovy a odolnosti, Komponentu 11, Reformy 3 „Centralizácia riadenia najväčších nemocníc“, ktorá podmieňuje časť Investície 3.  Návrh zákona je v súlade s Programovým vyhlásením vlády Slovenskej republiky na obdobie rokov 2021-2024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. </w:t>
            </w:r>
          </w:p>
          <w:p w:rsidR="00C347BD" w:rsidRDefault="00C347BD" w:rsidP="00B41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C347BD" w:rsidRDefault="00C347BD" w:rsidP="00B41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Návrh zákona bude implementovať Ministerstvo zdravotníctva </w:t>
            </w:r>
            <w:r w:rsidRPr="00A83A3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Slovenskej republiky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. </w:t>
            </w:r>
          </w:p>
          <w:p w:rsidR="00C347BD" w:rsidRDefault="00C347BD" w:rsidP="00B41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C347BD" w:rsidRPr="00697ADE" w:rsidRDefault="00C347BD" w:rsidP="00697ADE">
            <w:pPr>
              <w:tabs>
                <w:tab w:val="left" w:pos="1731"/>
              </w:tabs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6DF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Prostredníctvom </w:t>
            </w:r>
            <w:r w:rsidR="00B3262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útvaru</w:t>
            </w:r>
            <w:r w:rsidRPr="00466DF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podpory riadenia bude ministerstvo vykonávať podporu riadenia organizácií vo svojej pôsobnosti. </w:t>
            </w:r>
            <w:r w:rsidR="00B3262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Útvar</w:t>
            </w:r>
            <w:r w:rsidRPr="00466DF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podpory riadenia bude jeho organizačným útvarom,</w:t>
            </w:r>
            <w:r w:rsidR="00697ADE">
              <w:rPr>
                <w:rFonts w:ascii="Times New Roman" w:hAnsi="Times New Roman"/>
                <w:sz w:val="24"/>
              </w:rPr>
              <w:t xml:space="preserve"> r</w:t>
            </w:r>
            <w:r w:rsidRPr="00466DF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iadeným generálnym riaditeľom, ktorý spadá do riadiacej pôsobnosti ministra zdravotníctva Slovenskej republiky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.</w:t>
            </w:r>
          </w:p>
          <w:p w:rsidR="00C347BD" w:rsidRDefault="00C347BD" w:rsidP="00B41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C347BD" w:rsidRPr="00B14AD5" w:rsidRDefault="004A58DB" w:rsidP="00B413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C347BD" w:rsidRPr="00B14A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.2.2. Charakteristika návrhu:</w:t>
            </w:r>
          </w:p>
          <w:p w:rsidR="00C347BD" w:rsidRPr="00B14AD5" w:rsidRDefault="00C347BD" w:rsidP="00B413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C347BD" w:rsidRPr="00B14AD5" w:rsidRDefault="00C347BD" w:rsidP="00B413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/>
                <w:b/>
                <w:sz w:val="24"/>
                <w:szCs w:val="24"/>
                <w:bdr w:val="single" w:sz="4" w:space="0" w:color="auto"/>
                <w:lang w:eastAsia="sk-SK"/>
              </w:rPr>
              <w:t xml:space="preserve">     </w:t>
            </w:r>
            <w:r w:rsidRPr="00B14AD5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 </w:t>
            </w:r>
            <w:r w:rsidRPr="00B14AD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zmena sadzby</w:t>
            </w:r>
          </w:p>
          <w:p w:rsidR="00C347BD" w:rsidRPr="00B14AD5" w:rsidRDefault="00C347BD" w:rsidP="00B413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/>
                <w:sz w:val="24"/>
                <w:szCs w:val="24"/>
                <w:bdr w:val="single" w:sz="4" w:space="0" w:color="auto"/>
                <w:lang w:eastAsia="sk-SK"/>
              </w:rPr>
              <w:t xml:space="preserve">     </w:t>
            </w:r>
            <w:r w:rsidRPr="00B14AD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zmena v nároku</w:t>
            </w:r>
          </w:p>
          <w:p w:rsidR="00C347BD" w:rsidRPr="00B14AD5" w:rsidRDefault="00C347BD" w:rsidP="00B413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/>
                <w:sz w:val="24"/>
                <w:szCs w:val="24"/>
                <w:bdr w:val="single" w:sz="4" w:space="0" w:color="auto"/>
                <w:lang w:eastAsia="sk-SK"/>
              </w:rPr>
              <w:t xml:space="preserve">     </w:t>
            </w:r>
            <w:r w:rsidRPr="00B14AD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nová služba alebo nariadenie (alebo ich zrušenie)</w:t>
            </w:r>
          </w:p>
          <w:p w:rsidR="00C347BD" w:rsidRPr="00B14AD5" w:rsidRDefault="00C347BD" w:rsidP="00B413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/>
                <w:sz w:val="24"/>
                <w:szCs w:val="24"/>
                <w:bdr w:val="single" w:sz="4" w:space="0" w:color="auto"/>
                <w:lang w:eastAsia="sk-SK"/>
              </w:rPr>
              <w:t xml:space="preserve">     </w:t>
            </w:r>
            <w:r w:rsidRPr="00B14AD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kombinovaný návrh</w:t>
            </w:r>
          </w:p>
          <w:p w:rsidR="00C347BD" w:rsidRPr="00B14AD5" w:rsidRDefault="00C347BD" w:rsidP="00B413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single" w:sz="4" w:space="0" w:color="auto"/>
                <w:lang w:eastAsia="sk-SK"/>
              </w:rPr>
              <w:t xml:space="preserve">  x</w:t>
            </w:r>
            <w:r w:rsidRPr="00B14AD5">
              <w:rPr>
                <w:rFonts w:ascii="Times New Roman" w:eastAsia="Times New Roman" w:hAnsi="Times New Roman"/>
                <w:sz w:val="24"/>
                <w:szCs w:val="24"/>
                <w:bdr w:val="single" w:sz="4" w:space="0" w:color="auto"/>
                <w:lang w:eastAsia="sk-SK"/>
              </w:rPr>
              <w:t xml:space="preserve"> </w:t>
            </w:r>
            <w:r w:rsidRPr="00B14AD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iné </w:t>
            </w:r>
          </w:p>
          <w:p w:rsidR="00C347BD" w:rsidRPr="00B14AD5" w:rsidRDefault="00C347BD" w:rsidP="00B413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C347BD" w:rsidRPr="00B14AD5" w:rsidRDefault="00C347BD" w:rsidP="00B413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C347BD" w:rsidRPr="00B14AD5" w:rsidRDefault="00697ADE" w:rsidP="00B413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C347BD" w:rsidRPr="00B14A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.2.3. Predpoklady vývoja objemu aktivít:</w:t>
            </w:r>
          </w:p>
          <w:p w:rsidR="00C347BD" w:rsidRPr="00B14AD5" w:rsidRDefault="00C347BD" w:rsidP="00B413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651150" w:rsidRDefault="00C347BD" w:rsidP="00651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Jasne popíšte, v prípade potreby použite nižšie uvedenú tabuľku. Uveďte aj odhady </w:t>
            </w:r>
          </w:p>
          <w:p w:rsidR="00C347BD" w:rsidRPr="00B14AD5" w:rsidRDefault="00C347BD" w:rsidP="00651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základov daní a/alebo poplatkov, ak sa ich táto zmena týka.</w:t>
            </w:r>
          </w:p>
          <w:p w:rsidR="00C347BD" w:rsidRPr="00B14AD5" w:rsidRDefault="00651150" w:rsidP="00651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</w:t>
            </w:r>
            <w:r w:rsidR="00C347BD" w:rsidRPr="00B14AD5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Tabuľka č. 2 </w:t>
            </w:r>
          </w:p>
          <w:tbl>
            <w:tblPr>
              <w:tblW w:w="0" w:type="auto"/>
              <w:tblInd w:w="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1"/>
              <w:gridCol w:w="1049"/>
              <w:gridCol w:w="1049"/>
              <w:gridCol w:w="1049"/>
              <w:gridCol w:w="1050"/>
            </w:tblGrid>
            <w:tr w:rsidR="00C347BD" w:rsidRPr="00B14AD5" w:rsidTr="00651150">
              <w:trPr>
                <w:cantSplit/>
                <w:trHeight w:val="73"/>
              </w:trPr>
              <w:tc>
                <w:tcPr>
                  <w:tcW w:w="4191" w:type="dxa"/>
                  <w:vMerge w:val="restart"/>
                  <w:shd w:val="clear" w:color="auto" w:fill="BFBFBF"/>
                  <w:vAlign w:val="center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Objem aktivít</w:t>
                  </w:r>
                </w:p>
              </w:tc>
              <w:tc>
                <w:tcPr>
                  <w:tcW w:w="4197" w:type="dxa"/>
                  <w:gridSpan w:val="4"/>
                  <w:shd w:val="clear" w:color="auto" w:fill="BFBFBF"/>
                  <w:vAlign w:val="center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Odhadované objemy</w:t>
                  </w:r>
                </w:p>
              </w:tc>
            </w:tr>
            <w:tr w:rsidR="00C347BD" w:rsidRPr="00B14AD5" w:rsidTr="00651150">
              <w:trPr>
                <w:cantSplit/>
                <w:trHeight w:val="73"/>
              </w:trPr>
              <w:tc>
                <w:tcPr>
                  <w:tcW w:w="4191" w:type="dxa"/>
                  <w:vMerge/>
                  <w:shd w:val="clear" w:color="auto" w:fill="BFBFBF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049" w:type="dxa"/>
                  <w:shd w:val="clear" w:color="auto" w:fill="BFBFBF"/>
                  <w:vAlign w:val="center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r</w:t>
                  </w:r>
                </w:p>
              </w:tc>
              <w:tc>
                <w:tcPr>
                  <w:tcW w:w="1049" w:type="dxa"/>
                  <w:shd w:val="clear" w:color="auto" w:fill="BFBFBF"/>
                  <w:vAlign w:val="center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r + 1</w:t>
                  </w:r>
                </w:p>
              </w:tc>
              <w:tc>
                <w:tcPr>
                  <w:tcW w:w="1049" w:type="dxa"/>
                  <w:shd w:val="clear" w:color="auto" w:fill="BFBFBF"/>
                  <w:vAlign w:val="center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r + 2</w:t>
                  </w:r>
                </w:p>
              </w:tc>
              <w:tc>
                <w:tcPr>
                  <w:tcW w:w="1049" w:type="dxa"/>
                  <w:shd w:val="clear" w:color="auto" w:fill="BFBFBF"/>
                  <w:vAlign w:val="center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r + 3</w:t>
                  </w:r>
                </w:p>
              </w:tc>
            </w:tr>
            <w:tr w:rsidR="00C347BD" w:rsidRPr="00B14AD5" w:rsidTr="00651150">
              <w:trPr>
                <w:trHeight w:val="73"/>
              </w:trPr>
              <w:tc>
                <w:tcPr>
                  <w:tcW w:w="4191" w:type="dxa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Indikátor ABC</w:t>
                  </w:r>
                </w:p>
              </w:tc>
              <w:tc>
                <w:tcPr>
                  <w:tcW w:w="1049" w:type="dxa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049" w:type="dxa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049" w:type="dxa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049" w:type="dxa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C347BD" w:rsidRPr="00B14AD5" w:rsidTr="00651150">
              <w:trPr>
                <w:trHeight w:val="73"/>
              </w:trPr>
              <w:tc>
                <w:tcPr>
                  <w:tcW w:w="4191" w:type="dxa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Indikátor KLM</w:t>
                  </w:r>
                </w:p>
              </w:tc>
              <w:tc>
                <w:tcPr>
                  <w:tcW w:w="1049" w:type="dxa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049" w:type="dxa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049" w:type="dxa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049" w:type="dxa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C347BD" w:rsidRPr="00B14AD5" w:rsidTr="00651150">
              <w:trPr>
                <w:trHeight w:val="73"/>
              </w:trPr>
              <w:tc>
                <w:tcPr>
                  <w:tcW w:w="4191" w:type="dxa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Indikátor XYZ</w:t>
                  </w:r>
                </w:p>
              </w:tc>
              <w:tc>
                <w:tcPr>
                  <w:tcW w:w="1049" w:type="dxa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049" w:type="dxa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049" w:type="dxa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049" w:type="dxa"/>
                </w:tcPr>
                <w:p w:rsidR="00C347BD" w:rsidRPr="00B14AD5" w:rsidRDefault="00C347BD" w:rsidP="00B41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:rsidR="00C347BD" w:rsidRPr="00B14AD5" w:rsidRDefault="00C347BD" w:rsidP="00B413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C347BD" w:rsidRPr="00B14AD5" w:rsidRDefault="00C347BD" w:rsidP="00B413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C347BD" w:rsidRPr="00B14AD5" w:rsidRDefault="00697ADE" w:rsidP="00B413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C347BD" w:rsidRPr="00B14A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.2.4. Výpočty vplyvov na verejné financie</w:t>
            </w:r>
          </w:p>
          <w:p w:rsidR="00C347BD" w:rsidRPr="00B14AD5" w:rsidRDefault="00C347BD" w:rsidP="00B413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651150" w:rsidRDefault="00C347BD" w:rsidP="00651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Uveďte najdôležitejšie výpočty, ktoré boli použité na stanovenie vplyvov na príjmy a</w:t>
            </w:r>
          </w:p>
          <w:p w:rsidR="00651150" w:rsidRDefault="00C347BD" w:rsidP="00651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výdavky, ako aj predpoklady, z ktorých ste vychádzali. Predkladateľ by mal jasne odlíšiť</w:t>
            </w:r>
          </w:p>
          <w:p w:rsidR="00C347BD" w:rsidRPr="00B14AD5" w:rsidRDefault="00C347BD" w:rsidP="006511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lastRenderedPageBreak/>
              <w:t>podklady od kapitol a organizácií, aby bolo jasne vidieť základ použitý na výpočty.</w:t>
            </w:r>
          </w:p>
          <w:p w:rsidR="00C347BD" w:rsidRDefault="00C347BD" w:rsidP="00B413CD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</w:pPr>
          </w:p>
          <w:p w:rsidR="00651150" w:rsidRDefault="00651150" w:rsidP="00B413CD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</w:pPr>
          </w:p>
          <w:p w:rsidR="00651150" w:rsidRDefault="00651150" w:rsidP="00B413CD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</w:pPr>
          </w:p>
          <w:p w:rsidR="00651150" w:rsidRDefault="00651150" w:rsidP="00B413CD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</w:pPr>
          </w:p>
          <w:p w:rsidR="00651150" w:rsidRDefault="00651150" w:rsidP="00B413CD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</w:pPr>
          </w:p>
          <w:p w:rsidR="00651150" w:rsidRPr="00B14AD5" w:rsidRDefault="00651150" w:rsidP="00B413CD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</w:pPr>
          </w:p>
          <w:tbl>
            <w:tblPr>
              <w:tblpPr w:leftFromText="141" w:rightFromText="141" w:vertAnchor="text" w:horzAnchor="margin" w:tblpY="443"/>
              <w:tblOverlap w:val="never"/>
              <w:tblW w:w="860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55"/>
              <w:gridCol w:w="925"/>
              <w:gridCol w:w="925"/>
              <w:gridCol w:w="925"/>
              <w:gridCol w:w="928"/>
              <w:gridCol w:w="1851"/>
            </w:tblGrid>
            <w:tr w:rsidR="00B413CD" w:rsidRPr="00B14AD5" w:rsidTr="00B413CD">
              <w:trPr>
                <w:trHeight w:val="230"/>
              </w:trPr>
              <w:tc>
                <w:tcPr>
                  <w:tcW w:w="30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Príjmy (v eurách)</w:t>
                  </w:r>
                </w:p>
              </w:tc>
              <w:tc>
                <w:tcPr>
                  <w:tcW w:w="37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Vplyv na rozpočet verejnej správy</w:t>
                  </w:r>
                </w:p>
              </w:tc>
              <w:tc>
                <w:tcPr>
                  <w:tcW w:w="1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poznámka</w:t>
                  </w:r>
                </w:p>
              </w:tc>
            </w:tr>
            <w:tr w:rsidR="00B413CD" w:rsidRPr="00B14AD5" w:rsidTr="00651150">
              <w:trPr>
                <w:trHeight w:val="230"/>
              </w:trPr>
              <w:tc>
                <w:tcPr>
                  <w:tcW w:w="30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13CD" w:rsidRPr="00B14AD5" w:rsidRDefault="00B413C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r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r + 1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r + 2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r + 3</w:t>
                  </w:r>
                </w:p>
              </w:tc>
              <w:tc>
                <w:tcPr>
                  <w:tcW w:w="1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13CD" w:rsidRPr="00B14AD5" w:rsidRDefault="00B413C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B413CD" w:rsidRPr="00B14AD5" w:rsidTr="00651150">
              <w:trPr>
                <w:trHeight w:val="230"/>
              </w:trPr>
              <w:tc>
                <w:tcPr>
                  <w:tcW w:w="3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3CD" w:rsidRPr="00B14AD5" w:rsidRDefault="00B413C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vertAlign w:val="superscript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Daňové príjmy (100)</w:t>
                  </w: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vertAlign w:val="superscript"/>
                      <w:lang w:eastAsia="sk-SK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413CD" w:rsidRPr="00B14AD5" w:rsidRDefault="00B413C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B413CD" w:rsidRPr="00B14AD5" w:rsidTr="00651150">
              <w:trPr>
                <w:trHeight w:val="230"/>
              </w:trPr>
              <w:tc>
                <w:tcPr>
                  <w:tcW w:w="3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3CD" w:rsidRPr="00B14AD5" w:rsidRDefault="00B413C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Nedaňové príjmy (200)</w:t>
                  </w: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vertAlign w:val="superscript"/>
                      <w:lang w:eastAsia="sk-SK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413CD" w:rsidRPr="00B14AD5" w:rsidRDefault="00B413C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B413CD" w:rsidRPr="00B14AD5" w:rsidTr="00651150">
              <w:trPr>
                <w:trHeight w:val="230"/>
              </w:trPr>
              <w:tc>
                <w:tcPr>
                  <w:tcW w:w="3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3CD" w:rsidRPr="00B14AD5" w:rsidRDefault="00B413C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Granty a transfery (300)</w:t>
                  </w: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vertAlign w:val="superscript"/>
                      <w:lang w:eastAsia="sk-SK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413CD" w:rsidRPr="00B14AD5" w:rsidRDefault="00B413C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B413CD" w:rsidRPr="00B14AD5" w:rsidTr="00651150">
              <w:trPr>
                <w:trHeight w:val="230"/>
              </w:trPr>
              <w:tc>
                <w:tcPr>
                  <w:tcW w:w="3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3CD" w:rsidRPr="00B14AD5" w:rsidRDefault="00B413C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Príjmy z transakcií s finančnými aktívami a finančnými pasívami (400)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413CD" w:rsidRPr="00B14AD5" w:rsidRDefault="00B413C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B413CD" w:rsidRPr="00B14AD5" w:rsidTr="00651150">
              <w:trPr>
                <w:trHeight w:val="230"/>
              </w:trPr>
              <w:tc>
                <w:tcPr>
                  <w:tcW w:w="3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3CD" w:rsidRPr="00B14AD5" w:rsidRDefault="00B413C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Prijaté úvery, pôžičky a návratné finančné výpomoci (500)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413CD" w:rsidRPr="00B14AD5" w:rsidRDefault="00B413C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B413CD" w:rsidRPr="00B14AD5" w:rsidTr="00651150">
              <w:trPr>
                <w:trHeight w:val="230"/>
              </w:trPr>
              <w:tc>
                <w:tcPr>
                  <w:tcW w:w="3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B413CD" w:rsidRPr="00B14AD5" w:rsidRDefault="00B413C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Dopad na príjmy verejnej správy celkom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B413CD" w:rsidRPr="00B14AD5" w:rsidRDefault="00B413C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bottom"/>
                </w:tcPr>
                <w:p w:rsidR="00B413CD" w:rsidRPr="00B14AD5" w:rsidRDefault="00B413C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</w:tbl>
          <w:p w:rsidR="00C347BD" w:rsidRPr="00B14AD5" w:rsidRDefault="00C347BD" w:rsidP="00B413CD">
            <w:pPr>
              <w:tabs>
                <w:tab w:val="num" w:pos="10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   </w:t>
            </w:r>
            <w:r w:rsidR="00B413CD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                                                                                </w:t>
            </w:r>
            <w:r w:rsidR="00651150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                              </w:t>
            </w:r>
            <w:r w:rsidR="00B413CD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     </w:t>
            </w:r>
            <w:r w:rsidRPr="00B14AD5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Tabuľka č. 3 </w:t>
            </w:r>
          </w:p>
          <w:p w:rsidR="00C347BD" w:rsidRPr="00B14AD5" w:rsidRDefault="00C347BD" w:rsidP="00B413CD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sk-SK"/>
              </w:rPr>
            </w:pPr>
          </w:p>
          <w:p w:rsidR="00B413CD" w:rsidRPr="00B14AD5" w:rsidRDefault="00B413CD" w:rsidP="00B413CD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sk-SK"/>
              </w:rPr>
            </w:pPr>
            <w:r w:rsidRPr="00B14AD5">
              <w:rPr>
                <w:rFonts w:ascii="Times New Roman" w:eastAsia="Times New Roman" w:hAnsi="Times New Roman"/>
                <w:bCs/>
                <w:sz w:val="20"/>
                <w:szCs w:val="20"/>
                <w:lang w:eastAsia="sk-SK"/>
              </w:rPr>
              <w:t>1 –  príjmy rozpísať až do položiek platnej ekonomickej klasifikácie</w:t>
            </w:r>
          </w:p>
          <w:p w:rsidR="00B413CD" w:rsidRDefault="00B413CD" w:rsidP="00B413CD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sk-SK"/>
              </w:rPr>
            </w:pPr>
          </w:p>
          <w:p w:rsidR="00C347BD" w:rsidRPr="00B14AD5" w:rsidRDefault="00C347BD" w:rsidP="00B413CD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sk-SK"/>
              </w:rPr>
            </w:pPr>
            <w:r w:rsidRPr="00B14AD5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sk-SK"/>
              </w:rPr>
              <w:t>Poznámka:</w:t>
            </w:r>
          </w:p>
          <w:p w:rsidR="00B413CD" w:rsidRDefault="00C347BD" w:rsidP="00B413CD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sk-SK"/>
              </w:rPr>
            </w:pPr>
            <w:r w:rsidRPr="00B14AD5">
              <w:rPr>
                <w:rFonts w:ascii="Times New Roman" w:eastAsia="Times New Roman" w:hAnsi="Times New Roman"/>
                <w:bCs/>
                <w:sz w:val="24"/>
                <w:szCs w:val="20"/>
                <w:lang w:eastAsia="sk-SK"/>
              </w:rPr>
              <w:t xml:space="preserve">Ak sa vplyv týka viacerých subjektov verejnej správy, vypĺňa sa samostatná tabuľka za </w:t>
            </w:r>
          </w:p>
          <w:p w:rsidR="00C347BD" w:rsidRPr="00B14AD5" w:rsidRDefault="00C347BD" w:rsidP="00B413CD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sk-SK"/>
              </w:rPr>
            </w:pPr>
            <w:r w:rsidRPr="00B14AD5">
              <w:rPr>
                <w:rFonts w:ascii="Times New Roman" w:eastAsia="Times New Roman" w:hAnsi="Times New Roman"/>
                <w:bCs/>
                <w:sz w:val="24"/>
                <w:szCs w:val="20"/>
                <w:lang w:eastAsia="sk-SK"/>
              </w:rPr>
              <w:t>každý subjekt.</w:t>
            </w:r>
          </w:p>
          <w:p w:rsidR="00C347BD" w:rsidRPr="00B14AD5" w:rsidRDefault="00B413CD" w:rsidP="00B413CD">
            <w:pPr>
              <w:tabs>
                <w:tab w:val="num" w:pos="1080"/>
              </w:tabs>
              <w:spacing w:after="0" w:line="240" w:lineRule="auto"/>
              <w:ind w:right="-3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                                                                                                    </w:t>
            </w:r>
            <w:r w:rsidR="00C347BD" w:rsidRPr="00B14AD5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Tabuľka č. 4 </w:t>
            </w:r>
          </w:p>
          <w:p w:rsidR="00C347BD" w:rsidRPr="00B14AD5" w:rsidRDefault="00C347BD" w:rsidP="00B413CD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sk-SK"/>
              </w:rPr>
            </w:pPr>
          </w:p>
          <w:tbl>
            <w:tblPr>
              <w:tblW w:w="882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2"/>
              <w:gridCol w:w="1171"/>
              <w:gridCol w:w="1276"/>
              <w:gridCol w:w="1276"/>
              <w:gridCol w:w="1276"/>
              <w:gridCol w:w="850"/>
            </w:tblGrid>
            <w:tr w:rsidR="00C347BD" w:rsidRPr="00B14AD5" w:rsidTr="00400A31">
              <w:trPr>
                <w:trHeight w:val="229"/>
              </w:trPr>
              <w:tc>
                <w:tcPr>
                  <w:tcW w:w="2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  <w:t>Výdavky (v eurách)</w:t>
                  </w:r>
                </w:p>
              </w:tc>
              <w:tc>
                <w:tcPr>
                  <w:tcW w:w="499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  <w:t>Vplyv na rozpočet verejnej správy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poznámka</w:t>
                  </w:r>
                </w:p>
              </w:tc>
            </w:tr>
            <w:tr w:rsidR="00C347BD" w:rsidRPr="00B14AD5" w:rsidTr="00400A31">
              <w:trPr>
                <w:trHeight w:val="229"/>
              </w:trPr>
              <w:tc>
                <w:tcPr>
                  <w:tcW w:w="29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  <w:t>2023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  <w:t>2024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  <w:t>2025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C347BD" w:rsidRPr="00B17EF2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B17EF2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  <w:t>2026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C347BD" w:rsidRPr="00B14AD5" w:rsidTr="00400A31">
              <w:trPr>
                <w:trHeight w:val="229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  <w:t>Bežné výdavky (600)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C347BD" w:rsidRPr="00B14AD5" w:rsidTr="00400A31">
              <w:trPr>
                <w:trHeight w:val="229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 xml:space="preserve">  Mzdy, platy, služobné príjmy a ostatné osobné vyrovnania (610)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5D2934"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>498 022 €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F568F4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5D2934"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>723 908 €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400A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5D2934"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 xml:space="preserve"> 752 864 €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F568F4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5D2934"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 xml:space="preserve">782 979 €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C347BD" w:rsidRPr="00B14AD5" w:rsidTr="00400A31">
              <w:trPr>
                <w:trHeight w:val="229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 xml:space="preserve">  Poistné a príspevok do poisťovní (620)</w:t>
                  </w: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5D2934"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>174 059 €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5D2934"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>253 006 €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5D2934"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 xml:space="preserve">263 126 €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F568F4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5D2934"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 xml:space="preserve"> 273 651 €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7635E7" w:rsidRPr="00B14AD5" w:rsidTr="00400A31">
              <w:trPr>
                <w:trHeight w:val="229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5E7" w:rsidRPr="00B14AD5" w:rsidRDefault="007635E7" w:rsidP="007635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 xml:space="preserve">  Tovary a služby (630)</w:t>
                  </w:r>
                  <w:r w:rsidRPr="00B14AD5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sk-SK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sk-SK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 xml:space="preserve">   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635E7" w:rsidRPr="007635E7" w:rsidRDefault="007635E7" w:rsidP="007635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7635E7"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 xml:space="preserve"> 122 567 €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635E7" w:rsidRPr="007635E7" w:rsidRDefault="007635E7" w:rsidP="007635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7635E7"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 xml:space="preserve"> 76 744 €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635E7" w:rsidRPr="007635E7" w:rsidRDefault="007635E7" w:rsidP="007635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7635E7"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 xml:space="preserve"> 79 813 €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635E7" w:rsidRPr="007635E7" w:rsidRDefault="007635E7" w:rsidP="007635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7635E7"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 xml:space="preserve"> 83 006 €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635E7" w:rsidRPr="00B14AD5" w:rsidRDefault="007635E7" w:rsidP="007635E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C347BD" w:rsidRPr="00B14AD5" w:rsidTr="00400A31">
              <w:trPr>
                <w:trHeight w:val="229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 xml:space="preserve">  Bežné transfery (640)</w:t>
                  </w:r>
                  <w:r w:rsidRPr="00B14AD5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sk-SK"/>
                    </w:rPr>
                    <w:t>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C347BD" w:rsidRPr="00B14AD5" w:rsidTr="00400A31">
              <w:trPr>
                <w:trHeight w:val="229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 xml:space="preserve">  Splácanie úrokov a ostatné platby súvisiace s </w:t>
                  </w:r>
                  <w:r w:rsidRPr="00B14AD5">
                    <w:t xml:space="preserve"> </w:t>
                  </w:r>
                  <w:r w:rsidRPr="00B14AD5"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>úverom, pôžičkou, návratnou finančnou výpomocou a finančným prenájmom (650)</w:t>
                  </w:r>
                  <w:r w:rsidRPr="00B14AD5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sk-SK"/>
                    </w:rPr>
                    <w:t>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C347BD" w:rsidRPr="00B14AD5" w:rsidTr="00400A31">
              <w:trPr>
                <w:trHeight w:val="229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  <w:t>Kapitálové výdavky (700)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C347BD" w:rsidRPr="00B14AD5" w:rsidTr="00400A31">
              <w:trPr>
                <w:trHeight w:val="229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97392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 xml:space="preserve">  </w:t>
                  </w:r>
                  <w:r w:rsidRPr="00B14AD5"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>Obstarávanie kapitálových aktív (710)</w:t>
                  </w:r>
                  <w:r w:rsidRPr="00B14AD5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sk-SK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sk-SK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D70106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D70106"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 xml:space="preserve">283 800 €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C347BD" w:rsidRPr="00B14AD5" w:rsidTr="00400A31">
              <w:trPr>
                <w:trHeight w:val="229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  <w:t xml:space="preserve">  Kapitálové transfery (720)</w:t>
                  </w:r>
                  <w:r w:rsidRPr="00B14AD5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sk-SK"/>
                    </w:rPr>
                    <w:t>2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C347BD" w:rsidRPr="00B14AD5" w:rsidTr="00400A31">
              <w:trPr>
                <w:trHeight w:val="229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  <w:t>Výdavky z transakcií s finančnými aktívami a finančnými pasívami (800)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  <w:tr w:rsidR="00C347BD" w:rsidRPr="00B14AD5" w:rsidTr="00400A31">
              <w:trPr>
                <w:trHeight w:val="229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  <w:t>Dopad na výdavky verejnej správy celkom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5D2934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  <w:t>1 078 448 €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5D2934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  <w:t>1 053 657 €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C347BD" w:rsidRPr="00B14AD5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5D2934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  <w:t xml:space="preserve">1 095 804 €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C347BD" w:rsidRPr="005D2934" w:rsidRDefault="00C347BD" w:rsidP="00B41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5D2934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sk-SK"/>
                    </w:rPr>
                    <w:t xml:space="preserve"> 1 139 636 €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bottom"/>
                </w:tcPr>
                <w:p w:rsidR="00C347BD" w:rsidRPr="00B14AD5" w:rsidRDefault="00C347BD" w:rsidP="00B413C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</w:pPr>
                  <w:r w:rsidRPr="00B14AD5">
                    <w:rPr>
                      <w:rFonts w:ascii="Times New Roman" w:eastAsia="Times New Roman" w:hAnsi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</w:tc>
            </w:tr>
          </w:tbl>
          <w:p w:rsidR="00C347BD" w:rsidRPr="00B14AD5" w:rsidRDefault="00C347BD" w:rsidP="00B413CD">
            <w:pPr>
              <w:tabs>
                <w:tab w:val="num" w:pos="1080"/>
              </w:tabs>
              <w:spacing w:after="0" w:line="240" w:lineRule="auto"/>
              <w:ind w:left="-90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B14AD5">
              <w:rPr>
                <w:rFonts w:ascii="Times New Roman" w:eastAsia="Times New Roman" w:hAnsi="Times New Roman"/>
                <w:bCs/>
                <w:sz w:val="20"/>
                <w:szCs w:val="20"/>
                <w:lang w:eastAsia="sk-SK"/>
              </w:rPr>
              <w:t xml:space="preserve">2 –  </w:t>
            </w:r>
          </w:p>
          <w:p w:rsidR="00C347BD" w:rsidRPr="00B14AD5" w:rsidRDefault="00C347BD" w:rsidP="00B413CD">
            <w:pPr>
              <w:tabs>
                <w:tab w:val="num" w:pos="1080"/>
              </w:tabs>
              <w:spacing w:after="0" w:line="240" w:lineRule="auto"/>
              <w:ind w:left="-90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sk-SK"/>
              </w:rPr>
              <w:t xml:space="preserve">IT </w:t>
            </w:r>
          </w:p>
          <w:p w:rsidR="00C347BD" w:rsidRPr="00B25493" w:rsidRDefault="00C347BD" w:rsidP="00B413CD">
            <w:pPr>
              <w:tabs>
                <w:tab w:val="left" w:pos="1731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highlight w:val="yellow"/>
              </w:rPr>
            </w:pPr>
          </w:p>
        </w:tc>
      </w:tr>
    </w:tbl>
    <w:p w:rsidR="00C347BD" w:rsidRPr="00B14AD5" w:rsidRDefault="004F20BA" w:rsidP="004F20B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/>
          <w:bCs/>
          <w:sz w:val="20"/>
          <w:szCs w:val="20"/>
          <w:lang w:eastAsia="sk-SK"/>
        </w:rPr>
        <w:lastRenderedPageBreak/>
        <w:t xml:space="preserve"> </w:t>
      </w:r>
      <w:r w:rsidR="00C347BD" w:rsidRPr="00B14AD5">
        <w:rPr>
          <w:rFonts w:ascii="Times New Roman" w:eastAsia="Times New Roman" w:hAnsi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C347BD" w:rsidRPr="00B14AD5" w:rsidRDefault="00C347BD" w:rsidP="00C347B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/>
          <w:bCs/>
          <w:sz w:val="24"/>
          <w:szCs w:val="20"/>
          <w:lang w:eastAsia="sk-SK"/>
        </w:rPr>
      </w:pPr>
    </w:p>
    <w:p w:rsidR="00C347BD" w:rsidRDefault="00C347BD" w:rsidP="00C347B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/>
          <w:b/>
          <w:bCs/>
          <w:sz w:val="18"/>
          <w:szCs w:val="18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sk-SK"/>
        </w:rPr>
        <w:t xml:space="preserve">         </w:t>
      </w:r>
      <w:r w:rsidRPr="007E72DC">
        <w:rPr>
          <w:rFonts w:ascii="Times New Roman" w:eastAsia="Times New Roman" w:hAnsi="Times New Roman"/>
          <w:b/>
          <w:bCs/>
          <w:sz w:val="18"/>
          <w:szCs w:val="18"/>
          <w:lang w:eastAsia="sk-SK"/>
        </w:rPr>
        <w:t xml:space="preserve">   </w:t>
      </w:r>
      <w:r w:rsidR="004F20BA">
        <w:rPr>
          <w:rFonts w:ascii="Times New Roman" w:eastAsia="Times New Roman" w:hAnsi="Times New Roman"/>
          <w:b/>
          <w:bCs/>
          <w:sz w:val="18"/>
          <w:szCs w:val="18"/>
          <w:lang w:eastAsia="sk-SK"/>
        </w:rPr>
        <w:t xml:space="preserve">      </w:t>
      </w:r>
      <w:r w:rsidRPr="007E72DC">
        <w:rPr>
          <w:rFonts w:ascii="Times New Roman" w:eastAsia="Times New Roman" w:hAnsi="Times New Roman"/>
          <w:b/>
          <w:bCs/>
          <w:sz w:val="18"/>
          <w:szCs w:val="18"/>
          <w:lang w:eastAsia="sk-SK"/>
        </w:rPr>
        <w:t>Poznámka:</w:t>
      </w:r>
    </w:p>
    <w:p w:rsidR="00697ADE" w:rsidRDefault="004F20BA" w:rsidP="004F20B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/>
          <w:bCs/>
          <w:sz w:val="18"/>
          <w:szCs w:val="18"/>
          <w:lang w:eastAsia="sk-SK"/>
        </w:rPr>
      </w:pPr>
      <w:r>
        <w:rPr>
          <w:rFonts w:ascii="Times New Roman" w:eastAsia="Times New Roman" w:hAnsi="Times New Roman"/>
          <w:bCs/>
          <w:sz w:val="18"/>
          <w:szCs w:val="18"/>
          <w:lang w:eastAsia="sk-SK"/>
        </w:rPr>
        <w:t xml:space="preserve">                             </w:t>
      </w:r>
    </w:p>
    <w:p w:rsidR="004F20BA" w:rsidRDefault="004F20BA" w:rsidP="004F20BA">
      <w:pPr>
        <w:ind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18"/>
          <w:szCs w:val="18"/>
          <w:lang w:eastAsia="sk-SK"/>
        </w:rPr>
        <w:t xml:space="preserve">    </w:t>
      </w:r>
      <w:r w:rsidRPr="00B326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Výpočty mzdy, platy sú vypočítané na základe platných platových taríf štátnych zamestnancov   od 01.01.2023. Pre rok 2023 je výška bežných výdavkov prepočítaná na mesiace apríl až december. IT softvér spolu s prevádzkou bol</w:t>
      </w:r>
      <w:r w:rsidR="0097392D" w:rsidRPr="00B32626">
        <w:rPr>
          <w:rFonts w:ascii="Times New Roman" w:eastAsia="Times New Roman" w:hAnsi="Times New Roman" w:cs="Times New Roman"/>
          <w:sz w:val="24"/>
          <w:szCs w:val="24"/>
          <w:lang w:eastAsia="sk-SK"/>
        </w:rPr>
        <w:t>i nacenené podľa predpokladanej hodnoty zákazky</w:t>
      </w:r>
      <w:r w:rsidRPr="00B3262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0F2013" w:rsidRPr="00B32626" w:rsidRDefault="000F2013" w:rsidP="004F20BA">
      <w:pPr>
        <w:ind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Finančné prostriedky sú zabezpečené</w:t>
      </w:r>
      <w:r w:rsidRPr="000F2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Plánu obnovy a odolnosti SR.</w:t>
      </w:r>
    </w:p>
    <w:p w:rsidR="004F20BA" w:rsidRDefault="004F20BA" w:rsidP="004F20B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/>
          <w:bCs/>
          <w:sz w:val="18"/>
          <w:szCs w:val="18"/>
          <w:lang w:eastAsia="sk-SK"/>
        </w:rPr>
      </w:pPr>
      <w:r>
        <w:rPr>
          <w:rFonts w:ascii="Times New Roman" w:eastAsia="Times New Roman" w:hAnsi="Times New Roman"/>
          <w:bCs/>
          <w:sz w:val="18"/>
          <w:szCs w:val="18"/>
          <w:lang w:eastAsia="sk-SK"/>
        </w:rPr>
        <w:tab/>
      </w:r>
    </w:p>
    <w:p w:rsidR="004F20BA" w:rsidRDefault="004F20BA" w:rsidP="004F20B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/>
          <w:bCs/>
          <w:sz w:val="18"/>
          <w:szCs w:val="18"/>
          <w:lang w:eastAsia="sk-SK"/>
        </w:rPr>
      </w:pPr>
      <w:r>
        <w:rPr>
          <w:rFonts w:ascii="Times New Roman" w:eastAsia="Times New Roman" w:hAnsi="Times New Roman"/>
          <w:bCs/>
          <w:sz w:val="18"/>
          <w:szCs w:val="18"/>
          <w:lang w:eastAsia="sk-SK"/>
        </w:rPr>
        <w:tab/>
      </w:r>
    </w:p>
    <w:p w:rsidR="004F20BA" w:rsidRDefault="004F20BA" w:rsidP="004F20B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/>
          <w:bCs/>
          <w:sz w:val="18"/>
          <w:szCs w:val="18"/>
          <w:lang w:eastAsia="sk-SK"/>
        </w:rPr>
      </w:pPr>
      <w:r>
        <w:rPr>
          <w:rFonts w:ascii="Times New Roman" w:eastAsia="Times New Roman" w:hAnsi="Times New Roman"/>
          <w:bCs/>
          <w:sz w:val="18"/>
          <w:szCs w:val="18"/>
          <w:lang w:eastAsia="sk-SK"/>
        </w:rPr>
        <w:tab/>
      </w:r>
      <w:r>
        <w:rPr>
          <w:rFonts w:ascii="Times New Roman" w:eastAsia="Times New Roman" w:hAnsi="Times New Roman"/>
          <w:bCs/>
          <w:sz w:val="18"/>
          <w:szCs w:val="18"/>
          <w:lang w:eastAsia="sk-SK"/>
        </w:rPr>
        <w:tab/>
      </w:r>
      <w:r>
        <w:rPr>
          <w:rFonts w:ascii="Times New Roman" w:eastAsia="Times New Roman" w:hAnsi="Times New Roman"/>
          <w:bCs/>
          <w:sz w:val="18"/>
          <w:szCs w:val="18"/>
          <w:lang w:eastAsia="sk-SK"/>
        </w:rPr>
        <w:tab/>
      </w:r>
      <w:r>
        <w:rPr>
          <w:rFonts w:ascii="Times New Roman" w:eastAsia="Times New Roman" w:hAnsi="Times New Roman"/>
          <w:bCs/>
          <w:sz w:val="18"/>
          <w:szCs w:val="18"/>
          <w:lang w:eastAsia="sk-SK"/>
        </w:rPr>
        <w:tab/>
      </w:r>
      <w:r>
        <w:rPr>
          <w:rFonts w:ascii="Times New Roman" w:eastAsia="Times New Roman" w:hAnsi="Times New Roman"/>
          <w:bCs/>
          <w:sz w:val="18"/>
          <w:szCs w:val="18"/>
          <w:lang w:eastAsia="sk-SK"/>
        </w:rPr>
        <w:tab/>
      </w:r>
      <w:r>
        <w:rPr>
          <w:rFonts w:ascii="Times New Roman" w:eastAsia="Times New Roman" w:hAnsi="Times New Roman"/>
          <w:bCs/>
          <w:sz w:val="18"/>
          <w:szCs w:val="18"/>
          <w:lang w:eastAsia="sk-SK"/>
        </w:rPr>
        <w:tab/>
      </w:r>
      <w:r>
        <w:rPr>
          <w:rFonts w:ascii="Times New Roman" w:eastAsia="Times New Roman" w:hAnsi="Times New Roman"/>
          <w:bCs/>
          <w:sz w:val="18"/>
          <w:szCs w:val="18"/>
          <w:lang w:eastAsia="sk-SK"/>
        </w:rPr>
        <w:tab/>
      </w:r>
      <w:r>
        <w:rPr>
          <w:rFonts w:ascii="Times New Roman" w:eastAsia="Times New Roman" w:hAnsi="Times New Roman"/>
          <w:bCs/>
          <w:sz w:val="18"/>
          <w:szCs w:val="18"/>
          <w:lang w:eastAsia="sk-SK"/>
        </w:rPr>
        <w:tab/>
      </w:r>
      <w:r>
        <w:rPr>
          <w:rFonts w:ascii="Times New Roman" w:eastAsia="Times New Roman" w:hAnsi="Times New Roman"/>
          <w:bCs/>
          <w:sz w:val="18"/>
          <w:szCs w:val="18"/>
          <w:lang w:eastAsia="sk-SK"/>
        </w:rPr>
        <w:tab/>
      </w:r>
      <w:r>
        <w:rPr>
          <w:rFonts w:ascii="Times New Roman" w:eastAsia="Times New Roman" w:hAnsi="Times New Roman"/>
          <w:bCs/>
          <w:sz w:val="18"/>
          <w:szCs w:val="18"/>
          <w:lang w:eastAsia="sk-SK"/>
        </w:rPr>
        <w:tab/>
      </w:r>
      <w:r>
        <w:rPr>
          <w:rFonts w:ascii="Times New Roman" w:eastAsia="Times New Roman" w:hAnsi="Times New Roman"/>
          <w:bCs/>
          <w:sz w:val="18"/>
          <w:szCs w:val="18"/>
          <w:lang w:eastAsia="sk-SK"/>
        </w:rPr>
        <w:tab/>
        <w:t xml:space="preserve">   </w:t>
      </w:r>
      <w:r w:rsidRPr="00697ADE">
        <w:rPr>
          <w:rFonts w:ascii="Times New Roman" w:eastAsia="Times New Roman" w:hAnsi="Times New Roman"/>
          <w:bCs/>
          <w:sz w:val="24"/>
          <w:szCs w:val="24"/>
          <w:lang w:eastAsia="sk-SK"/>
        </w:rPr>
        <w:t>Tabuľka č.5</w:t>
      </w:r>
    </w:p>
    <w:p w:rsidR="00C347BD" w:rsidRDefault="00697ADE" w:rsidP="00C347BD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/>
          <w:bCs/>
          <w:sz w:val="18"/>
          <w:szCs w:val="18"/>
          <w:lang w:eastAsia="sk-SK"/>
        </w:rPr>
      </w:pPr>
      <w:r>
        <w:rPr>
          <w:rFonts w:ascii="Times New Roman" w:eastAsia="Times New Roman" w:hAnsi="Times New Roman"/>
          <w:bCs/>
          <w:sz w:val="18"/>
          <w:szCs w:val="18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 w:rsidR="00DF7F5B">
        <w:rPr>
          <w:rFonts w:ascii="Times New Roman" w:eastAsia="Times New Roman" w:hAnsi="Times New Roman"/>
          <w:bCs/>
          <w:sz w:val="18"/>
          <w:szCs w:val="18"/>
          <w:lang w:eastAsia="sk-SK"/>
        </w:rPr>
        <w:t xml:space="preserve">                              </w:t>
      </w:r>
    </w:p>
    <w:tbl>
      <w:tblPr>
        <w:tblW w:w="920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276"/>
        <w:gridCol w:w="1134"/>
        <w:gridCol w:w="1276"/>
        <w:gridCol w:w="1417"/>
        <w:gridCol w:w="1134"/>
      </w:tblGrid>
      <w:tr w:rsidR="00C347BD" w:rsidRPr="009604B0" w:rsidTr="00DF7F5B">
        <w:trPr>
          <w:trHeight w:val="189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347BD" w:rsidRPr="009604B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9604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Zamestnanosť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347BD" w:rsidRPr="009604B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9604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Vplyv na rozpočet verejnej správy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C347BD" w:rsidRPr="009604B0" w:rsidRDefault="006B412B" w:rsidP="00DF7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9604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P</w:t>
            </w:r>
            <w:r w:rsidR="00C347BD" w:rsidRPr="009604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oznámka</w:t>
            </w:r>
          </w:p>
        </w:tc>
      </w:tr>
      <w:tr w:rsidR="00C347BD" w:rsidRPr="009604B0" w:rsidTr="00DF7F5B">
        <w:trPr>
          <w:trHeight w:val="189"/>
          <w:jc w:val="center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347BD" w:rsidRPr="009604B0" w:rsidRDefault="00C347BD" w:rsidP="00DF7F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347BD" w:rsidRPr="009604B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9604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347BD" w:rsidRPr="009604B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9604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347BD" w:rsidRPr="009604B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9604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347BD" w:rsidRPr="009604B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  <w:r w:rsidRPr="009604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  <w:t>2026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347BD" w:rsidRPr="009604B0" w:rsidRDefault="00C347BD" w:rsidP="00DF7F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C347BD" w:rsidRPr="009604B0" w:rsidTr="00DF7F5B">
        <w:trPr>
          <w:trHeight w:val="189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Počet zamestnancov celkom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7BD" w:rsidRPr="00651150" w:rsidRDefault="00C347BD" w:rsidP="00DF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C347BD" w:rsidRPr="009604B0" w:rsidTr="00DF7F5B">
        <w:trPr>
          <w:trHeight w:val="189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7BD" w:rsidRPr="00651150" w:rsidRDefault="00C347BD" w:rsidP="00DF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347BD" w:rsidRPr="009604B0" w:rsidTr="00DF7F5B">
        <w:trPr>
          <w:trHeight w:val="189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Priemerný mzdový výdavok (v eurách)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3 247 €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3 540 €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3 681 €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3 828 €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7BD" w:rsidRPr="00651150" w:rsidRDefault="00C347BD" w:rsidP="00DF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C347BD" w:rsidRPr="009604B0" w:rsidTr="00DF7F5B">
        <w:trPr>
          <w:trHeight w:val="189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sk-SK"/>
              </w:rPr>
            </w:pPr>
            <w:r w:rsidRPr="00651150">
              <w:rPr>
                <w:rFonts w:ascii="Times New Roman" w:hAnsi="Times New Roman" w:cs="Times New Roman"/>
                <w:sz w:val="20"/>
                <w:szCs w:val="20"/>
              </w:rPr>
              <w:t>3 247 €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sk-SK"/>
              </w:rPr>
            </w:pPr>
            <w:r w:rsidRPr="00651150">
              <w:rPr>
                <w:rFonts w:ascii="Times New Roman" w:hAnsi="Times New Roman" w:cs="Times New Roman"/>
                <w:sz w:val="20"/>
                <w:szCs w:val="20"/>
              </w:rPr>
              <w:t>3 540 €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sk-SK"/>
              </w:rPr>
            </w:pPr>
            <w:r w:rsidRPr="00651150">
              <w:rPr>
                <w:rFonts w:ascii="Times New Roman" w:hAnsi="Times New Roman" w:cs="Times New Roman"/>
                <w:sz w:val="20"/>
                <w:szCs w:val="20"/>
              </w:rPr>
              <w:t>3 681 €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sk-SK"/>
              </w:rPr>
            </w:pPr>
            <w:r w:rsidRPr="00651150">
              <w:rPr>
                <w:rFonts w:ascii="Times New Roman" w:hAnsi="Times New Roman" w:cs="Times New Roman"/>
                <w:sz w:val="20"/>
                <w:szCs w:val="20"/>
              </w:rPr>
              <w:t>3 828 €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7BD" w:rsidRPr="00651150" w:rsidRDefault="00C347BD" w:rsidP="00DF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C347BD" w:rsidRPr="009604B0" w:rsidTr="00DF7F5B">
        <w:trPr>
          <w:trHeight w:val="189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347BD" w:rsidRPr="00651150" w:rsidRDefault="00C347BD" w:rsidP="00DF7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Osobné výdavky celkom (v eurách)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C347BD" w:rsidRPr="00651150" w:rsidRDefault="00C347BD" w:rsidP="00DF7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C347BD" w:rsidRPr="009604B0" w:rsidTr="00DF7F5B">
        <w:trPr>
          <w:trHeight w:val="189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Mzdy, platy, služobné príjmy a ostatné osobné vyrovnania (610)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498 022 €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723 908 €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752 864 €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782 979 €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7BD" w:rsidRPr="00651150" w:rsidRDefault="00C347BD" w:rsidP="00DF7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C347BD" w:rsidRPr="009604B0" w:rsidTr="00DF7F5B">
        <w:trPr>
          <w:trHeight w:val="189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498 022 €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723 908 €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752 864 €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782 979 €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7BD" w:rsidRPr="00651150" w:rsidRDefault="00C347BD" w:rsidP="00DF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C347BD" w:rsidRPr="009604B0" w:rsidTr="00DF7F5B">
        <w:trPr>
          <w:trHeight w:val="189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Poistné a príspevok do poisťovní (620)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174 059 €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253 006 €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263 126 €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273 651 €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7BD" w:rsidRPr="00651150" w:rsidRDefault="00C347BD" w:rsidP="00DF7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C347BD" w:rsidRPr="009604B0" w:rsidTr="00DF7F5B">
        <w:trPr>
          <w:trHeight w:val="189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174 059 €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253 006 €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263 126 €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7BD" w:rsidRPr="00651150" w:rsidRDefault="00C347BD" w:rsidP="00DF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273 651 €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47BD" w:rsidRPr="00651150" w:rsidRDefault="00C347BD" w:rsidP="00DF7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511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:rsidR="00C347BD" w:rsidRDefault="00C347BD" w:rsidP="00C347B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sk-SK"/>
        </w:rPr>
      </w:pPr>
    </w:p>
    <w:p w:rsidR="00400A31" w:rsidRPr="006B412B" w:rsidRDefault="00400A31" w:rsidP="00400A31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6B4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Poznámka:</w:t>
      </w:r>
    </w:p>
    <w:p w:rsidR="00DF7F5B" w:rsidRPr="00B32626" w:rsidRDefault="00DF7F5B" w:rsidP="00400A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2626">
        <w:rPr>
          <w:rFonts w:ascii="Times New Roman" w:eastAsia="Times New Roman" w:hAnsi="Times New Roman" w:cs="Times New Roman"/>
          <w:sz w:val="24"/>
          <w:szCs w:val="24"/>
          <w:lang w:eastAsia="sk-SK"/>
        </w:rPr>
        <w:t>Pre rok 2023 je výška bežných výdavkov prepočítaná na mesiace apríl až december.</w:t>
      </w:r>
    </w:p>
    <w:p w:rsidR="00DF7F5B" w:rsidRDefault="00DF7F5B" w:rsidP="00400A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32626">
        <w:rPr>
          <w:rFonts w:ascii="Times New Roman" w:eastAsia="Times New Roman" w:hAnsi="Times New Roman" w:cs="Times New Roman"/>
          <w:sz w:val="24"/>
          <w:szCs w:val="24"/>
          <w:lang w:eastAsia="sk-SK"/>
        </w:rPr>
        <w:t>Priemerný mzdový výdavok bol vypočítaný</w:t>
      </w:r>
      <w:r w:rsidR="009C340A" w:rsidRPr="00B326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</w:t>
      </w:r>
      <w:r w:rsidRPr="00B326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C340A" w:rsidRPr="00B32626">
        <w:rPr>
          <w:rFonts w:ascii="Times New Roman" w:eastAsia="Times New Roman" w:hAnsi="Times New Roman" w:cs="Times New Roman"/>
          <w:sz w:val="24"/>
          <w:szCs w:val="24"/>
          <w:lang w:eastAsia="sk-SK"/>
        </w:rPr>
        <w:t>potreby navýšenia počtu zamestnancov aparátu MZ SR o 22 osôb  plus 1 osoba ( 1 osoba predstavuje potrebu navýšenia osobných výdavkov z titulu zmeny systemizácie - zmeny platového zaradenia 2 už existujúcich štátnozamestnaneckých miest).</w:t>
      </w:r>
    </w:p>
    <w:p w:rsidR="000F2013" w:rsidRPr="00B32626" w:rsidRDefault="000F2013" w:rsidP="00400A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Finančné prostriedky sú zabezpečené</w:t>
      </w:r>
      <w:r w:rsidRPr="000F20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Plánu obnovy a odolnosti SR.</w:t>
      </w:r>
    </w:p>
    <w:p w:rsidR="00651150" w:rsidRPr="00B14AD5" w:rsidRDefault="00651150" w:rsidP="006511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:rsidR="00651150" w:rsidRPr="00B14AD5" w:rsidRDefault="00651150" w:rsidP="0065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1150" w:rsidRPr="00B14AD5" w:rsidRDefault="00651150" w:rsidP="00651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:rsidR="00651150" w:rsidRDefault="00651150" w:rsidP="0065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1150" w:rsidRDefault="00651150" w:rsidP="0065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1150" w:rsidRDefault="00651150" w:rsidP="0065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1150" w:rsidRDefault="00651150" w:rsidP="0065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1150" w:rsidRDefault="00651150" w:rsidP="0065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1150" w:rsidRDefault="00651150" w:rsidP="0065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1150" w:rsidRPr="00B14AD5" w:rsidRDefault="00651150" w:rsidP="0065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024CF" w:rsidRDefault="00651150" w:rsidP="0065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</w:t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</w:t>
      </w:r>
    </w:p>
    <w:p w:rsidR="005024CF" w:rsidRDefault="005024CF" w:rsidP="0065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024CF" w:rsidRDefault="005024CF" w:rsidP="0065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1150" w:rsidRPr="00B14AD5" w:rsidRDefault="005024CF" w:rsidP="0065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6511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51150"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>Tabuľka č. 6</w:t>
      </w:r>
    </w:p>
    <w:p w:rsidR="00651150" w:rsidRPr="00B14AD5" w:rsidRDefault="00651150" w:rsidP="0065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871"/>
        <w:gridCol w:w="938"/>
        <w:gridCol w:w="938"/>
        <w:gridCol w:w="853"/>
        <w:gridCol w:w="1197"/>
        <w:gridCol w:w="1878"/>
      </w:tblGrid>
      <w:tr w:rsidR="00651150" w:rsidRPr="00B14AD5" w:rsidTr="00651150">
        <w:trPr>
          <w:trHeight w:val="468"/>
        </w:trPr>
        <w:tc>
          <w:tcPr>
            <w:tcW w:w="1772" w:type="dxa"/>
            <w:vMerge w:val="restart"/>
            <w:shd w:val="clear" w:color="auto" w:fill="BFBFBF" w:themeFill="background1" w:themeFillShade="BF"/>
            <w:vAlign w:val="center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4797" w:type="dxa"/>
            <w:gridSpan w:val="5"/>
            <w:shd w:val="clear" w:color="auto" w:fill="BFBFBF" w:themeFill="background1" w:themeFillShade="BF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1878" w:type="dxa"/>
            <w:vMerge w:val="restart"/>
            <w:shd w:val="clear" w:color="auto" w:fill="BFBFBF" w:themeFill="background1" w:themeFillShade="BF"/>
            <w:vAlign w:val="center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651150" w:rsidRPr="00B14AD5" w:rsidTr="00651150">
        <w:trPr>
          <w:trHeight w:val="468"/>
        </w:trPr>
        <w:tc>
          <w:tcPr>
            <w:tcW w:w="1772" w:type="dxa"/>
            <w:vMerge/>
            <w:shd w:val="clear" w:color="auto" w:fill="BFBFBF" w:themeFill="background1" w:themeFillShade="BF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71" w:type="dxa"/>
            <w:shd w:val="clear" w:color="auto" w:fill="BFBFBF" w:themeFill="background1" w:themeFillShade="BF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d+10</w:t>
            </w:r>
          </w:p>
        </w:tc>
        <w:tc>
          <w:tcPr>
            <w:tcW w:w="938" w:type="dxa"/>
            <w:shd w:val="clear" w:color="auto" w:fill="BFBFBF" w:themeFill="background1" w:themeFillShade="BF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d+20</w:t>
            </w:r>
          </w:p>
        </w:tc>
        <w:tc>
          <w:tcPr>
            <w:tcW w:w="853" w:type="dxa"/>
            <w:shd w:val="clear" w:color="auto" w:fill="BFBFBF" w:themeFill="background1" w:themeFillShade="BF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d+30</w:t>
            </w:r>
          </w:p>
        </w:tc>
        <w:tc>
          <w:tcPr>
            <w:tcW w:w="1194" w:type="dxa"/>
            <w:shd w:val="clear" w:color="auto" w:fill="BFBFBF" w:themeFill="background1" w:themeFillShade="BF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d+40</w:t>
            </w:r>
          </w:p>
        </w:tc>
        <w:tc>
          <w:tcPr>
            <w:tcW w:w="1878" w:type="dxa"/>
            <w:vMerge/>
            <w:shd w:val="clear" w:color="auto" w:fill="BFBFBF" w:themeFill="background1" w:themeFillShade="BF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51150" w:rsidRPr="00B14AD5" w:rsidTr="00651150">
        <w:trPr>
          <w:trHeight w:val="468"/>
        </w:trPr>
        <w:tc>
          <w:tcPr>
            <w:tcW w:w="1772" w:type="dxa"/>
            <w:shd w:val="clear" w:color="auto" w:fill="auto"/>
            <w:vAlign w:val="bottom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871" w:type="dxa"/>
            <w:shd w:val="clear" w:color="auto" w:fill="auto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38" w:type="dxa"/>
            <w:shd w:val="clear" w:color="auto" w:fill="auto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38" w:type="dxa"/>
            <w:shd w:val="clear" w:color="auto" w:fill="auto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53" w:type="dxa"/>
            <w:shd w:val="clear" w:color="auto" w:fill="auto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94" w:type="dxa"/>
            <w:shd w:val="clear" w:color="auto" w:fill="auto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shd w:val="clear" w:color="auto" w:fill="auto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51150" w:rsidRPr="00B14AD5" w:rsidTr="00651150">
        <w:trPr>
          <w:trHeight w:val="468"/>
        </w:trPr>
        <w:tc>
          <w:tcPr>
            <w:tcW w:w="1772" w:type="dxa"/>
            <w:shd w:val="clear" w:color="auto" w:fill="auto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871" w:type="dxa"/>
            <w:shd w:val="clear" w:color="auto" w:fill="auto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38" w:type="dxa"/>
            <w:shd w:val="clear" w:color="auto" w:fill="auto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38" w:type="dxa"/>
            <w:shd w:val="clear" w:color="auto" w:fill="auto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53" w:type="dxa"/>
            <w:shd w:val="clear" w:color="auto" w:fill="auto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94" w:type="dxa"/>
            <w:shd w:val="clear" w:color="auto" w:fill="auto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shd w:val="clear" w:color="auto" w:fill="auto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51150" w:rsidRPr="00B14AD5" w:rsidTr="00651150">
        <w:trPr>
          <w:trHeight w:val="468"/>
        </w:trPr>
        <w:tc>
          <w:tcPr>
            <w:tcW w:w="1772" w:type="dxa"/>
            <w:shd w:val="clear" w:color="auto" w:fill="auto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4AD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871" w:type="dxa"/>
            <w:shd w:val="clear" w:color="auto" w:fill="auto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38" w:type="dxa"/>
            <w:shd w:val="clear" w:color="auto" w:fill="auto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38" w:type="dxa"/>
            <w:shd w:val="clear" w:color="auto" w:fill="auto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53" w:type="dxa"/>
            <w:shd w:val="clear" w:color="auto" w:fill="auto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94" w:type="dxa"/>
            <w:shd w:val="clear" w:color="auto" w:fill="auto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shd w:val="clear" w:color="auto" w:fill="auto"/>
          </w:tcPr>
          <w:p w:rsidR="00651150" w:rsidRPr="00B14AD5" w:rsidRDefault="00651150" w:rsidP="009739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651150" w:rsidRPr="00B14AD5" w:rsidRDefault="00651150" w:rsidP="0065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1150" w:rsidRPr="00B14AD5" w:rsidRDefault="00651150" w:rsidP="006511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Poznámka: </w:t>
      </w:r>
    </w:p>
    <w:p w:rsidR="00651150" w:rsidRPr="00B14AD5" w:rsidRDefault="00651150" w:rsidP="0065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:rsidR="00651150" w:rsidRPr="00B14AD5" w:rsidRDefault="00651150" w:rsidP="0065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14AD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Tabuľka sa vypĺňa pre každé opatrenie samostatne. V prípade zavádzania viacerých opatrení sa vyplní aj tabuľka obsahujúca aj kumulatívny efekt zavedenia všetkých opatrení súčasne.“  </w:t>
      </w:r>
    </w:p>
    <w:p w:rsidR="00400A31" w:rsidRPr="00690D22" w:rsidRDefault="00400A31" w:rsidP="00690D2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9155D" w:rsidRDefault="0069155D"/>
    <w:p w:rsidR="00651150" w:rsidRDefault="00651150"/>
    <w:p w:rsidR="00651150" w:rsidRDefault="00651150"/>
    <w:p w:rsidR="00651150" w:rsidRDefault="00651150"/>
    <w:p w:rsidR="00651150" w:rsidRDefault="00651150"/>
    <w:p w:rsidR="00651150" w:rsidRDefault="00651150"/>
    <w:p w:rsidR="00651150" w:rsidRDefault="00651150"/>
    <w:p w:rsidR="00651150" w:rsidRDefault="00651150"/>
    <w:p w:rsidR="00651150" w:rsidRDefault="00651150"/>
    <w:p w:rsidR="00651150" w:rsidRDefault="00651150"/>
    <w:p w:rsidR="00651150" w:rsidRDefault="00651150"/>
    <w:p w:rsidR="00651150" w:rsidRDefault="00651150"/>
    <w:p w:rsidR="00651150" w:rsidRDefault="00651150"/>
    <w:sectPr w:rsidR="0065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F4A" w:rsidRDefault="00E73F4A" w:rsidP="00C347BD">
      <w:pPr>
        <w:spacing w:after="0" w:line="240" w:lineRule="auto"/>
      </w:pPr>
      <w:r>
        <w:separator/>
      </w:r>
    </w:p>
  </w:endnote>
  <w:endnote w:type="continuationSeparator" w:id="0">
    <w:p w:rsidR="00E73F4A" w:rsidRDefault="00E73F4A" w:rsidP="00C3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F4A" w:rsidRDefault="00E73F4A" w:rsidP="00C347BD">
      <w:pPr>
        <w:spacing w:after="0" w:line="240" w:lineRule="auto"/>
      </w:pPr>
      <w:r>
        <w:separator/>
      </w:r>
    </w:p>
  </w:footnote>
  <w:footnote w:type="continuationSeparator" w:id="0">
    <w:p w:rsidR="00E73F4A" w:rsidRDefault="00E73F4A" w:rsidP="00C34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6173"/>
    <w:multiLevelType w:val="hybridMultilevel"/>
    <w:tmpl w:val="F3965BFE"/>
    <w:lvl w:ilvl="0" w:tplc="8F9E2C7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D34AD"/>
    <w:multiLevelType w:val="hybridMultilevel"/>
    <w:tmpl w:val="04941B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A21E1"/>
    <w:multiLevelType w:val="hybridMultilevel"/>
    <w:tmpl w:val="2FD6797E"/>
    <w:lvl w:ilvl="0" w:tplc="C602C2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2918"/>
    <w:multiLevelType w:val="hybridMultilevel"/>
    <w:tmpl w:val="43125E5E"/>
    <w:lvl w:ilvl="0" w:tplc="39C00580">
      <w:start w:val="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53E3F4D"/>
    <w:multiLevelType w:val="hybridMultilevel"/>
    <w:tmpl w:val="4C5CC97E"/>
    <w:lvl w:ilvl="0" w:tplc="8DEADF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0525B"/>
    <w:multiLevelType w:val="hybridMultilevel"/>
    <w:tmpl w:val="4EF20E5E"/>
    <w:lvl w:ilvl="0" w:tplc="D2C8F2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F6B07"/>
    <w:multiLevelType w:val="hybridMultilevel"/>
    <w:tmpl w:val="2976057E"/>
    <w:lvl w:ilvl="0" w:tplc="54D601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22"/>
    <w:rsid w:val="00064D0E"/>
    <w:rsid w:val="000B2829"/>
    <w:rsid w:val="000F2013"/>
    <w:rsid w:val="001343FB"/>
    <w:rsid w:val="0016304F"/>
    <w:rsid w:val="00177027"/>
    <w:rsid w:val="0019711A"/>
    <w:rsid w:val="001E4524"/>
    <w:rsid w:val="002576D4"/>
    <w:rsid w:val="00363E1E"/>
    <w:rsid w:val="00383788"/>
    <w:rsid w:val="003C2886"/>
    <w:rsid w:val="00400A31"/>
    <w:rsid w:val="00462A2E"/>
    <w:rsid w:val="004A58DB"/>
    <w:rsid w:val="004C1E0E"/>
    <w:rsid w:val="004F20BA"/>
    <w:rsid w:val="004F457B"/>
    <w:rsid w:val="005024CF"/>
    <w:rsid w:val="005D46EA"/>
    <w:rsid w:val="00643855"/>
    <w:rsid w:val="00651150"/>
    <w:rsid w:val="00690D22"/>
    <w:rsid w:val="0069155D"/>
    <w:rsid w:val="00697ADE"/>
    <w:rsid w:val="006B412B"/>
    <w:rsid w:val="0070158C"/>
    <w:rsid w:val="00706833"/>
    <w:rsid w:val="00720E7E"/>
    <w:rsid w:val="007635E7"/>
    <w:rsid w:val="007B2BE5"/>
    <w:rsid w:val="007C5655"/>
    <w:rsid w:val="007F638A"/>
    <w:rsid w:val="00893CE0"/>
    <w:rsid w:val="008B090D"/>
    <w:rsid w:val="00912B13"/>
    <w:rsid w:val="0092281D"/>
    <w:rsid w:val="009658A4"/>
    <w:rsid w:val="00966733"/>
    <w:rsid w:val="0097392D"/>
    <w:rsid w:val="009A602C"/>
    <w:rsid w:val="009C340A"/>
    <w:rsid w:val="009E1540"/>
    <w:rsid w:val="009F75E5"/>
    <w:rsid w:val="00A21198"/>
    <w:rsid w:val="00A5690F"/>
    <w:rsid w:val="00B32626"/>
    <w:rsid w:val="00B413CD"/>
    <w:rsid w:val="00B53644"/>
    <w:rsid w:val="00BE7B22"/>
    <w:rsid w:val="00C347BD"/>
    <w:rsid w:val="00C732F3"/>
    <w:rsid w:val="00CA35B8"/>
    <w:rsid w:val="00D14185"/>
    <w:rsid w:val="00D71847"/>
    <w:rsid w:val="00DE3EE7"/>
    <w:rsid w:val="00DF7F5B"/>
    <w:rsid w:val="00E73F4A"/>
    <w:rsid w:val="00F62750"/>
    <w:rsid w:val="00FB0CA8"/>
    <w:rsid w:val="00FB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EC1C1-A4EF-4266-AA9B-28AA0386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690D22"/>
  </w:style>
  <w:style w:type="paragraph" w:styleId="Bezriadkovania">
    <w:name w:val="No Spacing"/>
    <w:uiPriority w:val="1"/>
    <w:qFormat/>
    <w:rsid w:val="00690D22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69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99"/>
    <w:qFormat/>
    <w:rsid w:val="00690D2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90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0D22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rsid w:val="00C347BD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3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99"/>
    <w:qFormat/>
    <w:locked/>
    <w:rsid w:val="00C347BD"/>
  </w:style>
  <w:style w:type="paragraph" w:styleId="Hlavika">
    <w:name w:val="header"/>
    <w:basedOn w:val="Normlny"/>
    <w:link w:val="HlavikaChar"/>
    <w:uiPriority w:val="99"/>
    <w:unhideWhenUsed/>
    <w:rsid w:val="00C3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47BD"/>
  </w:style>
  <w:style w:type="paragraph" w:styleId="Pta">
    <w:name w:val="footer"/>
    <w:basedOn w:val="Normlny"/>
    <w:link w:val="PtaChar"/>
    <w:uiPriority w:val="99"/>
    <w:unhideWhenUsed/>
    <w:rsid w:val="00C3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4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823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230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23154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683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7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8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96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1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6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88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57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1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34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89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3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3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60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7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64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0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99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6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42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1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09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9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36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51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2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94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0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13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6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9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5767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1062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Hanus Matej</dc:creator>
  <cp:keywords/>
  <dc:description/>
  <cp:lastModifiedBy>Kutláková, Vlasta, Mgr.</cp:lastModifiedBy>
  <cp:revision>2</cp:revision>
  <dcterms:created xsi:type="dcterms:W3CDTF">2023-04-14T10:43:00Z</dcterms:created>
  <dcterms:modified xsi:type="dcterms:W3CDTF">2023-04-14T10:43:00Z</dcterms:modified>
</cp:coreProperties>
</file>