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4F503" w14:textId="77777777" w:rsidR="005F29B1" w:rsidRPr="00F242C9" w:rsidRDefault="005F29B1" w:rsidP="00890157">
      <w:pPr>
        <w:spacing w:line="264" w:lineRule="auto"/>
        <w:jc w:val="center"/>
        <w:rPr>
          <w:b/>
          <w:color w:val="000000" w:themeColor="text1"/>
        </w:rPr>
      </w:pPr>
      <w:r w:rsidRPr="00F242C9">
        <w:rPr>
          <w:b/>
          <w:color w:val="000000" w:themeColor="text1"/>
        </w:rPr>
        <w:t>Dôvodová správa</w:t>
      </w:r>
    </w:p>
    <w:p w14:paraId="22085041" w14:textId="77777777" w:rsidR="005F29B1" w:rsidRPr="00F242C9" w:rsidRDefault="005F29B1" w:rsidP="00890157">
      <w:pPr>
        <w:pStyle w:val="AKSS"/>
        <w:spacing w:line="264" w:lineRule="auto"/>
        <w:jc w:val="lef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3FB9120" w14:textId="77777777" w:rsidR="005F29B1" w:rsidRPr="00F242C9" w:rsidRDefault="005F29B1" w:rsidP="00890157">
      <w:pPr>
        <w:pStyle w:val="AKSS"/>
        <w:spacing w:line="264" w:lineRule="auto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F242C9">
        <w:rPr>
          <w:rFonts w:ascii="Times New Roman" w:hAnsi="Times New Roman"/>
          <w:b/>
          <w:color w:val="000000" w:themeColor="text1"/>
          <w:sz w:val="24"/>
          <w:szCs w:val="24"/>
        </w:rPr>
        <w:t>A. Všeobecná časť</w:t>
      </w:r>
    </w:p>
    <w:p w14:paraId="46A06789" w14:textId="77777777" w:rsidR="005F29B1" w:rsidRPr="00F242C9" w:rsidRDefault="005F29B1" w:rsidP="00890157">
      <w:pPr>
        <w:pStyle w:val="Normlnywebov"/>
        <w:spacing w:after="0" w:line="264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bookmarkStart w:id="0" w:name="_Hlk63692947"/>
    </w:p>
    <w:bookmarkEnd w:id="0"/>
    <w:p w14:paraId="253DF474" w14:textId="257AB5A1" w:rsidR="002628A8" w:rsidRPr="00F242C9" w:rsidRDefault="005F29B1" w:rsidP="00F242C9">
      <w:pPr>
        <w:jc w:val="both"/>
        <w:rPr>
          <w:b/>
        </w:rPr>
      </w:pPr>
      <w:r w:rsidRPr="00F242C9">
        <w:rPr>
          <w:color w:val="000000" w:themeColor="text1"/>
        </w:rPr>
        <w:t xml:space="preserve">Návrh zákona, </w:t>
      </w:r>
      <w:r w:rsidR="00846FEA" w:rsidRPr="00F242C9">
        <w:rPr>
          <w:color w:val="000000" w:themeColor="text1"/>
        </w:rPr>
        <w:t xml:space="preserve">ktorým sa mení a dopĺňa zákon č. 250/2012 Z. z. o regulácii v sieťových odvetviach </w:t>
      </w:r>
      <w:r w:rsidR="00B44178" w:rsidRPr="00F242C9">
        <w:rPr>
          <w:color w:val="000000" w:themeColor="text1"/>
        </w:rPr>
        <w:t xml:space="preserve">v znení neskorších predpisov </w:t>
      </w:r>
      <w:r w:rsidR="00B44178" w:rsidRPr="00F242C9">
        <w:rPr>
          <w:rFonts w:eastAsia="Calibri"/>
          <w:color w:val="000000" w:themeColor="text1"/>
        </w:rPr>
        <w:t xml:space="preserve">a ktorým sa mení a dopĺňa </w:t>
      </w:r>
      <w:r w:rsidR="00B44178" w:rsidRPr="00F242C9">
        <w:rPr>
          <w:color w:val="000000" w:themeColor="text1"/>
        </w:rPr>
        <w:t xml:space="preserve">zákon č. 251/2012 Z. z. o energetike a o zmene a doplnení niektorých zákonov v znení neskorších predpisov </w:t>
      </w:r>
      <w:r w:rsidR="002628A8" w:rsidRPr="00F242C9">
        <w:rPr>
          <w:color w:val="000000" w:themeColor="text1"/>
        </w:rPr>
        <w:t xml:space="preserve">predkladajú na rokovanie Národnej rady Slovenskej republiky poslanci Národnej rady Slovenskej republiky </w:t>
      </w:r>
      <w:r w:rsidR="008514BE">
        <w:rPr>
          <w:color w:val="000000" w:themeColor="text1"/>
        </w:rPr>
        <w:t>Peter Kremský, Ľuboš Krajčír, Miloš Svrček a Jozef Hlinka</w:t>
      </w:r>
      <w:r w:rsidR="002628A8" w:rsidRPr="00F242C9">
        <w:rPr>
          <w:color w:val="000000" w:themeColor="text1"/>
        </w:rPr>
        <w:t xml:space="preserve">. </w:t>
      </w:r>
    </w:p>
    <w:p w14:paraId="19A965DB" w14:textId="77777777" w:rsidR="000C4729" w:rsidRPr="00F242C9" w:rsidRDefault="000C4729" w:rsidP="00890157">
      <w:pPr>
        <w:pStyle w:val="Normlnywebov"/>
        <w:spacing w:after="0" w:line="264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783ADAAD" w14:textId="4E79C69E" w:rsidR="000C4729" w:rsidRPr="00F242C9" w:rsidRDefault="000C4729" w:rsidP="00F242C9">
      <w:pPr>
        <w:autoSpaceDE w:val="0"/>
        <w:autoSpaceDN w:val="0"/>
        <w:adjustRightInd w:val="0"/>
        <w:ind w:firstLine="708"/>
        <w:jc w:val="both"/>
      </w:pPr>
      <w:r w:rsidRPr="00F242C9">
        <w:t xml:space="preserve">Hlavným zámerom zákona je </w:t>
      </w:r>
      <w:proofErr w:type="spellStart"/>
      <w:r w:rsidRPr="00F242C9">
        <w:t>prenastavenie</w:t>
      </w:r>
      <w:proofErr w:type="spellEnd"/>
      <w:r w:rsidRPr="00F242C9">
        <w:t xml:space="preserve"> podmienok výpočtu kompenzácií v režime krízovej regulácie,</w:t>
      </w:r>
      <w:r w:rsidRPr="00F242C9">
        <w:rPr>
          <w:color w:val="000000"/>
        </w:rPr>
        <w:t xml:space="preserve"> </w:t>
      </w:r>
      <w:r w:rsidRPr="00F242C9">
        <w:t>posilnenie ochrany koncových odberateľov elektriny a plynu a vytvorenie  dohľadu nad dodávateľmi elektriny a plynu.</w:t>
      </w:r>
    </w:p>
    <w:p w14:paraId="21F03F61" w14:textId="77777777" w:rsidR="000C4729" w:rsidRPr="00F242C9" w:rsidRDefault="000C4729" w:rsidP="00F242C9">
      <w:pPr>
        <w:autoSpaceDE w:val="0"/>
        <w:autoSpaceDN w:val="0"/>
        <w:adjustRightInd w:val="0"/>
        <w:jc w:val="both"/>
        <w:rPr>
          <w:color w:val="000000"/>
        </w:rPr>
      </w:pPr>
    </w:p>
    <w:p w14:paraId="5E6853EE" w14:textId="77777777" w:rsidR="000C4729" w:rsidRPr="00F242C9" w:rsidRDefault="000C4729" w:rsidP="00F242C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242C9">
        <w:rPr>
          <w:color w:val="000000"/>
        </w:rPr>
        <w:t xml:space="preserve">Viaceré nariadenia vlády SR vydané v rámci režimu krízovej regulácie podľa § 16a zákona č. 250/2012 Z. z. o regulácii v sieťových odvetviach v znení neskorších predpisov  (ďalej len „zákon o regulácii“) na </w:t>
      </w:r>
      <w:proofErr w:type="spellStart"/>
      <w:r w:rsidRPr="00F242C9">
        <w:rPr>
          <w:color w:val="000000"/>
        </w:rPr>
        <w:t>zastropovanie</w:t>
      </w:r>
      <w:proofErr w:type="spellEnd"/>
      <w:r w:rsidRPr="00F242C9">
        <w:rPr>
          <w:color w:val="000000"/>
        </w:rPr>
        <w:t xml:space="preserve"> cien energií za dodávku elektriny a plynu pre vybrané skupiny odberateľov stanovujú kompenzácie vysokých cien energií na základe rozdielu medzi cenovým stropom stanoveným vládu SR a zmluvnou cenou dodávateľov za dodávku pre zraniteľných odberateľov. Avšak dodávatelia nedostatočne aktualizujú zmluvné ceny elektriny a plynu pre regulovaných aj neregulovaných odberateľov v nadväznosti na klesajúce trhové ceny energií. Od začiatku roka 2023 trhové ceny elektriny a plynu klesli o približne</w:t>
      </w:r>
      <w:r w:rsidRPr="00F242C9">
        <w:t xml:space="preserve"> 50% </w:t>
      </w:r>
      <w:r w:rsidRPr="00F242C9">
        <w:rPr>
          <w:color w:val="000000"/>
        </w:rPr>
        <w:t xml:space="preserve">v porovnaní s decembrom 2022. Dodávatelia priebežne získavajú nových zraniteľných odberateľov, pre ktorých pravdepodobne nakupujú elektrinu a plyn za súčasné nízke trhové ceny energií. Potenciálne úspory nákladov na nákup energetických komodít však nie sú v dostatočnej miere premietané do úpravy zmluvných cien. </w:t>
      </w:r>
    </w:p>
    <w:p w14:paraId="6368A9A6" w14:textId="77777777" w:rsidR="000C4729" w:rsidRPr="00F242C9" w:rsidRDefault="000C4729" w:rsidP="000C4729">
      <w:pPr>
        <w:autoSpaceDE w:val="0"/>
        <w:autoSpaceDN w:val="0"/>
        <w:adjustRightInd w:val="0"/>
        <w:jc w:val="both"/>
        <w:rPr>
          <w:color w:val="000000"/>
        </w:rPr>
      </w:pPr>
    </w:p>
    <w:p w14:paraId="41413D7D" w14:textId="77777777" w:rsidR="000C4729" w:rsidRPr="00F242C9" w:rsidRDefault="000C4729" w:rsidP="00F242C9">
      <w:pPr>
        <w:ind w:firstLine="708"/>
        <w:jc w:val="both"/>
      </w:pPr>
      <w:r w:rsidRPr="00F242C9">
        <w:rPr>
          <w:color w:val="000000" w:themeColor="text1"/>
        </w:rPr>
        <w:t xml:space="preserve">Keďže trh dodávky elektriny a plynu indikuje známky nedostatočnej konkurencie medzi dodávateľmi, vznikajú riziká pre zdroje štátneho rozpočtu využívané pri kompenzáciách. </w:t>
      </w:r>
      <w:r w:rsidRPr="00F242C9">
        <w:t xml:space="preserve">Nízka miera aktualizácie cenníkov dodávky pre regulovaných aj neregulovaných odberateľov totiž indikuje snahu niektorých dodávateľov o maximalizáciu kompenzácií zo štátneho rozpočtu napriek nižším nákladom na energie pre nových odberateľov. Rôznorodosť a nejednoznačnosť označovania cenníkov vytvára otázniky pri ich použití v rámci  výpočtu kompenzácií v schémach MHSR, </w:t>
      </w:r>
      <w:proofErr w:type="spellStart"/>
      <w:r w:rsidRPr="00F242C9">
        <w:t>t.j</w:t>
      </w:r>
      <w:proofErr w:type="spellEnd"/>
      <w:r w:rsidRPr="00F242C9">
        <w:t>., ktorý cenník je používaný pre účely výpočtu kompenzácií.</w:t>
      </w:r>
    </w:p>
    <w:p w14:paraId="7EE0CBBC" w14:textId="77777777" w:rsidR="000C4729" w:rsidRPr="00F242C9" w:rsidRDefault="000C4729" w:rsidP="000C4729">
      <w:pPr>
        <w:jc w:val="both"/>
      </w:pPr>
    </w:p>
    <w:p w14:paraId="10F4D7A5" w14:textId="77777777" w:rsidR="000C4729" w:rsidRPr="00F242C9" w:rsidRDefault="000C4729" w:rsidP="00F242C9">
      <w:pPr>
        <w:ind w:firstLine="708"/>
        <w:jc w:val="both"/>
      </w:pPr>
      <w:r w:rsidRPr="00F242C9">
        <w:t xml:space="preserve">Vzhľadom na uvedené okolnosti by bolo potrebné </w:t>
      </w:r>
      <w:proofErr w:type="spellStart"/>
      <w:r w:rsidRPr="00F242C9">
        <w:t>prenastaviť</w:t>
      </w:r>
      <w:proofErr w:type="spellEnd"/>
      <w:r w:rsidRPr="00F242C9">
        <w:t xml:space="preserve"> súčasný spôsob kalkulácie kompenzácii pri dodávke elektriny a plynu v rámci schém MHSR. Zároveň by bolo potrebné posilniť dohľad nad dodávateľmi elektriny a plynu pre koncových odberateľov s cieľom zreálnenia zmluvných cien v nadväznosti na vývoj trhových cien energií a umožniť odberateľom lepšiu ponuku férových podmienok a cien dodávky elektriny a plynu.</w:t>
      </w:r>
    </w:p>
    <w:p w14:paraId="1C01A198" w14:textId="77777777" w:rsidR="000C4729" w:rsidRPr="00F242C9" w:rsidRDefault="000C4729" w:rsidP="000C4729">
      <w:pPr>
        <w:jc w:val="both"/>
      </w:pPr>
    </w:p>
    <w:p w14:paraId="05A11718" w14:textId="77777777" w:rsidR="000C4729" w:rsidRPr="00F242C9" w:rsidRDefault="000C4729" w:rsidP="00F242C9">
      <w:pPr>
        <w:ind w:firstLine="708"/>
        <w:jc w:val="both"/>
        <w:rPr>
          <w:color w:val="000000"/>
        </w:rPr>
      </w:pPr>
      <w:r w:rsidRPr="00F242C9">
        <w:rPr>
          <w:color w:val="000000"/>
        </w:rPr>
        <w:t xml:space="preserve">Pri výpočte kompenzácií počas krízovej regulácie sa navrhuje využiť ukazovateľ tzv. čistých nákladov, ktorý je už v súčasnosti používaný pri výpočte kompenzácií počas platnosti rozhodnutia o uložení povinnosti vo všeobecnom hospodárskom záujme. Týmto by spôsob výpočtu kompenzácií bol rovnaký v oboch prípadoch mimoriadnych opatrení vlády SR v energetike. Keďže podľa § 16a ods. 3 zákona o regulácii má vláda SR kompetenciu určovať nielen ceny, ale aj podmienky uplatňovania cien, po navrhovanej zmene by mohla nastaviť podmienky kompenzácií napríklad tak, že cena dodávky by bola X% voči reálnym nákladom na nákup komodity, najviac však vo výške XY €/MWh. Keďže už v súčasnosti má vláda možnosť určiť ceny individuálne pre každý jeden regulovaný subjekt, výška kompenzácie by </w:t>
      </w:r>
      <w:r w:rsidRPr="00F242C9">
        <w:rPr>
          <w:color w:val="000000"/>
        </w:rPr>
        <w:lastRenderedPageBreak/>
        <w:t>sa mohla určovať ako rozdiel medzi takto určenou cenou nariadením vlády a cenovým stropom, ktorý majú uplatňovať dodávatelia voči odberateľom elektriny a plynu.</w:t>
      </w:r>
    </w:p>
    <w:p w14:paraId="0FFFA327" w14:textId="77777777" w:rsidR="000C4729" w:rsidRPr="00F242C9" w:rsidRDefault="000C4729" w:rsidP="000C4729">
      <w:pPr>
        <w:autoSpaceDE w:val="0"/>
        <w:autoSpaceDN w:val="0"/>
        <w:adjustRightInd w:val="0"/>
        <w:jc w:val="both"/>
        <w:rPr>
          <w:color w:val="000000"/>
        </w:rPr>
      </w:pPr>
    </w:p>
    <w:p w14:paraId="5D22C1D1" w14:textId="77777777" w:rsidR="000C4729" w:rsidRPr="00F242C9" w:rsidRDefault="000C4729" w:rsidP="00F242C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242C9">
        <w:rPr>
          <w:color w:val="000000"/>
        </w:rPr>
        <w:t xml:space="preserve">Vláda SR by mala tiež možnosť posúdiť výhodnosť aplikácie nariadení vlády SR prijatých v režime krízovej regulácie v porovnaní s uložením povinnosti vo všeobecnom hospodárskom záujme podľa § 24 ods. 3 písm. a) zákona č. 251/2012 Z. z. o energetike a o zmene a doplnení niektorých zákonov v znení neskorších predpisov, </w:t>
      </w:r>
      <w:proofErr w:type="spellStart"/>
      <w:r w:rsidRPr="00F242C9">
        <w:rPr>
          <w:color w:val="000000"/>
        </w:rPr>
        <w:t>t.j</w:t>
      </w:r>
      <w:proofErr w:type="spellEnd"/>
      <w:r w:rsidRPr="00F242C9">
        <w:rPr>
          <w:color w:val="000000"/>
        </w:rPr>
        <w:t>. dodávateľ by mal uloženú povinnosť zabezpečiť dodávku elektriny alebo plynu v určenej kvalite a cene. Po prijatí navrhovaných zmien by sa v oboch prípadoch posudzovali nároky na kompenzácie na základe nákladových ukazovateľov, a nie na základe zmluvných alebo regulovaných cien ako v súčasnosti.</w:t>
      </w:r>
    </w:p>
    <w:p w14:paraId="1972670A" w14:textId="77777777" w:rsidR="000C4729" w:rsidRPr="00F242C9" w:rsidRDefault="000C4729" w:rsidP="000C4729">
      <w:pPr>
        <w:autoSpaceDE w:val="0"/>
        <w:autoSpaceDN w:val="0"/>
        <w:adjustRightInd w:val="0"/>
        <w:jc w:val="both"/>
        <w:rPr>
          <w:color w:val="000000"/>
        </w:rPr>
      </w:pPr>
    </w:p>
    <w:p w14:paraId="54E7A4A0" w14:textId="77777777" w:rsidR="000C4729" w:rsidRPr="00F242C9" w:rsidRDefault="000C4729" w:rsidP="00F242C9">
      <w:pPr>
        <w:autoSpaceDE w:val="0"/>
        <w:autoSpaceDN w:val="0"/>
        <w:adjustRightInd w:val="0"/>
        <w:ind w:firstLine="708"/>
        <w:jc w:val="both"/>
      </w:pPr>
      <w:r w:rsidRPr="00F242C9">
        <w:rPr>
          <w:color w:val="000000"/>
        </w:rPr>
        <w:t xml:space="preserve">Zároveň sa navrhuje posilnenie dohľadu nad dodávateľmi elektriny a plynu s cieľom zvýšenej ochrany koncových  odberateľov pred neprimeranými cenami. </w:t>
      </w:r>
      <w:r w:rsidRPr="00F242C9">
        <w:t>ÚRSO by vykonával dohľad nad dodávateľmi, vyhodnocoval by podmienky nákupu a </w:t>
      </w:r>
      <w:proofErr w:type="spellStart"/>
      <w:r w:rsidRPr="00F242C9">
        <w:t>zazmluvnenia</w:t>
      </w:r>
      <w:proofErr w:type="spellEnd"/>
      <w:r w:rsidRPr="00F242C9">
        <w:t xml:space="preserve"> elektriny a plynu z pohľadu primeraného rizika dodávateľského portfólia a uplatňoval by nápravné opatrenia v prípade porušenia predpísaných parametrov. Navrhuje sa zaviesť povinnosť pre dodávateľov poskytovať ÚRSO údaje o cenách a objemoch nákupu komodity dodávateľmi ako aj o cenách a objemoch v zmluvách na dodávku elektriny a plynu s koncovými odberateľmi. Úpravou už jestvujúcej povinnosti pre regulované subjekty sa zabezpečí v rozsahu, spôsobom a v termínoch, ktoré určí úrad, predkladanie údajov o nákladoch dodávateľov elektriny a plynu viažucich sa k nákupu elektriny a plynu pre zabezpečenie dodávky elektriny a plynu pre svojich </w:t>
      </w:r>
      <w:proofErr w:type="spellStart"/>
      <w:r w:rsidRPr="00F242C9">
        <w:t>zazmluvnených</w:t>
      </w:r>
      <w:proofErr w:type="spellEnd"/>
      <w:r w:rsidRPr="00F242C9">
        <w:t xml:space="preserve"> odberateľov. Zároveň by dodávatelia mali povinnosť dodržiavať primeranosť nákupného a zmluvného portfólia dodávky elektriny a plynu a pravidelne aktualizovať a zverejňovať cenové ponuky pre neregulovaných koncových odberateľov elektriny a plynu. </w:t>
      </w:r>
    </w:p>
    <w:p w14:paraId="55A37E97" w14:textId="77777777" w:rsidR="000C4729" w:rsidRPr="00F242C9" w:rsidRDefault="000C4729" w:rsidP="000C4729">
      <w:pPr>
        <w:autoSpaceDE w:val="0"/>
        <w:autoSpaceDN w:val="0"/>
        <w:adjustRightInd w:val="0"/>
        <w:jc w:val="both"/>
      </w:pPr>
    </w:p>
    <w:p w14:paraId="7C3C5958" w14:textId="77777777" w:rsidR="000C4729" w:rsidRPr="00F242C9" w:rsidRDefault="000C4729" w:rsidP="00F242C9">
      <w:pPr>
        <w:autoSpaceDE w:val="0"/>
        <w:autoSpaceDN w:val="0"/>
        <w:adjustRightInd w:val="0"/>
        <w:ind w:firstLine="708"/>
        <w:jc w:val="both"/>
      </w:pPr>
      <w:r w:rsidRPr="00F242C9">
        <w:t xml:space="preserve">V neposlednom rade sa upresňujú ustanovenia o práve odberateľa na zmenu dodávateľa s cieľom umožniť im zmenu dodávateľa kedykoľvek to považujú za vhodné a zároveň sa posúva termín pre prihlásenie sa odberateľov do dodávky elektriny alebo plynu za cenu regulovanú úradom na ďalší kalendárny rok z 31. marca na 30. novembra predchádzajúceho roka. Uvedené opatrenia posilnia konkurenciu medzi dodávateľmi elektriny a plynu, môžu prispieť k tlaku na aktualizáciu ich cenníkov pre odberateľov, a umožnia dotknutým odberateľom lepšie sa rozhodnúť o výhodnosti regulovaných alebo neregulovaných cien za dodávku elektriny a plynu na ďalší kalendárny rok. </w:t>
      </w:r>
    </w:p>
    <w:p w14:paraId="323C73CA" w14:textId="77777777" w:rsidR="000C4729" w:rsidRPr="00F242C9" w:rsidRDefault="000C4729" w:rsidP="000C4729">
      <w:pPr>
        <w:autoSpaceDE w:val="0"/>
        <w:autoSpaceDN w:val="0"/>
        <w:adjustRightInd w:val="0"/>
        <w:jc w:val="both"/>
      </w:pPr>
    </w:p>
    <w:p w14:paraId="5432D8BC" w14:textId="77777777" w:rsidR="000C4729" w:rsidRPr="00F242C9" w:rsidRDefault="000C4729" w:rsidP="00F242C9">
      <w:pPr>
        <w:autoSpaceDE w:val="0"/>
        <w:autoSpaceDN w:val="0"/>
        <w:adjustRightInd w:val="0"/>
        <w:ind w:firstLine="708"/>
        <w:jc w:val="both"/>
      </w:pPr>
      <w:r w:rsidRPr="00F242C9">
        <w:t xml:space="preserve">Navrhuje sa tiež eliminácia platnosti cenových rozhodnutí za dodávku elektriny a plynu na jeden kalendárny roka a umožnenie ich platnosti na celé regulačné obdobie rovnako, ako iné cenové rozhodnutia úradu. Uvedené opatrenie umožní stabilizáciu a predvídateľnosť regulovaných cien za dodávku elektriny pre zraniteľných odberateľov. </w:t>
      </w:r>
    </w:p>
    <w:p w14:paraId="2653028C" w14:textId="77777777" w:rsidR="00141383" w:rsidRPr="00F242C9" w:rsidRDefault="005F29B1" w:rsidP="00890157">
      <w:pPr>
        <w:tabs>
          <w:tab w:val="left" w:pos="720"/>
        </w:tabs>
        <w:spacing w:line="264" w:lineRule="auto"/>
        <w:jc w:val="both"/>
        <w:rPr>
          <w:color w:val="000000" w:themeColor="text1"/>
        </w:rPr>
      </w:pPr>
      <w:r w:rsidRPr="00F242C9">
        <w:rPr>
          <w:color w:val="000000" w:themeColor="text1"/>
        </w:rPr>
        <w:tab/>
      </w:r>
    </w:p>
    <w:p w14:paraId="6090F48B" w14:textId="250A7C27" w:rsidR="005F29B1" w:rsidRPr="00F242C9" w:rsidRDefault="00141383" w:rsidP="00890157">
      <w:pPr>
        <w:tabs>
          <w:tab w:val="left" w:pos="720"/>
        </w:tabs>
        <w:spacing w:line="264" w:lineRule="auto"/>
        <w:jc w:val="both"/>
        <w:rPr>
          <w:color w:val="000000" w:themeColor="text1"/>
        </w:rPr>
      </w:pPr>
      <w:r w:rsidRPr="00F242C9">
        <w:rPr>
          <w:color w:val="000000" w:themeColor="text1"/>
        </w:rPr>
        <w:tab/>
      </w:r>
      <w:r w:rsidR="005F29B1" w:rsidRPr="00F242C9">
        <w:rPr>
          <w:color w:val="000000" w:themeColor="text1"/>
        </w:rPr>
        <w:t xml:space="preserve">Návrh zákona </w:t>
      </w:r>
      <w:r w:rsidR="00E65651" w:rsidRPr="00F242C9">
        <w:rPr>
          <w:color w:val="000000" w:themeColor="text1"/>
        </w:rPr>
        <w:t>ne</w:t>
      </w:r>
      <w:r w:rsidR="005F29B1" w:rsidRPr="00F242C9">
        <w:rPr>
          <w:color w:val="000000" w:themeColor="text1"/>
        </w:rPr>
        <w:t>bude mať vplyv na rozpočet verejnej správy</w:t>
      </w:r>
      <w:r w:rsidRPr="00F242C9">
        <w:rPr>
          <w:color w:val="000000" w:themeColor="text1"/>
        </w:rPr>
        <w:t xml:space="preserve">, vplyv na manželstvo, rodičovstvo a rodinu, vplyv na životné prostredie. Nebude mať vplyv na informatizáciu spoločnosti, ani na služby verejnej správy pre občana. </w:t>
      </w:r>
      <w:r w:rsidR="00E65651" w:rsidRPr="00F242C9">
        <w:rPr>
          <w:color w:val="000000" w:themeColor="text1"/>
        </w:rPr>
        <w:t xml:space="preserve">Návrh zákona má </w:t>
      </w:r>
      <w:r w:rsidR="00E324D1" w:rsidRPr="00F242C9">
        <w:rPr>
          <w:color w:val="000000" w:themeColor="text1"/>
        </w:rPr>
        <w:t>pozitívne sociálne vplyvy</w:t>
      </w:r>
      <w:r w:rsidRPr="00F242C9">
        <w:rPr>
          <w:color w:val="000000" w:themeColor="text1"/>
        </w:rPr>
        <w:t xml:space="preserve"> (ochrana koncových odberateľov – domácnost</w:t>
      </w:r>
      <w:r w:rsidR="00846FEA" w:rsidRPr="00F242C9">
        <w:rPr>
          <w:color w:val="000000" w:themeColor="text1"/>
        </w:rPr>
        <w:t>í</w:t>
      </w:r>
      <w:r w:rsidRPr="00F242C9">
        <w:rPr>
          <w:color w:val="000000" w:themeColor="text1"/>
        </w:rPr>
        <w:t xml:space="preserve">) a </w:t>
      </w:r>
      <w:r w:rsidR="005F29B1" w:rsidRPr="00F242C9">
        <w:rPr>
          <w:color w:val="000000" w:themeColor="text1"/>
        </w:rPr>
        <w:t>pozitívny vplyv na podnikateľské prostredie</w:t>
      </w:r>
      <w:r w:rsidRPr="00F242C9">
        <w:rPr>
          <w:color w:val="000000" w:themeColor="text1"/>
        </w:rPr>
        <w:t xml:space="preserve"> (ochrana koncových odberateľov – podnikateľov).</w:t>
      </w:r>
      <w:r w:rsidR="007C154F" w:rsidRPr="00F242C9">
        <w:rPr>
          <w:color w:val="000000" w:themeColor="text1"/>
        </w:rPr>
        <w:t xml:space="preserve"> </w:t>
      </w:r>
    </w:p>
    <w:p w14:paraId="3C149BBB" w14:textId="77777777" w:rsidR="007C154F" w:rsidRPr="00F242C9" w:rsidRDefault="007C154F" w:rsidP="00890157">
      <w:pPr>
        <w:tabs>
          <w:tab w:val="left" w:pos="720"/>
        </w:tabs>
        <w:spacing w:line="264" w:lineRule="auto"/>
        <w:jc w:val="both"/>
        <w:rPr>
          <w:color w:val="000000" w:themeColor="text1"/>
        </w:rPr>
      </w:pPr>
    </w:p>
    <w:p w14:paraId="44ECDC41" w14:textId="6E576447" w:rsidR="00F01854" w:rsidRPr="00F242C9" w:rsidRDefault="005F29B1" w:rsidP="00D12B2F">
      <w:pPr>
        <w:tabs>
          <w:tab w:val="left" w:pos="720"/>
        </w:tabs>
        <w:spacing w:line="264" w:lineRule="auto"/>
        <w:jc w:val="both"/>
        <w:rPr>
          <w:color w:val="000000" w:themeColor="text1"/>
        </w:rPr>
      </w:pPr>
      <w:r w:rsidRPr="00F242C9">
        <w:rPr>
          <w:color w:val="000000" w:themeColor="text1"/>
        </w:rPr>
        <w:tab/>
        <w:t xml:space="preserve">Návrh zákona je v súlade s Ústavou Slovenskej republiky, ústavnými zákonmi a nálezmi Ústavného súdu Slovenskej republiky, so zákonmi a ostatnými všeobecne záväznými právnymi </w:t>
      </w:r>
      <w:r w:rsidRPr="00F242C9">
        <w:rPr>
          <w:color w:val="000000" w:themeColor="text1"/>
        </w:rPr>
        <w:lastRenderedPageBreak/>
        <w:t>predpismi, medzinárodnými zmluvami, ktorými je Slovenská republika viazaná, ako aj s právom Európskej únie</w:t>
      </w:r>
      <w:r w:rsidR="007C154F" w:rsidRPr="00F242C9">
        <w:rPr>
          <w:color w:val="000000" w:themeColor="text1"/>
        </w:rPr>
        <w:t>.</w:t>
      </w:r>
    </w:p>
    <w:p w14:paraId="6ABAA67C" w14:textId="77777777" w:rsidR="00F01854" w:rsidRPr="00F242C9" w:rsidRDefault="00F01854" w:rsidP="007F4A49">
      <w:pPr>
        <w:tabs>
          <w:tab w:val="left" w:pos="720"/>
        </w:tabs>
        <w:spacing w:line="264" w:lineRule="auto"/>
        <w:jc w:val="both"/>
        <w:rPr>
          <w:color w:val="000000" w:themeColor="text1"/>
        </w:rPr>
      </w:pPr>
    </w:p>
    <w:p w14:paraId="0ED7D6A2" w14:textId="46D3CF5B" w:rsidR="0022029E" w:rsidRPr="00F242C9" w:rsidRDefault="00D12B2F" w:rsidP="00890157">
      <w:pPr>
        <w:spacing w:line="264" w:lineRule="auto"/>
        <w:ind w:firstLine="708"/>
        <w:jc w:val="both"/>
        <w:rPr>
          <w:color w:val="000000" w:themeColor="text1"/>
        </w:rPr>
      </w:pPr>
      <w:r w:rsidRPr="00F242C9">
        <w:rPr>
          <w:color w:val="000000" w:themeColor="text1"/>
        </w:rPr>
        <w:t>Ú</w:t>
      </w:r>
      <w:r w:rsidR="0022029E" w:rsidRPr="00F242C9">
        <w:rPr>
          <w:color w:val="000000" w:themeColor="text1"/>
        </w:rPr>
        <w:t>činnos</w:t>
      </w:r>
      <w:r w:rsidR="00A94372" w:rsidRPr="00F242C9">
        <w:rPr>
          <w:color w:val="000000" w:themeColor="text1"/>
        </w:rPr>
        <w:t>ť</w:t>
      </w:r>
      <w:r w:rsidR="0022029E" w:rsidRPr="00F242C9">
        <w:rPr>
          <w:color w:val="000000" w:themeColor="text1"/>
        </w:rPr>
        <w:t xml:space="preserve"> zákona </w:t>
      </w:r>
      <w:r w:rsidRPr="00F242C9">
        <w:rPr>
          <w:color w:val="000000" w:themeColor="text1"/>
        </w:rPr>
        <w:t xml:space="preserve">sa </w:t>
      </w:r>
      <w:r w:rsidR="0022029E" w:rsidRPr="00F242C9">
        <w:rPr>
          <w:color w:val="000000" w:themeColor="text1"/>
        </w:rPr>
        <w:t xml:space="preserve">navrhuje </w:t>
      </w:r>
      <w:r w:rsidR="00885AB6" w:rsidRPr="00F242C9">
        <w:rPr>
          <w:color w:val="000000" w:themeColor="text1"/>
        </w:rPr>
        <w:t>dňom vyhlásenia</w:t>
      </w:r>
      <w:r w:rsidRPr="00F242C9">
        <w:rPr>
          <w:color w:val="000000" w:themeColor="text1"/>
        </w:rPr>
        <w:t>.</w:t>
      </w:r>
    </w:p>
    <w:p w14:paraId="0E3EAB9D" w14:textId="77777777" w:rsidR="001B4A35" w:rsidRPr="00F242C9" w:rsidRDefault="001B4A35" w:rsidP="00890157">
      <w:pPr>
        <w:spacing w:line="264" w:lineRule="auto"/>
        <w:ind w:firstLine="708"/>
        <w:rPr>
          <w:b/>
          <w:color w:val="000000" w:themeColor="text1"/>
        </w:rPr>
      </w:pPr>
    </w:p>
    <w:p w14:paraId="562163AA" w14:textId="77777777" w:rsidR="001B4A35" w:rsidRPr="00F242C9" w:rsidRDefault="001B4A35" w:rsidP="001B4A35">
      <w:pPr>
        <w:jc w:val="both"/>
        <w:rPr>
          <w:color w:val="000000"/>
        </w:rPr>
      </w:pPr>
    </w:p>
    <w:p w14:paraId="59F948B9" w14:textId="77777777" w:rsidR="001B4A35" w:rsidRPr="00F242C9" w:rsidRDefault="001B4A35" w:rsidP="001B4A35">
      <w:pPr>
        <w:rPr>
          <w:color w:val="000000"/>
        </w:rPr>
      </w:pPr>
    </w:p>
    <w:p w14:paraId="028D3A93" w14:textId="326E1AFD" w:rsidR="005F29B1" w:rsidRPr="00F242C9" w:rsidRDefault="005F29B1" w:rsidP="00890157">
      <w:pPr>
        <w:spacing w:line="264" w:lineRule="auto"/>
        <w:ind w:firstLine="708"/>
        <w:rPr>
          <w:b/>
          <w:color w:val="000000" w:themeColor="text1"/>
        </w:rPr>
      </w:pPr>
      <w:r w:rsidRPr="00F242C9">
        <w:rPr>
          <w:b/>
          <w:color w:val="000000" w:themeColor="text1"/>
        </w:rPr>
        <w:br w:type="page"/>
      </w:r>
    </w:p>
    <w:p w14:paraId="278F7165" w14:textId="77777777" w:rsidR="005F29B1" w:rsidRPr="00F242C9" w:rsidRDefault="005F29B1" w:rsidP="00890157">
      <w:pPr>
        <w:pStyle w:val="AKSS"/>
        <w:spacing w:line="264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242C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B. Osobitná časť</w:t>
      </w:r>
    </w:p>
    <w:p w14:paraId="44FDFC91" w14:textId="77777777" w:rsidR="005F29B1" w:rsidRPr="00F242C9" w:rsidRDefault="005F29B1" w:rsidP="00890157">
      <w:pPr>
        <w:pStyle w:val="AKSS"/>
        <w:spacing w:line="264" w:lineRule="auto"/>
        <w:ind w:left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5ECF2E73" w14:textId="77777777" w:rsidR="005F29B1" w:rsidRPr="00F242C9" w:rsidRDefault="005F29B1" w:rsidP="00890157">
      <w:pPr>
        <w:spacing w:line="264" w:lineRule="auto"/>
        <w:rPr>
          <w:b/>
          <w:color w:val="000000" w:themeColor="text1"/>
        </w:rPr>
      </w:pPr>
      <w:r w:rsidRPr="00F242C9">
        <w:rPr>
          <w:b/>
          <w:color w:val="000000" w:themeColor="text1"/>
        </w:rPr>
        <w:t xml:space="preserve">K Čl. I </w:t>
      </w:r>
    </w:p>
    <w:p w14:paraId="4D35E192" w14:textId="77777777" w:rsidR="005F29B1" w:rsidRPr="00F242C9" w:rsidRDefault="005F29B1" w:rsidP="00890157">
      <w:pPr>
        <w:spacing w:line="264" w:lineRule="auto"/>
        <w:rPr>
          <w:color w:val="000000" w:themeColor="text1"/>
        </w:rPr>
      </w:pPr>
    </w:p>
    <w:p w14:paraId="4EAA0A21" w14:textId="11D265C6" w:rsidR="00C612C0" w:rsidRPr="00F242C9" w:rsidRDefault="005F29B1" w:rsidP="00E22441">
      <w:pPr>
        <w:spacing w:line="264" w:lineRule="auto"/>
        <w:jc w:val="both"/>
        <w:rPr>
          <w:b/>
          <w:color w:val="000000" w:themeColor="text1"/>
        </w:rPr>
      </w:pPr>
      <w:r w:rsidRPr="00F242C9">
        <w:rPr>
          <w:b/>
          <w:color w:val="000000" w:themeColor="text1"/>
        </w:rPr>
        <w:t>K</w:t>
      </w:r>
      <w:r w:rsidR="00C87001" w:rsidRPr="00F242C9">
        <w:rPr>
          <w:b/>
          <w:color w:val="000000" w:themeColor="text1"/>
        </w:rPr>
        <w:t> </w:t>
      </w:r>
      <w:r w:rsidRPr="00F242C9">
        <w:rPr>
          <w:b/>
          <w:color w:val="000000" w:themeColor="text1"/>
        </w:rPr>
        <w:t>bod</w:t>
      </w:r>
      <w:r w:rsidR="00C612C0" w:rsidRPr="00F242C9">
        <w:rPr>
          <w:b/>
          <w:color w:val="000000" w:themeColor="text1"/>
        </w:rPr>
        <w:t>u</w:t>
      </w:r>
      <w:r w:rsidRPr="00F242C9">
        <w:rPr>
          <w:b/>
          <w:color w:val="000000" w:themeColor="text1"/>
        </w:rPr>
        <w:t xml:space="preserve"> 1</w:t>
      </w:r>
      <w:r w:rsidR="004E5DE2" w:rsidRPr="00F242C9">
        <w:rPr>
          <w:b/>
          <w:color w:val="000000" w:themeColor="text1"/>
        </w:rPr>
        <w:t xml:space="preserve"> </w:t>
      </w:r>
    </w:p>
    <w:p w14:paraId="5EC5EFAF" w14:textId="2B05F358" w:rsidR="00FD5300" w:rsidRPr="00F242C9" w:rsidRDefault="004E5DE2" w:rsidP="00E22441">
      <w:pPr>
        <w:spacing w:line="264" w:lineRule="auto"/>
        <w:jc w:val="both"/>
        <w:rPr>
          <w:color w:val="000000" w:themeColor="text1"/>
        </w:rPr>
      </w:pPr>
      <w:r w:rsidRPr="00F242C9">
        <w:rPr>
          <w:color w:val="000000" w:themeColor="text1"/>
        </w:rPr>
        <w:t xml:space="preserve">Navrhuje sa </w:t>
      </w:r>
      <w:r w:rsidR="00FD5300" w:rsidRPr="00F242C9">
        <w:rPr>
          <w:color w:val="000000" w:themeColor="text1"/>
        </w:rPr>
        <w:t>dopln</w:t>
      </w:r>
      <w:r w:rsidR="00AC37C3" w:rsidRPr="00F242C9">
        <w:rPr>
          <w:color w:val="000000" w:themeColor="text1"/>
        </w:rPr>
        <w:t>enie</w:t>
      </w:r>
      <w:r w:rsidR="00FD5300" w:rsidRPr="00F242C9">
        <w:rPr>
          <w:color w:val="000000" w:themeColor="text1"/>
        </w:rPr>
        <w:t xml:space="preserve"> ustanoveni</w:t>
      </w:r>
      <w:r w:rsidR="00AC37C3" w:rsidRPr="00F242C9">
        <w:rPr>
          <w:color w:val="000000" w:themeColor="text1"/>
        </w:rPr>
        <w:t>a</w:t>
      </w:r>
      <w:r w:rsidR="00FD5300" w:rsidRPr="00F242C9">
        <w:rPr>
          <w:color w:val="000000" w:themeColor="text1"/>
        </w:rPr>
        <w:t xml:space="preserve"> § 9 ods. 1 o novú kompetenciu úradu, a to vypracúvať a zverejňovať metodiku hodnotenia dodávateľov elektriny a dodávateľov plynu pri plnení povinností zabezpečiť množstvo elektriny (§</w:t>
      </w:r>
      <w:r w:rsidR="00C62337" w:rsidRPr="00F242C9">
        <w:rPr>
          <w:color w:val="000000" w:themeColor="text1"/>
        </w:rPr>
        <w:t xml:space="preserve"> </w:t>
      </w:r>
      <w:r w:rsidR="00FD5300" w:rsidRPr="00F242C9">
        <w:rPr>
          <w:color w:val="000000" w:themeColor="text1"/>
        </w:rPr>
        <w:t>34 ods. 11 zákona o energetike)</w:t>
      </w:r>
      <w:r w:rsidR="00846FEA" w:rsidRPr="00F242C9">
        <w:rPr>
          <w:color w:val="000000" w:themeColor="text1"/>
        </w:rPr>
        <w:t>,</w:t>
      </w:r>
      <w:r w:rsidR="00FD5300" w:rsidRPr="00F242C9">
        <w:rPr>
          <w:color w:val="000000" w:themeColor="text1"/>
        </w:rPr>
        <w:t xml:space="preserve"> alebo množstvo plynu (§</w:t>
      </w:r>
      <w:r w:rsidR="00C62337" w:rsidRPr="00F242C9">
        <w:rPr>
          <w:color w:val="000000" w:themeColor="text1"/>
        </w:rPr>
        <w:t xml:space="preserve"> </w:t>
      </w:r>
      <w:r w:rsidR="00FD5300" w:rsidRPr="00F242C9">
        <w:rPr>
          <w:color w:val="000000" w:themeColor="text1"/>
        </w:rPr>
        <w:t xml:space="preserve">69 ods. 7 zákona o energetike). Táto metodika bude slúžiť následne na vyhodnocovanie plnenia povinnosti dodávateľov elektriny a dodávateľov plynu pri plnení uvedených zákonných povinností. </w:t>
      </w:r>
    </w:p>
    <w:p w14:paraId="235AC6E5" w14:textId="77777777" w:rsidR="00FD5300" w:rsidRPr="00F242C9" w:rsidRDefault="00FD5300" w:rsidP="00E22441">
      <w:pPr>
        <w:spacing w:line="264" w:lineRule="auto"/>
        <w:jc w:val="both"/>
        <w:rPr>
          <w:color w:val="000000" w:themeColor="text1"/>
        </w:rPr>
      </w:pPr>
    </w:p>
    <w:p w14:paraId="54C40AF8" w14:textId="32D085EA" w:rsidR="00FD5300" w:rsidRPr="00F242C9" w:rsidRDefault="00FD5300" w:rsidP="00FD5300">
      <w:pPr>
        <w:spacing w:line="264" w:lineRule="auto"/>
        <w:jc w:val="both"/>
        <w:rPr>
          <w:b/>
          <w:color w:val="000000" w:themeColor="text1"/>
        </w:rPr>
      </w:pPr>
      <w:r w:rsidRPr="00F242C9">
        <w:rPr>
          <w:b/>
          <w:color w:val="000000" w:themeColor="text1"/>
        </w:rPr>
        <w:t xml:space="preserve">K bodu 2 </w:t>
      </w:r>
    </w:p>
    <w:p w14:paraId="7820A673" w14:textId="0BC39EA8" w:rsidR="00FD5300" w:rsidRPr="00F242C9" w:rsidRDefault="00FD5300" w:rsidP="00E22441">
      <w:pPr>
        <w:spacing w:line="264" w:lineRule="auto"/>
        <w:jc w:val="both"/>
        <w:rPr>
          <w:color w:val="000000" w:themeColor="text1"/>
        </w:rPr>
      </w:pPr>
      <w:r w:rsidRPr="00F242C9">
        <w:rPr>
          <w:color w:val="000000" w:themeColor="text1"/>
        </w:rPr>
        <w:t>Navrhuje sa dopln</w:t>
      </w:r>
      <w:r w:rsidR="00AC37C3" w:rsidRPr="00F242C9">
        <w:rPr>
          <w:color w:val="000000" w:themeColor="text1"/>
        </w:rPr>
        <w:t>enie</w:t>
      </w:r>
      <w:r w:rsidRPr="00F242C9">
        <w:rPr>
          <w:color w:val="000000" w:themeColor="text1"/>
        </w:rPr>
        <w:t xml:space="preserve"> právomoc</w:t>
      </w:r>
      <w:r w:rsidR="00AC37C3" w:rsidRPr="00F242C9">
        <w:rPr>
          <w:color w:val="000000" w:themeColor="text1"/>
        </w:rPr>
        <w:t>i</w:t>
      </w:r>
      <w:r w:rsidRPr="00F242C9">
        <w:rPr>
          <w:color w:val="000000" w:themeColor="text1"/>
        </w:rPr>
        <w:t xml:space="preserve"> úradu vyhodnocovať plnenie povinnosti dodávateľov elektriny a dodávateľov plynu pri plnení definovaných zákonných povinností, a to podľa metodiky vypracovanej a zverejnenej úradom. </w:t>
      </w:r>
      <w:r w:rsidR="004130D8" w:rsidRPr="00F242C9">
        <w:rPr>
          <w:color w:val="000000" w:themeColor="text1"/>
        </w:rPr>
        <w:t xml:space="preserve">Platná a účinná právna </w:t>
      </w:r>
      <w:r w:rsidR="00846FEA" w:rsidRPr="00F242C9">
        <w:rPr>
          <w:color w:val="000000" w:themeColor="text1"/>
        </w:rPr>
        <w:t xml:space="preserve">úprava síce </w:t>
      </w:r>
      <w:r w:rsidR="004130D8" w:rsidRPr="00F242C9">
        <w:rPr>
          <w:color w:val="000000" w:themeColor="text1"/>
        </w:rPr>
        <w:t>ukladá  povinnosť dodávateľovi elektriny a dodávateľovi plynu predkladať úradu údaje o zabezpečenom množstve, ďalej však nie je ustanovené, ako nakladať s takto získanými informáciami na strane úradu. V záujme aktívnej práce s takto získanými údajmi sa  navrhuje doplnenie právomoci úradu vyhodnocovať získané údaje.</w:t>
      </w:r>
    </w:p>
    <w:p w14:paraId="39A72258" w14:textId="04AE3CC0" w:rsidR="00FD5300" w:rsidRPr="00F242C9" w:rsidRDefault="00FD5300" w:rsidP="00E22441">
      <w:pPr>
        <w:spacing w:line="264" w:lineRule="auto"/>
        <w:jc w:val="both"/>
        <w:rPr>
          <w:color w:val="000000" w:themeColor="text1"/>
        </w:rPr>
      </w:pPr>
    </w:p>
    <w:p w14:paraId="5F1AFB56" w14:textId="6F62DC56" w:rsidR="00FD5300" w:rsidRPr="00F242C9" w:rsidRDefault="00FD5300" w:rsidP="00FD5300">
      <w:pPr>
        <w:spacing w:line="264" w:lineRule="auto"/>
        <w:jc w:val="both"/>
        <w:rPr>
          <w:b/>
          <w:color w:val="000000" w:themeColor="text1"/>
        </w:rPr>
      </w:pPr>
      <w:r w:rsidRPr="00F242C9">
        <w:rPr>
          <w:b/>
          <w:color w:val="000000" w:themeColor="text1"/>
        </w:rPr>
        <w:t xml:space="preserve">K bodu 3  </w:t>
      </w:r>
    </w:p>
    <w:p w14:paraId="2B5D43F4" w14:textId="16418372" w:rsidR="00FD5300" w:rsidRPr="00F242C9" w:rsidRDefault="004130D8" w:rsidP="00E22441">
      <w:pPr>
        <w:spacing w:line="264" w:lineRule="auto"/>
        <w:jc w:val="both"/>
        <w:rPr>
          <w:color w:val="000000" w:themeColor="text1"/>
        </w:rPr>
      </w:pPr>
      <w:r w:rsidRPr="00F242C9">
        <w:rPr>
          <w:color w:val="000000" w:themeColor="text1"/>
        </w:rPr>
        <w:t xml:space="preserve">V záujme transparentnosti </w:t>
      </w:r>
      <w:r w:rsidR="00952CBC" w:rsidRPr="00F242C9">
        <w:rPr>
          <w:color w:val="000000" w:themeColor="text1"/>
        </w:rPr>
        <w:t xml:space="preserve">a taktiež v záujme zvyšovania osvety spotrebiteľskej verejnosti a zvyšovania miery ochrany spotrebiteľov </w:t>
      </w:r>
      <w:r w:rsidRPr="00F242C9">
        <w:rPr>
          <w:color w:val="000000" w:themeColor="text1"/>
        </w:rPr>
        <w:t xml:space="preserve">sa navrhuje zverejnenie výsledkov hodnotenia plnenia povinnosti dodávateľov elektriny a dodávateľov plynu </w:t>
      </w:r>
      <w:r w:rsidR="00846FEA" w:rsidRPr="00F242C9">
        <w:rPr>
          <w:color w:val="000000" w:themeColor="text1"/>
        </w:rPr>
        <w:t xml:space="preserve">pri zabezpečení množstva elektriny a množstva plynu </w:t>
      </w:r>
      <w:r w:rsidRPr="00F242C9">
        <w:rPr>
          <w:color w:val="000000" w:themeColor="text1"/>
        </w:rPr>
        <w:t xml:space="preserve">na webovom sídle úradu. </w:t>
      </w:r>
    </w:p>
    <w:p w14:paraId="33C4B146" w14:textId="1BD1924A" w:rsidR="00FD5300" w:rsidRPr="00F242C9" w:rsidRDefault="00FD5300" w:rsidP="00E22441">
      <w:pPr>
        <w:spacing w:line="264" w:lineRule="auto"/>
        <w:jc w:val="both"/>
        <w:rPr>
          <w:color w:val="000000" w:themeColor="text1"/>
        </w:rPr>
      </w:pPr>
    </w:p>
    <w:p w14:paraId="04B10039" w14:textId="70A35287" w:rsidR="00F84373" w:rsidRPr="00F242C9" w:rsidRDefault="009864DA" w:rsidP="009864DA">
      <w:pPr>
        <w:spacing w:line="264" w:lineRule="auto"/>
        <w:jc w:val="both"/>
        <w:rPr>
          <w:b/>
          <w:color w:val="000000" w:themeColor="text1"/>
        </w:rPr>
      </w:pPr>
      <w:r w:rsidRPr="00F242C9">
        <w:rPr>
          <w:b/>
          <w:color w:val="000000" w:themeColor="text1"/>
        </w:rPr>
        <w:t>K bod</w:t>
      </w:r>
      <w:r w:rsidR="00F630FC" w:rsidRPr="00F242C9">
        <w:rPr>
          <w:b/>
          <w:color w:val="000000" w:themeColor="text1"/>
        </w:rPr>
        <w:t>u</w:t>
      </w:r>
      <w:r w:rsidRPr="00F242C9">
        <w:rPr>
          <w:b/>
          <w:color w:val="000000" w:themeColor="text1"/>
        </w:rPr>
        <w:t xml:space="preserve"> 4</w:t>
      </w:r>
      <w:r w:rsidR="00723F51" w:rsidRPr="00F242C9">
        <w:rPr>
          <w:b/>
          <w:color w:val="000000" w:themeColor="text1"/>
        </w:rPr>
        <w:t xml:space="preserve"> </w:t>
      </w:r>
    </w:p>
    <w:p w14:paraId="5BF86019" w14:textId="5E224B78" w:rsidR="00685CD3" w:rsidRPr="00F242C9" w:rsidRDefault="00CC0C8E" w:rsidP="009864DA">
      <w:pPr>
        <w:spacing w:line="264" w:lineRule="auto"/>
        <w:jc w:val="both"/>
        <w:rPr>
          <w:bCs/>
          <w:color w:val="000000" w:themeColor="text1"/>
        </w:rPr>
      </w:pPr>
      <w:r w:rsidRPr="00F242C9">
        <w:rPr>
          <w:bCs/>
          <w:color w:val="000000" w:themeColor="text1"/>
        </w:rPr>
        <w:t xml:space="preserve">Ustanovuje sa nový inštitút vecnej regulácie vykonávanej úradom, </w:t>
      </w:r>
      <w:r w:rsidR="00C62337" w:rsidRPr="00F242C9">
        <w:rPr>
          <w:bCs/>
          <w:color w:val="000000" w:themeColor="text1"/>
        </w:rPr>
        <w:t>v rámci ktorej</w:t>
      </w:r>
      <w:r w:rsidRPr="00F242C9">
        <w:rPr>
          <w:bCs/>
          <w:color w:val="000000" w:themeColor="text1"/>
        </w:rPr>
        <w:t xml:space="preserve"> úrad uloží povinnosť dodávateľovi elektriny</w:t>
      </w:r>
      <w:r w:rsidR="00846FEA" w:rsidRPr="00F242C9">
        <w:rPr>
          <w:bCs/>
          <w:color w:val="000000" w:themeColor="text1"/>
        </w:rPr>
        <w:t>,</w:t>
      </w:r>
      <w:r w:rsidRPr="00F242C9">
        <w:rPr>
          <w:bCs/>
          <w:color w:val="000000" w:themeColor="text1"/>
        </w:rPr>
        <w:t xml:space="preserve"> alebo dodávateľovi plynu zabezpečiť konkrétne, úradom určené množstvá elektriny a množstvá plynu na účely dodávky elektriny alebo dodávky plynu, a to v časovom priebehu určenom úradom. Tento inštitút logicky nadväzuje na navrhované nové právomoci úradu pri vyhodnocovaní plnenia povinností dodávateľov elektriny a dodávateľov plynu pri plnení povinnosti zabezpečiť množstvo elektriny a množstvo plynu. </w:t>
      </w:r>
      <w:r w:rsidR="0055001B" w:rsidRPr="00F242C9">
        <w:rPr>
          <w:bCs/>
          <w:color w:val="000000" w:themeColor="text1"/>
        </w:rPr>
        <w:t>Ak totiž z obdržaných podkladov úrad zistí, že dotknutý dodávateľ nemá zabezpečené dostatočné množstvo elektriny</w:t>
      </w:r>
      <w:r w:rsidR="00846FEA" w:rsidRPr="00F242C9">
        <w:rPr>
          <w:bCs/>
          <w:color w:val="000000" w:themeColor="text1"/>
        </w:rPr>
        <w:t>,</w:t>
      </w:r>
      <w:r w:rsidR="0055001B" w:rsidRPr="00F242C9">
        <w:rPr>
          <w:bCs/>
          <w:color w:val="000000" w:themeColor="text1"/>
        </w:rPr>
        <w:t xml:space="preserve"> alebo plynu pre svojich koncových odberateľov, na rozdiel od platnej právnej úpravy bude možné aktívne zakročiť a v konaní o vecnej regulácii </w:t>
      </w:r>
      <w:r w:rsidR="00C62337" w:rsidRPr="00F242C9">
        <w:rPr>
          <w:bCs/>
          <w:color w:val="000000" w:themeColor="text1"/>
        </w:rPr>
        <w:t xml:space="preserve">a uložiť povinnosť príslušnému dodávateľovi </w:t>
      </w:r>
      <w:r w:rsidR="0055001B" w:rsidRPr="00F242C9">
        <w:rPr>
          <w:bCs/>
          <w:color w:val="000000" w:themeColor="text1"/>
        </w:rPr>
        <w:t>vyda</w:t>
      </w:r>
      <w:r w:rsidR="00C62337" w:rsidRPr="00F242C9">
        <w:rPr>
          <w:bCs/>
          <w:color w:val="000000" w:themeColor="text1"/>
        </w:rPr>
        <w:t>ním</w:t>
      </w:r>
      <w:r w:rsidR="0055001B" w:rsidRPr="00F242C9">
        <w:rPr>
          <w:bCs/>
          <w:color w:val="000000" w:themeColor="text1"/>
        </w:rPr>
        <w:t xml:space="preserve"> predbežné</w:t>
      </w:r>
      <w:r w:rsidR="00C62337" w:rsidRPr="00F242C9">
        <w:rPr>
          <w:bCs/>
          <w:color w:val="000000" w:themeColor="text1"/>
        </w:rPr>
        <w:t>ho</w:t>
      </w:r>
      <w:r w:rsidR="0055001B" w:rsidRPr="00F242C9">
        <w:rPr>
          <w:bCs/>
          <w:color w:val="000000" w:themeColor="text1"/>
        </w:rPr>
        <w:t xml:space="preserve"> opatreni</w:t>
      </w:r>
      <w:r w:rsidR="00C62337" w:rsidRPr="00F242C9">
        <w:rPr>
          <w:bCs/>
          <w:color w:val="000000" w:themeColor="text1"/>
        </w:rPr>
        <w:t>a</w:t>
      </w:r>
      <w:r w:rsidR="0055001B" w:rsidRPr="00F242C9">
        <w:rPr>
          <w:bCs/>
          <w:color w:val="000000" w:themeColor="text1"/>
        </w:rPr>
        <w:t xml:space="preserve">.      </w:t>
      </w:r>
    </w:p>
    <w:p w14:paraId="405E64C8" w14:textId="77777777" w:rsidR="00685CD3" w:rsidRPr="00F242C9" w:rsidRDefault="00CC0C8E" w:rsidP="00685CD3">
      <w:pPr>
        <w:spacing w:line="264" w:lineRule="auto"/>
        <w:rPr>
          <w:color w:val="000000" w:themeColor="text1"/>
        </w:rPr>
      </w:pPr>
      <w:r w:rsidRPr="00F242C9">
        <w:rPr>
          <w:bCs/>
          <w:color w:val="000000" w:themeColor="text1"/>
        </w:rPr>
        <w:t xml:space="preserve">  </w:t>
      </w:r>
      <w:r w:rsidR="009864DA" w:rsidRPr="00F242C9">
        <w:rPr>
          <w:bCs/>
          <w:color w:val="000000" w:themeColor="text1"/>
        </w:rPr>
        <w:t xml:space="preserve">  </w:t>
      </w:r>
    </w:p>
    <w:p w14:paraId="004D2440" w14:textId="6E48AE8B" w:rsidR="00685CD3" w:rsidRPr="00F242C9" w:rsidRDefault="00685CD3" w:rsidP="00685CD3">
      <w:pPr>
        <w:spacing w:line="264" w:lineRule="auto"/>
        <w:rPr>
          <w:b/>
          <w:color w:val="000000" w:themeColor="text1"/>
        </w:rPr>
      </w:pPr>
      <w:r w:rsidRPr="00F242C9">
        <w:rPr>
          <w:b/>
          <w:color w:val="000000" w:themeColor="text1"/>
        </w:rPr>
        <w:t>K</w:t>
      </w:r>
      <w:r w:rsidR="003A03E6" w:rsidRPr="00F242C9">
        <w:rPr>
          <w:b/>
          <w:color w:val="000000" w:themeColor="text1"/>
        </w:rPr>
        <w:t> </w:t>
      </w:r>
      <w:r w:rsidR="00D84F5D" w:rsidRPr="00F242C9">
        <w:rPr>
          <w:b/>
          <w:color w:val="000000" w:themeColor="text1"/>
        </w:rPr>
        <w:t>bod</w:t>
      </w:r>
      <w:r w:rsidR="003A03E6" w:rsidRPr="00F242C9">
        <w:rPr>
          <w:b/>
          <w:color w:val="000000" w:themeColor="text1"/>
        </w:rPr>
        <w:t>u</w:t>
      </w:r>
      <w:r w:rsidR="00D84F5D" w:rsidRPr="00F242C9">
        <w:rPr>
          <w:b/>
          <w:color w:val="000000" w:themeColor="text1"/>
        </w:rPr>
        <w:t xml:space="preserve"> </w:t>
      </w:r>
      <w:r w:rsidR="003A03E6" w:rsidRPr="00F242C9">
        <w:rPr>
          <w:b/>
          <w:color w:val="000000" w:themeColor="text1"/>
        </w:rPr>
        <w:t>5</w:t>
      </w:r>
      <w:r w:rsidRPr="00F242C9">
        <w:rPr>
          <w:b/>
          <w:color w:val="000000" w:themeColor="text1"/>
        </w:rPr>
        <w:t xml:space="preserve"> </w:t>
      </w:r>
    </w:p>
    <w:p w14:paraId="299D8E00" w14:textId="5685180E" w:rsidR="003A03E6" w:rsidRPr="00F242C9" w:rsidRDefault="00D84F5D" w:rsidP="003A03E6">
      <w:pPr>
        <w:autoSpaceDE w:val="0"/>
        <w:autoSpaceDN w:val="0"/>
        <w:adjustRightInd w:val="0"/>
        <w:ind w:firstLine="708"/>
        <w:jc w:val="both"/>
      </w:pPr>
      <w:r w:rsidRPr="00F242C9">
        <w:rPr>
          <w:bCs/>
          <w:color w:val="000000" w:themeColor="text1"/>
        </w:rPr>
        <w:t xml:space="preserve">Navrhuje sa </w:t>
      </w:r>
      <w:r w:rsidR="003A03E6" w:rsidRPr="00F242C9">
        <w:rPr>
          <w:bCs/>
          <w:color w:val="000000" w:themeColor="text1"/>
        </w:rPr>
        <w:t>zruš</w:t>
      </w:r>
      <w:r w:rsidR="00C62337" w:rsidRPr="00F242C9">
        <w:rPr>
          <w:bCs/>
          <w:color w:val="000000" w:themeColor="text1"/>
        </w:rPr>
        <w:t>enie</w:t>
      </w:r>
      <w:r w:rsidR="003A03E6" w:rsidRPr="00F242C9">
        <w:rPr>
          <w:bCs/>
          <w:color w:val="000000" w:themeColor="text1"/>
        </w:rPr>
        <w:t xml:space="preserve">  </w:t>
      </w:r>
      <w:r w:rsidR="00403FAA" w:rsidRPr="00F242C9">
        <w:rPr>
          <w:bCs/>
          <w:color w:val="000000" w:themeColor="text1"/>
        </w:rPr>
        <w:t xml:space="preserve">časového obmedzenia </w:t>
      </w:r>
      <w:r w:rsidR="003A03E6" w:rsidRPr="00F242C9">
        <w:t>platnosti cenových rozhodnutí za dodávku elektriny a</w:t>
      </w:r>
      <w:r w:rsidR="00C62337" w:rsidRPr="00F242C9">
        <w:t xml:space="preserve"> dodávky </w:t>
      </w:r>
      <w:r w:rsidR="003A03E6" w:rsidRPr="00F242C9">
        <w:t xml:space="preserve">plynu </w:t>
      </w:r>
      <w:r w:rsidR="00C62337" w:rsidRPr="00F242C9">
        <w:t xml:space="preserve">v rozsahu </w:t>
      </w:r>
      <w:r w:rsidR="003A03E6" w:rsidRPr="00F242C9">
        <w:t xml:space="preserve"> jedn</w:t>
      </w:r>
      <w:r w:rsidR="00C62337" w:rsidRPr="00F242C9">
        <w:t>ého</w:t>
      </w:r>
      <w:r w:rsidR="003A03E6" w:rsidRPr="00F242C9">
        <w:t xml:space="preserve"> kalendárn</w:t>
      </w:r>
      <w:r w:rsidR="00C62337" w:rsidRPr="00F242C9">
        <w:t xml:space="preserve">eho </w:t>
      </w:r>
      <w:r w:rsidR="003A03E6" w:rsidRPr="00F242C9">
        <w:t xml:space="preserve"> roka. </w:t>
      </w:r>
      <w:r w:rsidR="00C62337" w:rsidRPr="00F242C9">
        <w:t xml:space="preserve">Vypustením druhej vety § 14 ods. 15 </w:t>
      </w:r>
      <w:r w:rsidR="00403FAA" w:rsidRPr="00F242C9">
        <w:t xml:space="preserve">aj cenové rozhodnutia za dodávku elektriny a dodávku plynu budú mať platnosť </w:t>
      </w:r>
      <w:r w:rsidR="003A03E6" w:rsidRPr="00F242C9">
        <w:t xml:space="preserve"> na celé regulačné obdobie</w:t>
      </w:r>
      <w:r w:rsidR="00403FAA" w:rsidRPr="00F242C9">
        <w:t>, resp.</w:t>
      </w:r>
      <w:r w:rsidR="003A03E6" w:rsidRPr="00F242C9">
        <w:t xml:space="preserve"> do ďalšieho cenového rozhodnutia, obdobne ako aj </w:t>
      </w:r>
      <w:r w:rsidR="00403FAA" w:rsidRPr="00F242C9">
        <w:t>v prípade ostatných</w:t>
      </w:r>
      <w:r w:rsidR="003A03E6" w:rsidRPr="00F242C9">
        <w:t xml:space="preserve"> cenov</w:t>
      </w:r>
      <w:r w:rsidR="00403FAA" w:rsidRPr="00F242C9">
        <w:t>ých</w:t>
      </w:r>
      <w:r w:rsidR="003A03E6" w:rsidRPr="00F242C9">
        <w:t xml:space="preserve"> rozhodnut</w:t>
      </w:r>
      <w:r w:rsidR="00403FAA" w:rsidRPr="00F242C9">
        <w:t>í</w:t>
      </w:r>
      <w:r w:rsidR="003A03E6" w:rsidRPr="00F242C9">
        <w:t xml:space="preserve"> úradu. Uvedené opatrenie umožní stabilizáciu a predvídateľnosť regulovaných cien za dodávku elektriny pre zraniteľných odberateľov. </w:t>
      </w:r>
    </w:p>
    <w:p w14:paraId="6F337064" w14:textId="236B9CF3" w:rsidR="00685CD3" w:rsidRPr="00F242C9" w:rsidRDefault="00685CD3" w:rsidP="009864DA">
      <w:pPr>
        <w:spacing w:line="264" w:lineRule="auto"/>
        <w:jc w:val="both"/>
        <w:rPr>
          <w:bCs/>
          <w:color w:val="000000" w:themeColor="text1"/>
        </w:rPr>
      </w:pPr>
    </w:p>
    <w:p w14:paraId="1748BD78" w14:textId="6100DC73" w:rsidR="00685CD3" w:rsidRPr="00F242C9" w:rsidRDefault="00685CD3" w:rsidP="00685CD3">
      <w:pPr>
        <w:spacing w:line="264" w:lineRule="auto"/>
        <w:rPr>
          <w:b/>
          <w:color w:val="000000" w:themeColor="text1"/>
        </w:rPr>
      </w:pPr>
      <w:r w:rsidRPr="00F242C9">
        <w:rPr>
          <w:b/>
          <w:color w:val="000000" w:themeColor="text1"/>
        </w:rPr>
        <w:t xml:space="preserve">K bodu </w:t>
      </w:r>
      <w:r w:rsidR="003A03E6" w:rsidRPr="00F242C9">
        <w:rPr>
          <w:b/>
          <w:color w:val="000000" w:themeColor="text1"/>
        </w:rPr>
        <w:t>6</w:t>
      </w:r>
      <w:r w:rsidRPr="00F242C9">
        <w:rPr>
          <w:b/>
          <w:color w:val="000000" w:themeColor="text1"/>
        </w:rPr>
        <w:t xml:space="preserve"> </w:t>
      </w:r>
    </w:p>
    <w:p w14:paraId="7A6F1A1E" w14:textId="5F8896B3" w:rsidR="00685CD3" w:rsidRPr="00F242C9" w:rsidRDefault="000F1DF2" w:rsidP="009864DA">
      <w:pPr>
        <w:spacing w:line="264" w:lineRule="auto"/>
        <w:jc w:val="both"/>
        <w:rPr>
          <w:bCs/>
          <w:color w:val="000000" w:themeColor="text1"/>
        </w:rPr>
      </w:pPr>
      <w:r w:rsidRPr="00F242C9">
        <w:rPr>
          <w:bCs/>
          <w:color w:val="000000" w:themeColor="text1"/>
        </w:rPr>
        <w:t xml:space="preserve">Navrhuje sa </w:t>
      </w:r>
      <w:r w:rsidR="003A03E6" w:rsidRPr="00F242C9">
        <w:rPr>
          <w:bCs/>
          <w:color w:val="000000" w:themeColor="text1"/>
        </w:rPr>
        <w:t xml:space="preserve">pri výpočte kompenzácií v režime krízovej regulácie </w:t>
      </w:r>
      <w:r w:rsidR="003A03E6" w:rsidRPr="00F242C9">
        <w:rPr>
          <w:color w:val="000000"/>
        </w:rPr>
        <w:t xml:space="preserve">aplikovať ukazovateľ tzv. čistých nákladov, ktorý je </w:t>
      </w:r>
      <w:r w:rsidR="00403FAA" w:rsidRPr="00F242C9">
        <w:rPr>
          <w:color w:val="000000"/>
        </w:rPr>
        <w:t>ustanovený v platnej právnej úprave</w:t>
      </w:r>
      <w:r w:rsidR="003A03E6" w:rsidRPr="00F242C9">
        <w:rPr>
          <w:color w:val="000000"/>
        </w:rPr>
        <w:t xml:space="preserve"> pri výpočte kompenzácií počas </w:t>
      </w:r>
      <w:r w:rsidR="00403FAA" w:rsidRPr="00F242C9">
        <w:rPr>
          <w:color w:val="000000"/>
        </w:rPr>
        <w:t xml:space="preserve">poskytovania povinnosti </w:t>
      </w:r>
      <w:r w:rsidR="003A03E6" w:rsidRPr="00F242C9">
        <w:rPr>
          <w:color w:val="000000"/>
        </w:rPr>
        <w:t xml:space="preserve"> vo všeobecnom hospodárskom záujme. Týmto by spôsob výpočtu kompenzácií bol rovnaký v oboch prípadoch mimoriadnych opatrení vlády SR v energetike. Spôsob výpočtu čistých nákladov pri výkone regulovanej činnosti počas krízovej regulácie by bol tiež </w:t>
      </w:r>
      <w:r w:rsidR="00632A25" w:rsidRPr="00F242C9">
        <w:rPr>
          <w:color w:val="000000"/>
        </w:rPr>
        <w:t>rovnaký</w:t>
      </w:r>
      <w:r w:rsidR="003A03E6" w:rsidRPr="00F242C9">
        <w:rPr>
          <w:color w:val="000000"/>
        </w:rPr>
        <w:t xml:space="preserve"> ako pri ich výpočte počas platnosti rozhodnutia o uložení povinnosti vo všeobecnom hospodárskom záujme, kde sú zákonom (</w:t>
      </w:r>
      <w:r w:rsidR="003A03E6" w:rsidRPr="00F242C9">
        <w:rPr>
          <w:color w:val="000000" w:themeColor="text1"/>
        </w:rPr>
        <w:t>§ 24 až § 24e zákona č. 251/2012 Z. z.</w:t>
      </w:r>
      <w:r w:rsidR="00403FAA" w:rsidRPr="00F242C9">
        <w:rPr>
          <w:color w:val="000000" w:themeColor="text1"/>
        </w:rPr>
        <w:t xml:space="preserve"> o energetike a o zmene a doplnení niektorých zákonov v znení neskorších predpisov</w:t>
      </w:r>
      <w:r w:rsidR="003A03E6" w:rsidRPr="00F242C9">
        <w:rPr>
          <w:color w:val="000000" w:themeColor="text1"/>
        </w:rPr>
        <w:t>)</w:t>
      </w:r>
      <w:r w:rsidR="003A03E6" w:rsidRPr="00F242C9">
        <w:rPr>
          <w:color w:val="000000"/>
        </w:rPr>
        <w:t xml:space="preserve"> stanovené procesy a kompetencie dotknutých š</w:t>
      </w:r>
      <w:r w:rsidR="00632A25" w:rsidRPr="00F242C9">
        <w:rPr>
          <w:color w:val="000000"/>
        </w:rPr>
        <w:t>tátnych orgánov</w:t>
      </w:r>
      <w:r w:rsidR="003A03E6" w:rsidRPr="00F242C9">
        <w:rPr>
          <w:color w:val="000000"/>
        </w:rPr>
        <w:t>.</w:t>
      </w:r>
    </w:p>
    <w:p w14:paraId="62381764" w14:textId="1CE635E4" w:rsidR="000F1DF2" w:rsidRPr="00F242C9" w:rsidRDefault="000F1DF2" w:rsidP="009864DA">
      <w:pPr>
        <w:spacing w:line="264" w:lineRule="auto"/>
        <w:jc w:val="both"/>
        <w:rPr>
          <w:bCs/>
          <w:color w:val="000000" w:themeColor="text1"/>
        </w:rPr>
      </w:pPr>
    </w:p>
    <w:p w14:paraId="174E8638" w14:textId="160A4000" w:rsidR="000F1DF2" w:rsidRPr="00F242C9" w:rsidRDefault="000F1DF2" w:rsidP="000F1DF2">
      <w:pPr>
        <w:spacing w:line="264" w:lineRule="auto"/>
        <w:rPr>
          <w:b/>
          <w:color w:val="000000" w:themeColor="text1"/>
        </w:rPr>
      </w:pPr>
      <w:r w:rsidRPr="00F242C9">
        <w:rPr>
          <w:b/>
          <w:color w:val="000000" w:themeColor="text1"/>
        </w:rPr>
        <w:t xml:space="preserve">K bodu </w:t>
      </w:r>
      <w:r w:rsidR="008D021F" w:rsidRPr="00F242C9">
        <w:rPr>
          <w:b/>
          <w:color w:val="000000" w:themeColor="text1"/>
        </w:rPr>
        <w:t>7</w:t>
      </w:r>
      <w:r w:rsidRPr="00F242C9">
        <w:rPr>
          <w:b/>
          <w:color w:val="000000" w:themeColor="text1"/>
        </w:rPr>
        <w:t xml:space="preserve"> </w:t>
      </w:r>
    </w:p>
    <w:p w14:paraId="1B9F764D" w14:textId="77777777" w:rsidR="009710E3" w:rsidRPr="00F242C9" w:rsidRDefault="009710E3" w:rsidP="009710E3">
      <w:pPr>
        <w:spacing w:line="264" w:lineRule="auto"/>
        <w:jc w:val="both"/>
        <w:rPr>
          <w:bCs/>
          <w:color w:val="000000" w:themeColor="text1"/>
        </w:rPr>
      </w:pPr>
      <w:r w:rsidRPr="00F242C9">
        <w:rPr>
          <w:bCs/>
          <w:color w:val="000000" w:themeColor="text1"/>
        </w:rPr>
        <w:t xml:space="preserve">Úpravou jestvujúcej povinnosti pre regulované subjekty sa zabezpečí v rozsahu, spôsobom a v termínoch, ktoré určí úrad, predkladanie údajov o nákladoch dodávateľov elektriny a plynu viažucich sa k nákupu elektriny a plynu pre zabezpečenie dodávky elektriny a plynu pre svojich </w:t>
      </w:r>
      <w:proofErr w:type="spellStart"/>
      <w:r w:rsidRPr="00F242C9">
        <w:rPr>
          <w:bCs/>
          <w:color w:val="000000" w:themeColor="text1"/>
        </w:rPr>
        <w:t>zazmluvnených</w:t>
      </w:r>
      <w:proofErr w:type="spellEnd"/>
      <w:r w:rsidRPr="00F242C9">
        <w:rPr>
          <w:bCs/>
          <w:color w:val="000000" w:themeColor="text1"/>
        </w:rPr>
        <w:t xml:space="preserve"> odberateľov. Úprava súvisí aj s povinnosťou dodávateľa elektriny a dodávateľa plynu zabezpečiť množstvo elektriny a plynu pre svojich odberateľov a vyhodnotením tejto skutočnosti úradom (novelizačný bod 2).</w:t>
      </w:r>
    </w:p>
    <w:p w14:paraId="114ABE14" w14:textId="77777777" w:rsidR="00B933AC" w:rsidRPr="00F242C9" w:rsidRDefault="00B933AC" w:rsidP="000F1DF2">
      <w:pPr>
        <w:spacing w:line="264" w:lineRule="auto"/>
        <w:rPr>
          <w:b/>
          <w:color w:val="000000" w:themeColor="text1"/>
        </w:rPr>
      </w:pPr>
    </w:p>
    <w:p w14:paraId="1FB30F2E" w14:textId="2245F3DA" w:rsidR="000F1DF2" w:rsidRPr="00F242C9" w:rsidRDefault="000F1DF2" w:rsidP="000F1DF2">
      <w:pPr>
        <w:spacing w:line="264" w:lineRule="auto"/>
        <w:rPr>
          <w:b/>
          <w:color w:val="000000" w:themeColor="text1"/>
        </w:rPr>
      </w:pPr>
      <w:r w:rsidRPr="00F242C9">
        <w:rPr>
          <w:b/>
          <w:color w:val="000000" w:themeColor="text1"/>
        </w:rPr>
        <w:t xml:space="preserve">K bodu </w:t>
      </w:r>
      <w:r w:rsidR="008D021F" w:rsidRPr="00F242C9">
        <w:rPr>
          <w:b/>
          <w:color w:val="000000" w:themeColor="text1"/>
        </w:rPr>
        <w:t>8</w:t>
      </w:r>
      <w:r w:rsidRPr="00F242C9">
        <w:rPr>
          <w:b/>
          <w:color w:val="000000" w:themeColor="text1"/>
        </w:rPr>
        <w:t xml:space="preserve"> </w:t>
      </w:r>
    </w:p>
    <w:p w14:paraId="25C42ED1" w14:textId="77777777" w:rsidR="009710E3" w:rsidRPr="00F242C9" w:rsidRDefault="009710E3" w:rsidP="009710E3">
      <w:pPr>
        <w:spacing w:line="264" w:lineRule="auto"/>
        <w:jc w:val="both"/>
        <w:rPr>
          <w:bCs/>
          <w:color w:val="000000" w:themeColor="text1"/>
        </w:rPr>
      </w:pPr>
      <w:r w:rsidRPr="00F242C9">
        <w:rPr>
          <w:bCs/>
          <w:color w:val="000000" w:themeColor="text1"/>
        </w:rPr>
        <w:t>Navrhuje sa spresnenie a doplnenie splnomocňovacieho ustanovenia na vydanie všeobecne záväzného právneho predpisu úradu, ktorým úrad ustanoví podmienky zabezpečenia množstva elektriny a plynu pre dodávku elektriny koncovým odberateľom elektriny a dodávku plynu koncovým odberateľom plynu, a to o spôsob a rozsah predkladania údajov o obstarávacích nákladoch a iných finančných parametroch spojených so zabezpečením množstva elektriny a plynu pre dodávku elektriny koncovým odberateľom elektriny a dodávku plynu koncovým odberateľom plynu.</w:t>
      </w:r>
    </w:p>
    <w:p w14:paraId="05AB1A35" w14:textId="77777777" w:rsidR="00E61372" w:rsidRPr="00F242C9" w:rsidRDefault="00E61372" w:rsidP="00825697">
      <w:pPr>
        <w:keepNext/>
        <w:spacing w:line="264" w:lineRule="auto"/>
        <w:rPr>
          <w:b/>
          <w:color w:val="000000" w:themeColor="text1"/>
        </w:rPr>
      </w:pPr>
    </w:p>
    <w:p w14:paraId="3F2AD94C" w14:textId="77777777" w:rsidR="00B933AC" w:rsidRPr="00F242C9" w:rsidRDefault="00B933AC" w:rsidP="00825697">
      <w:pPr>
        <w:keepNext/>
        <w:spacing w:line="264" w:lineRule="auto"/>
        <w:rPr>
          <w:b/>
          <w:color w:val="000000" w:themeColor="text1"/>
        </w:rPr>
      </w:pPr>
    </w:p>
    <w:p w14:paraId="1EC00176" w14:textId="4D54897A" w:rsidR="00481DC2" w:rsidRPr="00F242C9" w:rsidRDefault="00481DC2" w:rsidP="00825697">
      <w:pPr>
        <w:keepNext/>
        <w:spacing w:line="264" w:lineRule="auto"/>
        <w:rPr>
          <w:b/>
          <w:color w:val="000000" w:themeColor="text1"/>
        </w:rPr>
      </w:pPr>
      <w:r w:rsidRPr="00F242C9">
        <w:rPr>
          <w:b/>
          <w:color w:val="000000" w:themeColor="text1"/>
        </w:rPr>
        <w:t xml:space="preserve">K Čl. II </w:t>
      </w:r>
    </w:p>
    <w:p w14:paraId="4704CA0F" w14:textId="77777777" w:rsidR="00481DC2" w:rsidRPr="00F242C9" w:rsidRDefault="00481DC2" w:rsidP="00825697">
      <w:pPr>
        <w:keepNext/>
        <w:spacing w:line="264" w:lineRule="auto"/>
        <w:ind w:firstLine="708"/>
        <w:jc w:val="both"/>
        <w:rPr>
          <w:b/>
          <w:color w:val="000000" w:themeColor="text1"/>
        </w:rPr>
      </w:pPr>
    </w:p>
    <w:p w14:paraId="2F995720" w14:textId="70A8C058" w:rsidR="00BA5678" w:rsidRPr="00F242C9" w:rsidRDefault="00DE330B" w:rsidP="00825697">
      <w:pPr>
        <w:keepNext/>
        <w:spacing w:line="264" w:lineRule="auto"/>
        <w:jc w:val="both"/>
        <w:rPr>
          <w:b/>
          <w:color w:val="000000" w:themeColor="text1"/>
        </w:rPr>
      </w:pPr>
      <w:r w:rsidRPr="00F242C9">
        <w:rPr>
          <w:b/>
          <w:color w:val="000000" w:themeColor="text1"/>
        </w:rPr>
        <w:t>K bod</w:t>
      </w:r>
      <w:r w:rsidR="002727EE" w:rsidRPr="00F242C9">
        <w:rPr>
          <w:b/>
          <w:color w:val="000000" w:themeColor="text1"/>
        </w:rPr>
        <w:t>om</w:t>
      </w:r>
      <w:r w:rsidRPr="00F242C9">
        <w:rPr>
          <w:b/>
          <w:color w:val="000000" w:themeColor="text1"/>
        </w:rPr>
        <w:t xml:space="preserve"> 1</w:t>
      </w:r>
      <w:r w:rsidR="002727EE" w:rsidRPr="00F242C9">
        <w:rPr>
          <w:b/>
          <w:color w:val="000000" w:themeColor="text1"/>
        </w:rPr>
        <w:t xml:space="preserve"> a 2</w:t>
      </w:r>
    </w:p>
    <w:p w14:paraId="3E6B492F" w14:textId="5B557622" w:rsidR="008B2201" w:rsidRPr="00F242C9" w:rsidRDefault="00BB2FC6" w:rsidP="00825697">
      <w:pPr>
        <w:keepNext/>
        <w:spacing w:line="264" w:lineRule="auto"/>
        <w:jc w:val="both"/>
        <w:rPr>
          <w:color w:val="000000" w:themeColor="text1"/>
        </w:rPr>
      </w:pPr>
      <w:r w:rsidRPr="00F242C9">
        <w:rPr>
          <w:color w:val="000000" w:themeColor="text1"/>
        </w:rPr>
        <w:t xml:space="preserve">Ustanovuje sa </w:t>
      </w:r>
      <w:r w:rsidR="00F43C49" w:rsidRPr="00F242C9">
        <w:rPr>
          <w:color w:val="000000" w:themeColor="text1"/>
        </w:rPr>
        <w:t>povinnosť pre dodávateľov elektriny a</w:t>
      </w:r>
      <w:r w:rsidR="00403FAA" w:rsidRPr="00F242C9">
        <w:rPr>
          <w:color w:val="000000" w:themeColor="text1"/>
        </w:rPr>
        <w:t xml:space="preserve"> dodávateľov </w:t>
      </w:r>
      <w:r w:rsidR="00F43C49" w:rsidRPr="00F242C9">
        <w:rPr>
          <w:color w:val="000000" w:themeColor="text1"/>
        </w:rPr>
        <w:t xml:space="preserve">plynu informovať odberateľov o zmene zmluvnej ceny za dodávku elektriny alebo </w:t>
      </w:r>
      <w:r w:rsidR="00403FAA" w:rsidRPr="00F242C9">
        <w:rPr>
          <w:color w:val="000000" w:themeColor="text1"/>
        </w:rPr>
        <w:t xml:space="preserve">dodávku </w:t>
      </w:r>
      <w:r w:rsidR="00F43C49" w:rsidRPr="00F242C9">
        <w:rPr>
          <w:color w:val="000000" w:themeColor="text1"/>
        </w:rPr>
        <w:t>plynu a o ich práve vypovedať zmluvu najneskôr 30 dní pred nadobudnutím účinnosti zmeny. Zároveň sa zavádza povinnosť dodávateľov elektriny a</w:t>
      </w:r>
      <w:r w:rsidR="00403FAA" w:rsidRPr="00F242C9">
        <w:rPr>
          <w:color w:val="000000" w:themeColor="text1"/>
        </w:rPr>
        <w:t xml:space="preserve"> dodávateľov </w:t>
      </w:r>
      <w:r w:rsidR="00F43C49" w:rsidRPr="00F242C9">
        <w:rPr>
          <w:color w:val="000000" w:themeColor="text1"/>
        </w:rPr>
        <w:t xml:space="preserve">plynu zverejňovať cenníky </w:t>
      </w:r>
      <w:r w:rsidR="008B2201" w:rsidRPr="00F242C9">
        <w:rPr>
          <w:color w:val="000000" w:themeColor="text1"/>
        </w:rPr>
        <w:t xml:space="preserve">za </w:t>
      </w:r>
      <w:r w:rsidR="00F43C49" w:rsidRPr="00F242C9">
        <w:rPr>
          <w:color w:val="000000" w:themeColor="text1"/>
        </w:rPr>
        <w:t>dodávk</w:t>
      </w:r>
      <w:r w:rsidR="008B2201" w:rsidRPr="00F242C9">
        <w:rPr>
          <w:color w:val="000000" w:themeColor="text1"/>
        </w:rPr>
        <w:t>u</w:t>
      </w:r>
      <w:r w:rsidR="00F43C49" w:rsidRPr="00F242C9">
        <w:rPr>
          <w:color w:val="000000" w:themeColor="text1"/>
        </w:rPr>
        <w:t xml:space="preserve"> elektriny a</w:t>
      </w:r>
      <w:r w:rsidR="00403FAA" w:rsidRPr="00F242C9">
        <w:rPr>
          <w:color w:val="000000" w:themeColor="text1"/>
        </w:rPr>
        <w:t xml:space="preserve"> dodávku </w:t>
      </w:r>
      <w:r w:rsidR="00F43C49" w:rsidRPr="00F242C9">
        <w:rPr>
          <w:color w:val="000000" w:themeColor="text1"/>
        </w:rPr>
        <w:t>plynu nepodliehajúce</w:t>
      </w:r>
      <w:r w:rsidR="008B2201" w:rsidRPr="00F242C9">
        <w:rPr>
          <w:color w:val="000000" w:themeColor="text1"/>
        </w:rPr>
        <w:t>j</w:t>
      </w:r>
      <w:r w:rsidR="00F43C49" w:rsidRPr="00F242C9">
        <w:rPr>
          <w:color w:val="000000" w:themeColor="text1"/>
        </w:rPr>
        <w:t xml:space="preserve"> cenovej regulácií a pravidelne ich aktualizovať  </w:t>
      </w:r>
      <w:r w:rsidR="008B2201" w:rsidRPr="00F242C9">
        <w:rPr>
          <w:color w:val="000000" w:themeColor="text1"/>
        </w:rPr>
        <w:t xml:space="preserve">najmenej raz za tri mesiace. </w:t>
      </w:r>
    </w:p>
    <w:p w14:paraId="14B3588D" w14:textId="77777777" w:rsidR="008B2201" w:rsidRPr="00F242C9" w:rsidRDefault="008B2201" w:rsidP="00825697">
      <w:pPr>
        <w:keepNext/>
        <w:spacing w:line="264" w:lineRule="auto"/>
        <w:jc w:val="both"/>
        <w:rPr>
          <w:color w:val="000000" w:themeColor="text1"/>
        </w:rPr>
      </w:pPr>
    </w:p>
    <w:p w14:paraId="652AD464" w14:textId="77777777" w:rsidR="001C0081" w:rsidRPr="00F242C9" w:rsidRDefault="001C0081" w:rsidP="00825697">
      <w:pPr>
        <w:keepNext/>
        <w:spacing w:line="264" w:lineRule="auto"/>
        <w:jc w:val="both"/>
        <w:rPr>
          <w:color w:val="000000" w:themeColor="text1"/>
        </w:rPr>
      </w:pPr>
    </w:p>
    <w:p w14:paraId="3A02F112" w14:textId="6DAAEA91" w:rsidR="001C0081" w:rsidRPr="00F242C9" w:rsidRDefault="001C0081" w:rsidP="001C0081">
      <w:pPr>
        <w:keepNext/>
        <w:spacing w:line="264" w:lineRule="auto"/>
        <w:jc w:val="both"/>
        <w:rPr>
          <w:color w:val="000000" w:themeColor="text1"/>
        </w:rPr>
      </w:pPr>
      <w:r w:rsidRPr="00F242C9">
        <w:rPr>
          <w:b/>
          <w:color w:val="000000" w:themeColor="text1"/>
        </w:rPr>
        <w:t>K bod</w:t>
      </w:r>
      <w:r w:rsidR="002727EE" w:rsidRPr="00F242C9">
        <w:rPr>
          <w:b/>
          <w:color w:val="000000" w:themeColor="text1"/>
        </w:rPr>
        <w:t>om</w:t>
      </w:r>
      <w:r w:rsidRPr="00F242C9">
        <w:rPr>
          <w:b/>
          <w:color w:val="000000" w:themeColor="text1"/>
        </w:rPr>
        <w:t xml:space="preserve"> </w:t>
      </w:r>
      <w:r w:rsidR="002727EE" w:rsidRPr="00F242C9">
        <w:rPr>
          <w:b/>
          <w:color w:val="000000" w:themeColor="text1"/>
        </w:rPr>
        <w:t>3 až 5</w:t>
      </w:r>
    </w:p>
    <w:p w14:paraId="6918B02F" w14:textId="1690D7A6" w:rsidR="004E41AC" w:rsidRPr="00F242C9" w:rsidRDefault="008B2201" w:rsidP="00825697">
      <w:pPr>
        <w:keepNext/>
        <w:spacing w:line="264" w:lineRule="auto"/>
        <w:jc w:val="both"/>
        <w:rPr>
          <w:color w:val="000000" w:themeColor="text1"/>
        </w:rPr>
      </w:pPr>
      <w:r w:rsidRPr="00F242C9">
        <w:rPr>
          <w:color w:val="000000" w:themeColor="text1"/>
        </w:rPr>
        <w:t xml:space="preserve">Navrhuje sa </w:t>
      </w:r>
      <w:r w:rsidR="00123472" w:rsidRPr="00F242C9">
        <w:rPr>
          <w:color w:val="000000" w:themeColor="text1"/>
        </w:rPr>
        <w:t xml:space="preserve">umožniť odberateľom </w:t>
      </w:r>
      <w:proofErr w:type="spellStart"/>
      <w:r w:rsidR="00123472" w:rsidRPr="00F242C9">
        <w:rPr>
          <w:color w:val="000000" w:themeColor="text1"/>
        </w:rPr>
        <w:t>zazmluvniť</w:t>
      </w:r>
      <w:proofErr w:type="spellEnd"/>
      <w:r w:rsidR="00123472" w:rsidRPr="00F242C9">
        <w:rPr>
          <w:color w:val="000000" w:themeColor="text1"/>
        </w:rPr>
        <w:t xml:space="preserve"> dodávku elektriny a</w:t>
      </w:r>
      <w:r w:rsidR="00403FAA" w:rsidRPr="00F242C9">
        <w:rPr>
          <w:color w:val="000000" w:themeColor="text1"/>
        </w:rPr>
        <w:t xml:space="preserve"> dodávku </w:t>
      </w:r>
      <w:r w:rsidR="00123472" w:rsidRPr="00F242C9">
        <w:rPr>
          <w:color w:val="000000" w:themeColor="text1"/>
        </w:rPr>
        <w:t>plynu aj na iné ako ročné obdobie platnosti zmluvy a posilniť právo odberateľa na zmenu dodávateľa kedykoľvek počas roka</w:t>
      </w:r>
      <w:r w:rsidR="00403FAA" w:rsidRPr="00F242C9">
        <w:rPr>
          <w:color w:val="000000" w:themeColor="text1"/>
        </w:rPr>
        <w:t>,</w:t>
      </w:r>
      <w:r w:rsidR="00123472" w:rsidRPr="00F242C9">
        <w:rPr>
          <w:color w:val="000000" w:themeColor="text1"/>
        </w:rPr>
        <w:t xml:space="preserve"> keď to považujú za výhodné</w:t>
      </w:r>
      <w:r w:rsidR="000D5EE7" w:rsidRPr="00F242C9">
        <w:rPr>
          <w:color w:val="000000" w:themeColor="text1"/>
        </w:rPr>
        <w:t xml:space="preserve"> a to </w:t>
      </w:r>
      <w:r w:rsidR="00123472" w:rsidRPr="00F242C9">
        <w:rPr>
          <w:color w:val="000000" w:themeColor="text1"/>
        </w:rPr>
        <w:t xml:space="preserve">vypustením </w:t>
      </w:r>
      <w:r w:rsidR="000D5EE7" w:rsidRPr="00F242C9">
        <w:rPr>
          <w:color w:val="000000" w:themeColor="text1"/>
        </w:rPr>
        <w:t xml:space="preserve">obmedzenia na prejav </w:t>
      </w:r>
      <w:r w:rsidR="000D5EE7" w:rsidRPr="00F242C9">
        <w:rPr>
          <w:color w:val="000000" w:themeColor="text1"/>
        </w:rPr>
        <w:lastRenderedPageBreak/>
        <w:t xml:space="preserve">vôle ukončenia, resp. vypovedania zmluvy do  </w:t>
      </w:r>
      <w:r w:rsidR="00123472" w:rsidRPr="00F242C9">
        <w:rPr>
          <w:color w:val="000000" w:themeColor="text1"/>
        </w:rPr>
        <w:t>31.3.  a upresnením odkazu na príslušné ustanovenia zákona.</w:t>
      </w:r>
    </w:p>
    <w:p w14:paraId="69401BD4" w14:textId="77777777" w:rsidR="002727EE" w:rsidRPr="00F242C9" w:rsidRDefault="002727EE" w:rsidP="00825697">
      <w:pPr>
        <w:keepNext/>
        <w:spacing w:line="264" w:lineRule="auto"/>
        <w:jc w:val="both"/>
        <w:rPr>
          <w:color w:val="000000" w:themeColor="text1"/>
        </w:rPr>
      </w:pPr>
    </w:p>
    <w:p w14:paraId="5EBF6BA6" w14:textId="4DADC8B5" w:rsidR="002727EE" w:rsidRPr="00F242C9" w:rsidRDefault="002727EE" w:rsidP="002727EE">
      <w:pPr>
        <w:keepNext/>
        <w:spacing w:line="264" w:lineRule="auto"/>
        <w:jc w:val="both"/>
        <w:rPr>
          <w:color w:val="000000" w:themeColor="text1"/>
        </w:rPr>
      </w:pPr>
      <w:r w:rsidRPr="00F242C9">
        <w:rPr>
          <w:b/>
          <w:color w:val="000000" w:themeColor="text1"/>
        </w:rPr>
        <w:t>K bod</w:t>
      </w:r>
      <w:r w:rsidR="00107F4D" w:rsidRPr="00F242C9">
        <w:rPr>
          <w:b/>
          <w:color w:val="000000" w:themeColor="text1"/>
        </w:rPr>
        <w:t>om</w:t>
      </w:r>
      <w:r w:rsidRPr="00F242C9">
        <w:rPr>
          <w:b/>
          <w:color w:val="000000" w:themeColor="text1"/>
        </w:rPr>
        <w:t xml:space="preserve"> 6</w:t>
      </w:r>
      <w:r w:rsidR="00107F4D" w:rsidRPr="00F242C9">
        <w:rPr>
          <w:b/>
          <w:color w:val="000000" w:themeColor="text1"/>
        </w:rPr>
        <w:t xml:space="preserve"> až 7</w:t>
      </w:r>
    </w:p>
    <w:p w14:paraId="0FD9AB3A" w14:textId="2D8B4819" w:rsidR="004E41AC" w:rsidRPr="00F242C9" w:rsidRDefault="004E41AC" w:rsidP="00F242C9">
      <w:pPr>
        <w:autoSpaceDE w:val="0"/>
        <w:autoSpaceDN w:val="0"/>
        <w:adjustRightInd w:val="0"/>
        <w:jc w:val="both"/>
      </w:pPr>
      <w:r w:rsidRPr="00F242C9">
        <w:rPr>
          <w:color w:val="000000" w:themeColor="text1"/>
        </w:rPr>
        <w:t xml:space="preserve">Navrhuje sa posunúť </w:t>
      </w:r>
      <w:r w:rsidRPr="00F242C9">
        <w:t xml:space="preserve">termín pre prihlásenie sa odberateľov do dodávky elektriny alebo </w:t>
      </w:r>
      <w:r w:rsidR="000D5EE7" w:rsidRPr="00F242C9">
        <w:t xml:space="preserve">dodávky </w:t>
      </w:r>
      <w:r w:rsidRPr="00F242C9">
        <w:t>plynu za cenu regulovanú úradom na ďalší kalendárny rok z 31. marca na 30. novembra predchádzajúceho roka</w:t>
      </w:r>
      <w:r w:rsidR="00555025" w:rsidRPr="00F242C9">
        <w:t xml:space="preserve"> a z</w:t>
      </w:r>
      <w:r w:rsidRPr="00F242C9">
        <w:t xml:space="preserve">ároveň sa </w:t>
      </w:r>
      <w:r w:rsidR="000D5EE7" w:rsidRPr="00F242C9">
        <w:t xml:space="preserve">navrhuje </w:t>
      </w:r>
      <w:r w:rsidRPr="00F242C9">
        <w:t>ruš</w:t>
      </w:r>
      <w:r w:rsidR="000D5EE7" w:rsidRPr="00F242C9">
        <w:t>enie</w:t>
      </w:r>
      <w:r w:rsidRPr="00F242C9">
        <w:t xml:space="preserve"> </w:t>
      </w:r>
      <w:r w:rsidR="000D5EE7" w:rsidRPr="00F242C9">
        <w:t>podmienky</w:t>
      </w:r>
      <w:r w:rsidRPr="00F242C9">
        <w:t xml:space="preserve"> </w:t>
      </w:r>
      <w:r w:rsidR="00555025" w:rsidRPr="00F242C9">
        <w:t xml:space="preserve">pre </w:t>
      </w:r>
      <w:r w:rsidRPr="00F242C9">
        <w:t xml:space="preserve">odberateľov </w:t>
      </w:r>
      <w:r w:rsidR="00555025" w:rsidRPr="00F242C9">
        <w:t xml:space="preserve">nemať </w:t>
      </w:r>
      <w:proofErr w:type="spellStart"/>
      <w:r w:rsidR="00555025" w:rsidRPr="00F242C9">
        <w:t>zazmluvnenú</w:t>
      </w:r>
      <w:proofErr w:type="spellEnd"/>
      <w:r w:rsidR="00555025" w:rsidRPr="00F242C9">
        <w:t xml:space="preserve"> dodávku elektriny alebo </w:t>
      </w:r>
      <w:r w:rsidR="000D5EE7" w:rsidRPr="00F242C9">
        <w:t xml:space="preserve">dodávku </w:t>
      </w:r>
      <w:r w:rsidR="00555025" w:rsidRPr="00F242C9">
        <w:t xml:space="preserve">plynu presahujúcu koniec kalendárneho roka. </w:t>
      </w:r>
      <w:r w:rsidRPr="00F242C9">
        <w:t xml:space="preserve">Uvedené </w:t>
      </w:r>
      <w:r w:rsidR="00555025" w:rsidRPr="00F242C9">
        <w:t xml:space="preserve">ustanovenia </w:t>
      </w:r>
      <w:r w:rsidRPr="00F242C9">
        <w:t xml:space="preserve">posilnia </w:t>
      </w:r>
      <w:r w:rsidR="00555025" w:rsidRPr="00F242C9">
        <w:t xml:space="preserve">práva odberateľov </w:t>
      </w:r>
      <w:r w:rsidRPr="00F242C9">
        <w:t xml:space="preserve">a umožnia </w:t>
      </w:r>
      <w:r w:rsidR="00555025" w:rsidRPr="00F242C9">
        <w:t>im</w:t>
      </w:r>
      <w:r w:rsidRPr="00F242C9">
        <w:t xml:space="preserve"> lepšie sa rozhodnúť o výhodnosti regulovaných alebo neregulovaných cien za dodávku elektriny a plynu na ďalší kalendárny rok. </w:t>
      </w:r>
      <w:r w:rsidR="000D5EE7" w:rsidRPr="00F242C9">
        <w:t>Analogicky uvedené zmeny budú uplatňované aj v prípade prejavu vôle odberateľa ukončiť zmluvu o združenej dodávke elektriny alebo dodávke plynu za cenu regulovanú úradom</w:t>
      </w:r>
    </w:p>
    <w:p w14:paraId="5080A715" w14:textId="77777777" w:rsidR="002727EE" w:rsidRPr="00F242C9" w:rsidRDefault="002727EE" w:rsidP="00825697">
      <w:pPr>
        <w:keepNext/>
        <w:spacing w:line="264" w:lineRule="auto"/>
        <w:jc w:val="both"/>
        <w:rPr>
          <w:color w:val="000000" w:themeColor="text1"/>
        </w:rPr>
      </w:pPr>
    </w:p>
    <w:p w14:paraId="51E4CA65" w14:textId="5135704A" w:rsidR="002328A3" w:rsidRPr="00F242C9" w:rsidRDefault="002328A3" w:rsidP="00825697">
      <w:pPr>
        <w:keepNext/>
        <w:spacing w:line="264" w:lineRule="auto"/>
        <w:jc w:val="both"/>
        <w:rPr>
          <w:color w:val="000000" w:themeColor="text1"/>
        </w:rPr>
      </w:pPr>
    </w:p>
    <w:p w14:paraId="75D0944F" w14:textId="725CFA30" w:rsidR="002328A3" w:rsidRPr="00F242C9" w:rsidRDefault="002328A3" w:rsidP="002328A3">
      <w:pPr>
        <w:keepNext/>
        <w:spacing w:line="264" w:lineRule="auto"/>
        <w:jc w:val="both"/>
        <w:rPr>
          <w:color w:val="000000" w:themeColor="text1"/>
        </w:rPr>
      </w:pPr>
      <w:r w:rsidRPr="00F242C9">
        <w:rPr>
          <w:b/>
          <w:color w:val="000000" w:themeColor="text1"/>
        </w:rPr>
        <w:t>K bod</w:t>
      </w:r>
      <w:r w:rsidR="00BA5678" w:rsidRPr="00F242C9">
        <w:rPr>
          <w:b/>
          <w:color w:val="000000" w:themeColor="text1"/>
        </w:rPr>
        <w:t>om</w:t>
      </w:r>
      <w:r w:rsidRPr="00F242C9">
        <w:rPr>
          <w:b/>
          <w:color w:val="000000" w:themeColor="text1"/>
        </w:rPr>
        <w:t xml:space="preserve"> </w:t>
      </w:r>
      <w:r w:rsidR="00BA5678" w:rsidRPr="00F242C9">
        <w:rPr>
          <w:b/>
          <w:color w:val="000000" w:themeColor="text1"/>
        </w:rPr>
        <w:t>8 a 9</w:t>
      </w:r>
    </w:p>
    <w:p w14:paraId="58C44F5B" w14:textId="46BF3706" w:rsidR="00AC37C3" w:rsidRPr="00F242C9" w:rsidRDefault="00AC37C3" w:rsidP="00825697">
      <w:pPr>
        <w:keepNext/>
        <w:spacing w:line="264" w:lineRule="auto"/>
        <w:jc w:val="both"/>
        <w:rPr>
          <w:color w:val="000000" w:themeColor="text1"/>
        </w:rPr>
      </w:pPr>
      <w:r w:rsidRPr="00F242C9">
        <w:rPr>
          <w:color w:val="000000" w:themeColor="text1"/>
        </w:rPr>
        <w:t xml:space="preserve">Navrhuje sa spresnenie povinností dodávateľa elektriny pri zabezpečení množstva elektriny pre svojich koncových odberateľov, s ktorými má uzavreté zmluvy o dodávke elektriny alebo zmluvy o združenej dodávke elektriny, aby bolo definované, aké množstvo elektriny na aké časové obdobie má byť zabezpečené k akému časovému okamihu. Zároveň sa navrhuje doplnenie povinnosti dodávateľa elektriny o predkladanie údajov úradu aj o obstarávacích nákladoch a iných finančných </w:t>
      </w:r>
      <w:r w:rsidR="00D14002" w:rsidRPr="00F242C9">
        <w:rPr>
          <w:color w:val="000000" w:themeColor="text1"/>
        </w:rPr>
        <w:t xml:space="preserve">parametroch </w:t>
      </w:r>
      <w:r w:rsidRPr="00F242C9">
        <w:rPr>
          <w:color w:val="000000" w:themeColor="text1"/>
        </w:rPr>
        <w:t>spojených so zabezpečením množstva elektriny, ako aj o poskytovanie súčinnosti úradu pri dodatočnom preskúmavaní</w:t>
      </w:r>
      <w:r w:rsidR="00D64D4F" w:rsidRPr="00F242C9">
        <w:rPr>
          <w:color w:val="000000" w:themeColor="text1"/>
        </w:rPr>
        <w:t>,</w:t>
      </w:r>
      <w:r w:rsidRPr="00F242C9">
        <w:rPr>
          <w:color w:val="000000" w:themeColor="text1"/>
        </w:rPr>
        <w:t xml:space="preserve"> alebo kontrole správnosti údajov poskytovaných úradu podľa tohto ustanovenia.</w:t>
      </w:r>
      <w:r w:rsidR="00BA5678" w:rsidRPr="00F242C9">
        <w:rPr>
          <w:color w:val="000000" w:themeColor="text1"/>
        </w:rPr>
        <w:t xml:space="preserve"> </w:t>
      </w:r>
    </w:p>
    <w:p w14:paraId="6743A0B0" w14:textId="77777777" w:rsidR="00AC37C3" w:rsidRPr="00F242C9" w:rsidRDefault="00AC37C3" w:rsidP="00825697">
      <w:pPr>
        <w:keepNext/>
        <w:spacing w:line="264" w:lineRule="auto"/>
        <w:jc w:val="both"/>
        <w:rPr>
          <w:color w:val="000000" w:themeColor="text1"/>
        </w:rPr>
      </w:pPr>
    </w:p>
    <w:p w14:paraId="5AC80E27" w14:textId="7C0369F7" w:rsidR="005510E0" w:rsidRPr="00F242C9" w:rsidRDefault="005510E0" w:rsidP="005510E0">
      <w:pPr>
        <w:keepNext/>
        <w:spacing w:line="264" w:lineRule="auto"/>
        <w:jc w:val="both"/>
        <w:rPr>
          <w:b/>
          <w:color w:val="000000" w:themeColor="text1"/>
        </w:rPr>
      </w:pPr>
      <w:r w:rsidRPr="00F242C9">
        <w:rPr>
          <w:b/>
          <w:color w:val="000000" w:themeColor="text1"/>
        </w:rPr>
        <w:t>K</w:t>
      </w:r>
      <w:r w:rsidR="00BB67F7" w:rsidRPr="00F242C9">
        <w:rPr>
          <w:b/>
          <w:color w:val="000000" w:themeColor="text1"/>
        </w:rPr>
        <w:t> </w:t>
      </w:r>
      <w:r w:rsidRPr="00F242C9">
        <w:rPr>
          <w:b/>
          <w:color w:val="000000" w:themeColor="text1"/>
        </w:rPr>
        <w:t>bod</w:t>
      </w:r>
      <w:r w:rsidR="00BB67F7" w:rsidRPr="00F242C9">
        <w:rPr>
          <w:b/>
          <w:color w:val="000000" w:themeColor="text1"/>
        </w:rPr>
        <w:t>om 10 a 11</w:t>
      </w:r>
    </w:p>
    <w:p w14:paraId="66D1F04D" w14:textId="229E6EF8" w:rsidR="005510E0" w:rsidRPr="00F242C9" w:rsidRDefault="005510E0" w:rsidP="00825697">
      <w:pPr>
        <w:keepNext/>
        <w:spacing w:line="264" w:lineRule="auto"/>
        <w:jc w:val="both"/>
        <w:rPr>
          <w:color w:val="000000" w:themeColor="text1"/>
        </w:rPr>
      </w:pPr>
      <w:r w:rsidRPr="00F242C9">
        <w:rPr>
          <w:color w:val="000000" w:themeColor="text1"/>
        </w:rPr>
        <w:t>Analogické ustanovenie pre dodávateľa plynu, ako v prípade dodávateľa elektriny (novelizačn</w:t>
      </w:r>
      <w:r w:rsidR="00BB67F7" w:rsidRPr="00F242C9">
        <w:rPr>
          <w:color w:val="000000" w:themeColor="text1"/>
        </w:rPr>
        <w:t>é</w:t>
      </w:r>
      <w:r w:rsidRPr="00F242C9">
        <w:rPr>
          <w:color w:val="000000" w:themeColor="text1"/>
        </w:rPr>
        <w:t xml:space="preserve"> bod</w:t>
      </w:r>
      <w:r w:rsidR="00BB67F7" w:rsidRPr="00F242C9">
        <w:rPr>
          <w:color w:val="000000" w:themeColor="text1"/>
        </w:rPr>
        <w:t>y</w:t>
      </w:r>
      <w:r w:rsidRPr="00F242C9">
        <w:rPr>
          <w:color w:val="000000" w:themeColor="text1"/>
        </w:rPr>
        <w:t xml:space="preserve"> </w:t>
      </w:r>
      <w:r w:rsidR="00BB67F7" w:rsidRPr="00F242C9">
        <w:rPr>
          <w:color w:val="000000" w:themeColor="text1"/>
        </w:rPr>
        <w:t>8 a 9</w:t>
      </w:r>
      <w:r w:rsidRPr="00F242C9">
        <w:rPr>
          <w:color w:val="000000" w:themeColor="text1"/>
        </w:rPr>
        <w:t>).</w:t>
      </w:r>
    </w:p>
    <w:p w14:paraId="7FF47A15" w14:textId="60FC8338" w:rsidR="002328A3" w:rsidRPr="00F242C9" w:rsidRDefault="002328A3" w:rsidP="00825697">
      <w:pPr>
        <w:keepNext/>
        <w:spacing w:line="264" w:lineRule="auto"/>
        <w:jc w:val="both"/>
        <w:rPr>
          <w:color w:val="000000" w:themeColor="text1"/>
        </w:rPr>
      </w:pPr>
    </w:p>
    <w:p w14:paraId="3E1C8E2A" w14:textId="77777777" w:rsidR="00FF58F4" w:rsidRPr="00F242C9" w:rsidRDefault="00FF58F4" w:rsidP="00890157">
      <w:pPr>
        <w:pStyle w:val="Nadpis5"/>
        <w:numPr>
          <w:ilvl w:val="0"/>
          <w:numId w:val="0"/>
        </w:numPr>
        <w:spacing w:line="264" w:lineRule="auto"/>
        <w:rPr>
          <w:bCs w:val="0"/>
          <w:color w:val="000000" w:themeColor="text1"/>
        </w:rPr>
      </w:pPr>
    </w:p>
    <w:p w14:paraId="5DCAF0AD" w14:textId="63BBFE6D" w:rsidR="005F29B1" w:rsidRPr="00F242C9" w:rsidRDefault="005F29B1" w:rsidP="00890157">
      <w:pPr>
        <w:pStyle w:val="Nadpis5"/>
        <w:numPr>
          <w:ilvl w:val="0"/>
          <w:numId w:val="0"/>
        </w:numPr>
        <w:spacing w:line="264" w:lineRule="auto"/>
        <w:rPr>
          <w:bCs w:val="0"/>
          <w:i/>
          <w:color w:val="000000" w:themeColor="text1"/>
        </w:rPr>
      </w:pPr>
      <w:r w:rsidRPr="00F242C9">
        <w:rPr>
          <w:bCs w:val="0"/>
          <w:color w:val="000000" w:themeColor="text1"/>
        </w:rPr>
        <w:t>K čl. I</w:t>
      </w:r>
      <w:r w:rsidR="004E5DE2" w:rsidRPr="00F242C9">
        <w:rPr>
          <w:bCs w:val="0"/>
          <w:color w:val="000000" w:themeColor="text1"/>
        </w:rPr>
        <w:t>II</w:t>
      </w:r>
    </w:p>
    <w:p w14:paraId="5CF7C442" w14:textId="273726E8" w:rsidR="005C502F" w:rsidRPr="00F242C9" w:rsidRDefault="005F29B1" w:rsidP="00890157">
      <w:pPr>
        <w:spacing w:line="264" w:lineRule="auto"/>
        <w:rPr>
          <w:color w:val="000000" w:themeColor="text1"/>
        </w:rPr>
      </w:pPr>
      <w:r w:rsidRPr="00F242C9">
        <w:rPr>
          <w:bCs/>
          <w:color w:val="000000" w:themeColor="text1"/>
        </w:rPr>
        <w:t>Navrhuje sa dátum účinnosti zákona</w:t>
      </w:r>
      <w:r w:rsidR="0096001B" w:rsidRPr="00F242C9">
        <w:rPr>
          <w:color w:val="000000" w:themeColor="text1"/>
        </w:rPr>
        <w:t xml:space="preserve"> – </w:t>
      </w:r>
      <w:r w:rsidR="00FF58F4" w:rsidRPr="00F242C9">
        <w:rPr>
          <w:color w:val="000000" w:themeColor="text1"/>
        </w:rPr>
        <w:t>dňom vyhlásenia</w:t>
      </w:r>
      <w:r w:rsidR="0096001B" w:rsidRPr="00F242C9">
        <w:rPr>
          <w:color w:val="000000" w:themeColor="text1"/>
        </w:rPr>
        <w:t>.</w:t>
      </w:r>
    </w:p>
    <w:p w14:paraId="6041312A" w14:textId="77777777" w:rsidR="00B44178" w:rsidRPr="00F242C9" w:rsidRDefault="00B44178" w:rsidP="00890157">
      <w:pPr>
        <w:spacing w:line="264" w:lineRule="auto"/>
        <w:rPr>
          <w:color w:val="000000" w:themeColor="text1"/>
        </w:rPr>
      </w:pPr>
    </w:p>
    <w:p w14:paraId="184EC0DF" w14:textId="77777777" w:rsidR="00B44178" w:rsidRPr="00F242C9" w:rsidRDefault="00B44178" w:rsidP="00890157">
      <w:pPr>
        <w:spacing w:line="264" w:lineRule="auto"/>
        <w:rPr>
          <w:color w:val="000000" w:themeColor="text1"/>
        </w:rPr>
      </w:pPr>
    </w:p>
    <w:p w14:paraId="4B2AB225" w14:textId="77777777" w:rsidR="00B44178" w:rsidRPr="00F242C9" w:rsidRDefault="00B44178" w:rsidP="00890157">
      <w:pPr>
        <w:spacing w:line="264" w:lineRule="auto"/>
        <w:rPr>
          <w:color w:val="000000" w:themeColor="text1"/>
        </w:rPr>
      </w:pPr>
    </w:p>
    <w:p w14:paraId="36C91BC2" w14:textId="77777777" w:rsidR="00B44178" w:rsidRPr="00F242C9" w:rsidRDefault="00B44178" w:rsidP="00890157">
      <w:pPr>
        <w:spacing w:line="264" w:lineRule="auto"/>
        <w:rPr>
          <w:color w:val="000000" w:themeColor="text1"/>
        </w:rPr>
      </w:pPr>
    </w:p>
    <w:p w14:paraId="7D0636EB" w14:textId="77777777" w:rsidR="00B44178" w:rsidRPr="00F242C9" w:rsidRDefault="00B44178" w:rsidP="00890157">
      <w:pPr>
        <w:spacing w:line="264" w:lineRule="auto"/>
        <w:rPr>
          <w:color w:val="000000" w:themeColor="text1"/>
        </w:rPr>
      </w:pPr>
    </w:p>
    <w:p w14:paraId="2302CE47" w14:textId="77777777" w:rsidR="00B44178" w:rsidRPr="00F242C9" w:rsidRDefault="00B44178" w:rsidP="00890157">
      <w:pPr>
        <w:spacing w:line="264" w:lineRule="auto"/>
        <w:rPr>
          <w:color w:val="000000" w:themeColor="text1"/>
        </w:rPr>
      </w:pPr>
    </w:p>
    <w:p w14:paraId="7156AAD2" w14:textId="77777777" w:rsidR="00B44178" w:rsidRPr="00F242C9" w:rsidRDefault="00B44178" w:rsidP="00890157">
      <w:pPr>
        <w:spacing w:line="264" w:lineRule="auto"/>
        <w:rPr>
          <w:color w:val="000000" w:themeColor="text1"/>
        </w:rPr>
      </w:pPr>
    </w:p>
    <w:p w14:paraId="59E4A8D5" w14:textId="77777777" w:rsidR="00B44178" w:rsidRPr="00F242C9" w:rsidRDefault="00B44178" w:rsidP="00890157">
      <w:pPr>
        <w:spacing w:line="264" w:lineRule="auto"/>
        <w:rPr>
          <w:color w:val="000000" w:themeColor="text1"/>
        </w:rPr>
      </w:pPr>
    </w:p>
    <w:p w14:paraId="0448F841" w14:textId="77777777" w:rsidR="00B44178" w:rsidRPr="00F242C9" w:rsidRDefault="00B44178" w:rsidP="00890157">
      <w:pPr>
        <w:spacing w:line="264" w:lineRule="auto"/>
        <w:rPr>
          <w:color w:val="000000" w:themeColor="text1"/>
        </w:rPr>
      </w:pPr>
    </w:p>
    <w:p w14:paraId="56BEF8B4" w14:textId="77777777" w:rsidR="00B44178" w:rsidRPr="00F242C9" w:rsidRDefault="00B44178" w:rsidP="00890157">
      <w:pPr>
        <w:spacing w:line="264" w:lineRule="auto"/>
        <w:rPr>
          <w:color w:val="000000" w:themeColor="text1"/>
        </w:rPr>
      </w:pPr>
    </w:p>
    <w:p w14:paraId="2A3542EA" w14:textId="77777777" w:rsidR="00B44178" w:rsidRPr="00F242C9" w:rsidRDefault="00B44178" w:rsidP="00890157">
      <w:pPr>
        <w:spacing w:line="264" w:lineRule="auto"/>
        <w:rPr>
          <w:color w:val="000000" w:themeColor="text1"/>
        </w:rPr>
      </w:pPr>
    </w:p>
    <w:p w14:paraId="0DF2404E" w14:textId="77777777" w:rsidR="00B44178" w:rsidRPr="00F242C9" w:rsidRDefault="00B44178" w:rsidP="00890157">
      <w:pPr>
        <w:spacing w:line="264" w:lineRule="auto"/>
        <w:rPr>
          <w:color w:val="000000" w:themeColor="text1"/>
        </w:rPr>
      </w:pPr>
    </w:p>
    <w:p w14:paraId="53A4A867" w14:textId="77777777" w:rsidR="00B44178" w:rsidRPr="00F242C9" w:rsidRDefault="00B44178" w:rsidP="00890157">
      <w:pPr>
        <w:spacing w:line="264" w:lineRule="auto"/>
        <w:rPr>
          <w:color w:val="000000" w:themeColor="text1"/>
        </w:rPr>
      </w:pPr>
    </w:p>
    <w:p w14:paraId="19CDFE1E" w14:textId="77777777" w:rsidR="00B44178" w:rsidRPr="00F242C9" w:rsidRDefault="00B44178" w:rsidP="00890157">
      <w:pPr>
        <w:spacing w:line="264" w:lineRule="auto"/>
        <w:rPr>
          <w:color w:val="000000" w:themeColor="text1"/>
        </w:rPr>
      </w:pPr>
    </w:p>
    <w:p w14:paraId="00F21F1D" w14:textId="77777777" w:rsidR="00B44178" w:rsidRPr="00F242C9" w:rsidRDefault="00B44178" w:rsidP="00890157">
      <w:pPr>
        <w:spacing w:line="264" w:lineRule="auto"/>
        <w:rPr>
          <w:color w:val="000000" w:themeColor="text1"/>
        </w:rPr>
      </w:pPr>
    </w:p>
    <w:p w14:paraId="5D1D2F93" w14:textId="77777777" w:rsidR="00B44178" w:rsidRPr="00F242C9" w:rsidRDefault="00B44178" w:rsidP="00890157">
      <w:pPr>
        <w:spacing w:line="264" w:lineRule="auto"/>
        <w:rPr>
          <w:color w:val="000000" w:themeColor="text1"/>
        </w:rPr>
      </w:pPr>
    </w:p>
    <w:p w14:paraId="6DD09322" w14:textId="77777777" w:rsidR="00B44178" w:rsidRPr="00F242C9" w:rsidRDefault="00B44178" w:rsidP="00B44178">
      <w:pPr>
        <w:spacing w:before="120"/>
        <w:jc w:val="center"/>
        <w:rPr>
          <w:b/>
          <w:smallCaps/>
        </w:rPr>
      </w:pPr>
      <w:r w:rsidRPr="00F242C9">
        <w:rPr>
          <w:b/>
          <w:smallCaps/>
        </w:rPr>
        <w:t>DOLOŽKA ZLUČITEĽNOSTI</w:t>
      </w:r>
    </w:p>
    <w:p w14:paraId="75A97DFA" w14:textId="77777777" w:rsidR="00B44178" w:rsidRPr="00F242C9" w:rsidRDefault="00B44178" w:rsidP="00B44178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</w:rPr>
      </w:pPr>
      <w:r w:rsidRPr="00F242C9">
        <w:rPr>
          <w:b/>
          <w:color w:val="000000"/>
        </w:rPr>
        <w:t>návrhu zákona</w:t>
      </w:r>
      <w:r w:rsidRPr="00F242C9">
        <w:rPr>
          <w:color w:val="000000"/>
        </w:rPr>
        <w:t xml:space="preserve"> </w:t>
      </w:r>
      <w:r w:rsidRPr="00F242C9">
        <w:rPr>
          <w:b/>
          <w:color w:val="000000"/>
        </w:rPr>
        <w:t>s právom Európskej únie</w:t>
      </w:r>
    </w:p>
    <w:p w14:paraId="0252DF21" w14:textId="77777777" w:rsidR="00B44178" w:rsidRPr="00F242C9" w:rsidRDefault="00B44178" w:rsidP="00B4417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F242C9">
        <w:rPr>
          <w:color w:val="000000"/>
        </w:rPr>
        <w:t> </w:t>
      </w:r>
    </w:p>
    <w:p w14:paraId="4046997B" w14:textId="49551AAD" w:rsidR="00B44178" w:rsidRPr="00F242C9" w:rsidRDefault="00B44178" w:rsidP="00B4417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 w:rsidRPr="00F242C9">
        <w:rPr>
          <w:b/>
          <w:color w:val="000000"/>
        </w:rPr>
        <w:t>1. Navrhovateľ zákona:</w:t>
      </w:r>
      <w:r w:rsidRPr="00F242C9">
        <w:rPr>
          <w:color w:val="000000"/>
        </w:rPr>
        <w:t xml:space="preserve"> </w:t>
      </w:r>
      <w:r w:rsidRPr="00F242C9">
        <w:t xml:space="preserve">poslanci Národnej rady Slovenskej republiky </w:t>
      </w:r>
      <w:r w:rsidR="00AB5B3C" w:rsidRPr="00AB5B3C">
        <w:t>Peter Kremský, Ľuboš Krajčír, Miloš Svrček a Jozef Hlinka</w:t>
      </w:r>
    </w:p>
    <w:p w14:paraId="6F7AC8C4" w14:textId="77777777" w:rsidR="00B44178" w:rsidRPr="00F242C9" w:rsidRDefault="00B44178" w:rsidP="00B4417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</w:p>
    <w:p w14:paraId="54750A2D" w14:textId="77777777" w:rsidR="00B44178" w:rsidRPr="00F242C9" w:rsidRDefault="00B44178" w:rsidP="00B44178">
      <w:pPr>
        <w:jc w:val="both"/>
        <w:rPr>
          <w:b/>
        </w:rPr>
      </w:pPr>
      <w:r w:rsidRPr="00F242C9">
        <w:rPr>
          <w:b/>
        </w:rPr>
        <w:t>2. Názov návrhu zákona:</w:t>
      </w:r>
      <w:r w:rsidRPr="00F242C9">
        <w:t xml:space="preserve"> návrh zákona, </w:t>
      </w:r>
      <w:r w:rsidRPr="00F242C9">
        <w:rPr>
          <w:color w:val="000000" w:themeColor="text1"/>
        </w:rPr>
        <w:t xml:space="preserve">ktorým sa mení a dopĺňa zákon č. 250/2012 Z. z. o regulácii v sieťových odvetviach </w:t>
      </w:r>
      <w:r w:rsidRPr="00F242C9">
        <w:rPr>
          <w:rFonts w:eastAsia="Calibri"/>
          <w:color w:val="000000" w:themeColor="text1"/>
        </w:rPr>
        <w:t xml:space="preserve">v znení neskorších predpisov a ktorým sa mení a dopĺňa </w:t>
      </w:r>
      <w:r w:rsidRPr="00F242C9">
        <w:rPr>
          <w:color w:val="000000" w:themeColor="text1"/>
        </w:rPr>
        <w:t>zákon č. 251/2012 Z. z. o energetike a o zmene a doplnení niektorých zákonov v znení neskorších predpisov</w:t>
      </w:r>
    </w:p>
    <w:p w14:paraId="29144DAB" w14:textId="77777777" w:rsidR="00B44178" w:rsidRPr="00F242C9" w:rsidRDefault="00B44178" w:rsidP="00B44178">
      <w:pPr>
        <w:jc w:val="both"/>
        <w:rPr>
          <w:b/>
        </w:rPr>
      </w:pPr>
    </w:p>
    <w:p w14:paraId="0AF4737D" w14:textId="77777777" w:rsidR="00B44178" w:rsidRPr="00F242C9" w:rsidRDefault="00B44178" w:rsidP="00B44178">
      <w:pPr>
        <w:pStyle w:val="Normlnywebov"/>
        <w:spacing w:before="120" w:after="0"/>
        <w:jc w:val="both"/>
        <w:rPr>
          <w:rFonts w:ascii="Times New Roman" w:hAnsi="Times New Roman" w:cs="Times New Roman"/>
        </w:rPr>
      </w:pPr>
      <w:r w:rsidRPr="00F242C9">
        <w:rPr>
          <w:rFonts w:ascii="Times New Roman" w:hAnsi="Times New Roman" w:cs="Times New Roman"/>
          <w:b/>
        </w:rPr>
        <w:t xml:space="preserve">3. </w:t>
      </w:r>
      <w:r w:rsidRPr="00F242C9">
        <w:rPr>
          <w:rFonts w:ascii="Times New Roman" w:hAnsi="Times New Roman" w:cs="Times New Roman"/>
          <w:b/>
          <w:bCs/>
        </w:rPr>
        <w:t>Predmet návrhu zákona:</w:t>
      </w:r>
    </w:p>
    <w:p w14:paraId="5EFF3822" w14:textId="77777777" w:rsidR="00B44178" w:rsidRPr="00F242C9" w:rsidRDefault="00B44178" w:rsidP="00B44178">
      <w:pPr>
        <w:pStyle w:val="Vchodzie"/>
        <w:numPr>
          <w:ilvl w:val="0"/>
          <w:numId w:val="5"/>
        </w:numPr>
        <w:autoSpaceDE/>
        <w:autoSpaceDN/>
        <w:adjustRightInd/>
        <w:spacing w:before="120" w:after="200"/>
        <w:jc w:val="both"/>
        <w:rPr>
          <w:rFonts w:ascii="Times New Roman" w:hAnsi="Times New Roman" w:cs="Times New Roman"/>
          <w:sz w:val="24"/>
          <w:szCs w:val="24"/>
        </w:rPr>
      </w:pPr>
      <w:r w:rsidRPr="00F242C9">
        <w:rPr>
          <w:rFonts w:ascii="Times New Roman" w:hAnsi="Times New Roman" w:cs="Times New Roman"/>
          <w:sz w:val="24"/>
          <w:szCs w:val="24"/>
        </w:rPr>
        <w:t>nie je upravený v primárnom práve Európskej únie,</w:t>
      </w:r>
    </w:p>
    <w:p w14:paraId="00195343" w14:textId="77777777" w:rsidR="00B44178" w:rsidRPr="00F242C9" w:rsidRDefault="00B44178" w:rsidP="00B44178">
      <w:pPr>
        <w:pStyle w:val="Normlnywebov"/>
        <w:numPr>
          <w:ilvl w:val="0"/>
          <w:numId w:val="5"/>
        </w:num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F242C9">
        <w:rPr>
          <w:rFonts w:ascii="Times New Roman" w:hAnsi="Times New Roman" w:cs="Times New Roman"/>
        </w:rPr>
        <w:t xml:space="preserve">nie je upravený v sekundárnom práve Európskej únie, </w:t>
      </w:r>
    </w:p>
    <w:p w14:paraId="669BDBD2" w14:textId="77777777" w:rsidR="00B44178" w:rsidRPr="00F242C9" w:rsidRDefault="00B44178" w:rsidP="00B44178">
      <w:pPr>
        <w:pStyle w:val="Normlnywebov"/>
        <w:numPr>
          <w:ilvl w:val="0"/>
          <w:numId w:val="5"/>
        </w:num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F242C9">
        <w:rPr>
          <w:rFonts w:ascii="Times New Roman" w:hAnsi="Times New Roman" w:cs="Times New Roman"/>
        </w:rPr>
        <w:t>nie je obsiahnutý v judikatúre Súdneho dvora Európskej únie.</w:t>
      </w:r>
    </w:p>
    <w:p w14:paraId="044D071F" w14:textId="77777777" w:rsidR="00B44178" w:rsidRPr="00F242C9" w:rsidRDefault="00B44178" w:rsidP="00B44178">
      <w:pPr>
        <w:pStyle w:val="Normlnywebov"/>
        <w:spacing w:before="120" w:after="0"/>
        <w:ind w:left="720"/>
        <w:jc w:val="both"/>
        <w:rPr>
          <w:rFonts w:ascii="Times New Roman" w:hAnsi="Times New Roman" w:cs="Times New Roman"/>
        </w:rPr>
      </w:pPr>
    </w:p>
    <w:p w14:paraId="1A16ECBB" w14:textId="77777777" w:rsidR="00B44178" w:rsidRPr="00F242C9" w:rsidRDefault="00B44178" w:rsidP="00B44178">
      <w:pPr>
        <w:pStyle w:val="Normlnywebov"/>
        <w:spacing w:before="120" w:after="0"/>
        <w:jc w:val="both"/>
        <w:rPr>
          <w:rFonts w:ascii="Times New Roman" w:hAnsi="Times New Roman" w:cs="Times New Roman"/>
        </w:rPr>
      </w:pPr>
      <w:r w:rsidRPr="00F242C9">
        <w:rPr>
          <w:rFonts w:ascii="Times New Roman" w:hAnsi="Times New Roman" w:cs="Times New Roman"/>
        </w:rPr>
        <w:t>Vzhľadom na to, že predmet návrhu zákona nie je upravený v práve Európskej únie, je bezpredmetné vyjadrovať sa k bodom 4. a 5.</w:t>
      </w:r>
    </w:p>
    <w:p w14:paraId="7C848BCF" w14:textId="77777777" w:rsidR="00B44178" w:rsidRPr="00F242C9" w:rsidRDefault="00B44178" w:rsidP="00B44178">
      <w:pPr>
        <w:pStyle w:val="Normlnywebov"/>
        <w:spacing w:before="120" w:after="0"/>
        <w:jc w:val="both"/>
        <w:rPr>
          <w:rFonts w:ascii="Times New Roman" w:hAnsi="Times New Roman" w:cs="Times New Roman"/>
        </w:rPr>
      </w:pPr>
    </w:p>
    <w:p w14:paraId="03F48827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5717EEB3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4C2D1B26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79775DA3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73503870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67921533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6A4430BF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550F0CD1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3D6B8A50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61A5F77A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3713EA0C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1206A953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249A9C43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5A697847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1B380FA4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50BCC3DE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74B30BD0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13D9278C" w14:textId="77777777" w:rsidR="00B44178" w:rsidRPr="00F242C9" w:rsidRDefault="00B44178" w:rsidP="00B44178">
      <w:pPr>
        <w:spacing w:before="120"/>
        <w:rPr>
          <w:b/>
          <w:smallCaps/>
        </w:rPr>
      </w:pPr>
    </w:p>
    <w:p w14:paraId="76520B77" w14:textId="77777777" w:rsidR="00B44178" w:rsidRPr="00F242C9" w:rsidRDefault="00B44178" w:rsidP="00B44178">
      <w:pPr>
        <w:spacing w:before="120"/>
        <w:jc w:val="center"/>
      </w:pPr>
      <w:r w:rsidRPr="00F242C9">
        <w:rPr>
          <w:b/>
          <w:smallCaps/>
        </w:rPr>
        <w:t>DOLOŽKA</w:t>
      </w:r>
    </w:p>
    <w:p w14:paraId="448EB8B6" w14:textId="77777777" w:rsidR="00B44178" w:rsidRPr="00F242C9" w:rsidRDefault="00B44178" w:rsidP="00B44178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color w:val="000000"/>
        </w:rPr>
      </w:pPr>
      <w:r w:rsidRPr="00F242C9">
        <w:rPr>
          <w:b/>
          <w:color w:val="000000"/>
        </w:rPr>
        <w:t>vybraných vplyvov</w:t>
      </w:r>
    </w:p>
    <w:p w14:paraId="3250E7EC" w14:textId="77777777" w:rsidR="00B44178" w:rsidRPr="00F242C9" w:rsidRDefault="00B44178" w:rsidP="00B4417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F242C9">
        <w:rPr>
          <w:color w:val="000000"/>
        </w:rPr>
        <w:t> </w:t>
      </w:r>
    </w:p>
    <w:p w14:paraId="64DE1F59" w14:textId="77777777" w:rsidR="00B44178" w:rsidRPr="00F242C9" w:rsidRDefault="00B44178" w:rsidP="00B44178">
      <w:pPr>
        <w:jc w:val="both"/>
        <w:rPr>
          <w:b/>
        </w:rPr>
      </w:pPr>
      <w:r w:rsidRPr="00F242C9">
        <w:rPr>
          <w:b/>
        </w:rPr>
        <w:t xml:space="preserve">A.1. Názov materiálu: </w:t>
      </w:r>
      <w:r w:rsidRPr="00F242C9">
        <w:rPr>
          <w:color w:val="000000" w:themeColor="text1"/>
        </w:rPr>
        <w:t xml:space="preserve">návrh zákona, ktorým sa mení a dopĺňa zákon č. 250/2012 Z. z. o regulácii v sieťových odvetviach </w:t>
      </w:r>
      <w:r w:rsidRPr="00F242C9">
        <w:rPr>
          <w:rFonts w:eastAsia="Calibri"/>
          <w:color w:val="000000" w:themeColor="text1"/>
        </w:rPr>
        <w:t xml:space="preserve">v znení neskorších predpisov a ktorým sa mení a dopĺňa </w:t>
      </w:r>
      <w:r w:rsidRPr="00F242C9">
        <w:rPr>
          <w:color w:val="000000" w:themeColor="text1"/>
        </w:rPr>
        <w:t>zákon č. 251/2012 Z. z. o energetike a o zmene a doplnení niektorých zákonov v znení neskorších predpisov</w:t>
      </w:r>
    </w:p>
    <w:p w14:paraId="386598A3" w14:textId="77777777" w:rsidR="00B44178" w:rsidRPr="00F242C9" w:rsidRDefault="00B44178" w:rsidP="00B44178">
      <w:pPr>
        <w:spacing w:before="120"/>
        <w:jc w:val="both"/>
      </w:pPr>
      <w:r w:rsidRPr="00F242C9">
        <w:rPr>
          <w:b/>
        </w:rPr>
        <w:t>Termín začatia a ukončenia PPK:</w:t>
      </w:r>
      <w:r w:rsidRPr="00F242C9">
        <w:t xml:space="preserve"> </w:t>
      </w:r>
      <w:r w:rsidRPr="00F242C9">
        <w:rPr>
          <w:i/>
        </w:rPr>
        <w:t>bezpredmetné</w:t>
      </w:r>
    </w:p>
    <w:p w14:paraId="2C9D6FFF" w14:textId="77777777" w:rsidR="00B44178" w:rsidRPr="00F242C9" w:rsidRDefault="00B44178" w:rsidP="00B44178">
      <w:pPr>
        <w:spacing w:before="120"/>
        <w:jc w:val="both"/>
        <w:rPr>
          <w:i/>
        </w:rPr>
      </w:pPr>
    </w:p>
    <w:p w14:paraId="2EDE47C1" w14:textId="77777777" w:rsidR="00B44178" w:rsidRPr="00F242C9" w:rsidRDefault="00B44178" w:rsidP="00B4417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F242C9">
        <w:rPr>
          <w:b/>
          <w:color w:val="000000"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B44178" w:rsidRPr="00F242C9" w14:paraId="056AF1A5" w14:textId="77777777" w:rsidTr="00793B08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07380D8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bookmarkStart w:id="1" w:name="_Hlk115171905"/>
            <w:r w:rsidRPr="00F242C9"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22AE1F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F242C9">
              <w:rPr>
                <w:color w:val="000000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F7E91F5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F242C9">
              <w:rPr>
                <w:color w:val="000000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5B254C5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F242C9">
              <w:rPr>
                <w:color w:val="000000"/>
              </w:rPr>
              <w:t>Negatívne </w:t>
            </w:r>
          </w:p>
        </w:tc>
      </w:tr>
      <w:tr w:rsidR="00B44178" w:rsidRPr="00F242C9" w14:paraId="032CEE68" w14:textId="77777777" w:rsidTr="00793B08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2C505E1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F242C9">
              <w:rPr>
                <w:color w:val="000000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B7F78C2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448733C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 w:rsidRPr="00F242C9"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A798695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</w:tr>
      <w:tr w:rsidR="00B44178" w:rsidRPr="00F242C9" w14:paraId="0AB30105" w14:textId="77777777" w:rsidTr="00793B08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DC2AAF3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F242C9"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251BB2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 w:rsidRPr="00F242C9">
              <w:rPr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AA47055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176193C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</w:tr>
      <w:tr w:rsidR="00B44178" w:rsidRPr="00F242C9" w14:paraId="5139D275" w14:textId="77777777" w:rsidTr="00793B08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03AD7B7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F242C9">
              <w:rPr>
                <w:color w:val="000000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C72321D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 w:rsidRPr="00F242C9">
              <w:rPr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3F969F1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261E924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</w:tr>
      <w:tr w:rsidR="00B44178" w:rsidRPr="00F242C9" w14:paraId="42FBA45D" w14:textId="77777777" w:rsidTr="00793B08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24BBE2D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F242C9">
              <w:rPr>
                <w:color w:val="000000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ECB9EDD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 w:rsidRPr="00F242C9">
              <w:rPr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49A47F3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C6E994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</w:tr>
      <w:tr w:rsidR="00B44178" w:rsidRPr="00F242C9" w14:paraId="4385D4CB" w14:textId="77777777" w:rsidTr="00793B08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DD5635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F242C9">
              <w:rPr>
                <w:color w:val="000000"/>
              </w:rPr>
              <w:t xml:space="preserve">– sociálnu </w:t>
            </w:r>
            <w:proofErr w:type="spellStart"/>
            <w:r w:rsidRPr="00F242C9">
              <w:rPr>
                <w:color w:val="000000"/>
              </w:rPr>
              <w:t>exklúziu</w:t>
            </w:r>
            <w:proofErr w:type="spellEnd"/>
            <w:r w:rsidRPr="00F242C9">
              <w:rPr>
                <w:color w:val="000000"/>
              </w:rPr>
              <w:t>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841019A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0E73C52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 w:rsidRPr="00F242C9"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2020BA7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</w:tr>
      <w:tr w:rsidR="00B44178" w:rsidRPr="00F242C9" w14:paraId="2DD3DFE8" w14:textId="77777777" w:rsidTr="00793B08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0414265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F242C9">
              <w:rPr>
                <w:color w:val="000000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29CDD94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6ED5C25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 w:rsidRPr="00F242C9"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F4D673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</w:tr>
      <w:tr w:rsidR="00B44178" w:rsidRPr="00F242C9" w14:paraId="2EC5C2F0" w14:textId="77777777" w:rsidTr="00793B08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44190DD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F242C9">
              <w:rPr>
                <w:color w:val="000000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25F2FFF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8C12EF1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 w:rsidRPr="00F242C9"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6329D35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</w:tr>
      <w:tr w:rsidR="00B44178" w:rsidRPr="00F242C9" w14:paraId="6F1915A5" w14:textId="77777777" w:rsidTr="00793B08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3D42C01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F242C9">
              <w:rPr>
                <w:color w:val="000000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2DA912C2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4161A3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 w:rsidRPr="00F242C9"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94B76CB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</w:tr>
      <w:tr w:rsidR="00B44178" w:rsidRPr="00F242C9" w14:paraId="59713204" w14:textId="77777777" w:rsidTr="00793B08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0605B38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F242C9">
              <w:rPr>
                <w:rStyle w:val="awspan"/>
                <w:color w:val="000000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B984BFB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1CA7D7D1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 w:rsidRPr="00F242C9"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E0F3BAC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</w:tr>
      <w:tr w:rsidR="00B44178" w:rsidRPr="00F242C9" w14:paraId="2DE6C944" w14:textId="77777777" w:rsidTr="00793B08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6989918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</w:rPr>
            </w:pPr>
            <w:r w:rsidRPr="00F242C9">
              <w:rPr>
                <w:rStyle w:val="awspan"/>
                <w:color w:val="000000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7361F2A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25641E2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 w:rsidRPr="00F242C9"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2A5AB7" w14:textId="77777777" w:rsidR="00B44178" w:rsidRPr="00F242C9" w:rsidRDefault="00B44178" w:rsidP="0079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</w:p>
        </w:tc>
      </w:tr>
    </w:tbl>
    <w:bookmarkEnd w:id="1"/>
    <w:p w14:paraId="09C404AF" w14:textId="77777777" w:rsidR="00B44178" w:rsidRPr="00F242C9" w:rsidRDefault="00B44178" w:rsidP="00B4417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F242C9">
        <w:rPr>
          <w:color w:val="000000"/>
        </w:rPr>
        <w:t> </w:t>
      </w:r>
    </w:p>
    <w:p w14:paraId="3FF462EC" w14:textId="77777777" w:rsidR="00B44178" w:rsidRPr="00F242C9" w:rsidRDefault="00B44178" w:rsidP="00B4417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color w:val="000000"/>
        </w:rPr>
      </w:pPr>
      <w:r w:rsidRPr="00F242C9">
        <w:rPr>
          <w:b/>
          <w:color w:val="000000"/>
        </w:rPr>
        <w:t>A.3. Poznámky</w:t>
      </w:r>
    </w:p>
    <w:p w14:paraId="1D83DE2A" w14:textId="77777777" w:rsidR="00B44178" w:rsidRPr="00F242C9" w:rsidRDefault="00B44178" w:rsidP="00B4417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i/>
          <w:iCs/>
        </w:rPr>
      </w:pPr>
    </w:p>
    <w:p w14:paraId="66EEB058" w14:textId="77777777" w:rsidR="00B44178" w:rsidRPr="00F242C9" w:rsidRDefault="00B44178" w:rsidP="00B4417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color w:val="000000"/>
        </w:rPr>
      </w:pPr>
      <w:r w:rsidRPr="00F242C9">
        <w:rPr>
          <w:b/>
          <w:color w:val="000000"/>
        </w:rPr>
        <w:t>A.4. Alternatívne riešenia</w:t>
      </w:r>
    </w:p>
    <w:p w14:paraId="6DF01DEC" w14:textId="77777777" w:rsidR="00B44178" w:rsidRPr="00F242C9" w:rsidRDefault="00B44178" w:rsidP="00B4417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i/>
          <w:color w:val="000000"/>
        </w:rPr>
      </w:pPr>
      <w:r w:rsidRPr="00F242C9">
        <w:rPr>
          <w:i/>
          <w:color w:val="000000"/>
        </w:rPr>
        <w:t>bezpredmetné</w:t>
      </w:r>
    </w:p>
    <w:p w14:paraId="2FB8CD8A" w14:textId="77777777" w:rsidR="00B44178" w:rsidRPr="00F242C9" w:rsidRDefault="00B44178" w:rsidP="00B4417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color w:val="000000"/>
        </w:rPr>
      </w:pPr>
    </w:p>
    <w:p w14:paraId="5FB1E2B3" w14:textId="77777777" w:rsidR="00B44178" w:rsidRPr="00F242C9" w:rsidRDefault="00B44178" w:rsidP="00B4417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F242C9">
        <w:rPr>
          <w:b/>
          <w:color w:val="000000"/>
        </w:rPr>
        <w:t>A.5. Stanovisko gestorov</w:t>
      </w:r>
    </w:p>
    <w:p w14:paraId="4652D660" w14:textId="77777777" w:rsidR="00B44178" w:rsidRPr="00F242C9" w:rsidRDefault="00B44178" w:rsidP="00B4417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F242C9">
        <w:rPr>
          <w:i/>
          <w:color w:val="000000"/>
        </w:rPr>
        <w:t>Návrh zákona bol zaslaný na vyjadrenie Ministerstvu financií SR a stanovisko tohto ministerstva tvorí súčasť predkladaného materiálu.</w:t>
      </w:r>
    </w:p>
    <w:p w14:paraId="72F7098C" w14:textId="77777777" w:rsidR="00B44178" w:rsidRPr="00F242C9" w:rsidRDefault="00B44178" w:rsidP="00B44178"/>
    <w:p w14:paraId="0A36368D" w14:textId="77777777" w:rsidR="00B44178" w:rsidRDefault="00B44178" w:rsidP="00B44178">
      <w:pPr>
        <w:spacing w:line="264" w:lineRule="auto"/>
      </w:pPr>
    </w:p>
    <w:p w14:paraId="61BD4D92" w14:textId="77777777" w:rsidR="00B44178" w:rsidRDefault="00B44178" w:rsidP="00890157">
      <w:pPr>
        <w:spacing w:line="264" w:lineRule="auto"/>
      </w:pPr>
    </w:p>
    <w:sectPr w:rsidR="00B4417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1624" w14:textId="77777777" w:rsidR="00365517" w:rsidRDefault="00365517" w:rsidP="009C6ABE">
      <w:r>
        <w:separator/>
      </w:r>
    </w:p>
  </w:endnote>
  <w:endnote w:type="continuationSeparator" w:id="0">
    <w:p w14:paraId="6D9BC374" w14:textId="77777777" w:rsidR="00365517" w:rsidRDefault="00365517" w:rsidP="009C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5035373"/>
      <w:docPartObj>
        <w:docPartGallery w:val="Page Numbers (Bottom of Page)"/>
        <w:docPartUnique/>
      </w:docPartObj>
    </w:sdtPr>
    <w:sdtContent>
      <w:p w14:paraId="5BCBD0EC" w14:textId="52BD36DA" w:rsidR="00DC7521" w:rsidRDefault="00DC75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1E3">
          <w:rPr>
            <w:noProof/>
          </w:rPr>
          <w:t>27</w:t>
        </w:r>
        <w:r>
          <w:fldChar w:fldCharType="end"/>
        </w:r>
      </w:p>
    </w:sdtContent>
  </w:sdt>
  <w:p w14:paraId="351AE552" w14:textId="77777777" w:rsidR="00DC7521" w:rsidRDefault="00DC75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8208" w14:textId="77777777" w:rsidR="00365517" w:rsidRDefault="00365517" w:rsidP="009C6ABE">
      <w:r>
        <w:separator/>
      </w:r>
    </w:p>
  </w:footnote>
  <w:footnote w:type="continuationSeparator" w:id="0">
    <w:p w14:paraId="28215E8B" w14:textId="77777777" w:rsidR="00365517" w:rsidRDefault="00365517" w:rsidP="009C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2B06"/>
    <w:multiLevelType w:val="hybridMultilevel"/>
    <w:tmpl w:val="290868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371"/>
        </w:tabs>
        <w:ind w:left="337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3" w15:restartNumberingAfterBreak="0">
    <w:nsid w:val="29043769"/>
    <w:multiLevelType w:val="hybridMultilevel"/>
    <w:tmpl w:val="95BCBE10"/>
    <w:lvl w:ilvl="0" w:tplc="998401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F253E"/>
    <w:multiLevelType w:val="hybridMultilevel"/>
    <w:tmpl w:val="6D7A81B2"/>
    <w:lvl w:ilvl="0" w:tplc="AB66181A">
      <w:start w:val="1"/>
      <w:numFmt w:val="decimal"/>
      <w:lvlText w:val="%1."/>
      <w:lvlJc w:val="left"/>
      <w:pPr>
        <w:ind w:left="930" w:hanging="57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072714">
    <w:abstractNumId w:val="2"/>
  </w:num>
  <w:num w:numId="2" w16cid:durableId="853493824">
    <w:abstractNumId w:val="4"/>
  </w:num>
  <w:num w:numId="3" w16cid:durableId="1778141344">
    <w:abstractNumId w:val="3"/>
  </w:num>
  <w:num w:numId="4" w16cid:durableId="2076926494">
    <w:abstractNumId w:val="0"/>
  </w:num>
  <w:num w:numId="5" w16cid:durableId="401761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62"/>
    <w:rsid w:val="000034B1"/>
    <w:rsid w:val="000101E3"/>
    <w:rsid w:val="00014221"/>
    <w:rsid w:val="00023DBD"/>
    <w:rsid w:val="00033FBE"/>
    <w:rsid w:val="000664C2"/>
    <w:rsid w:val="00071FDE"/>
    <w:rsid w:val="00080164"/>
    <w:rsid w:val="00083A88"/>
    <w:rsid w:val="00083EC3"/>
    <w:rsid w:val="000927A6"/>
    <w:rsid w:val="000B1C68"/>
    <w:rsid w:val="000C4729"/>
    <w:rsid w:val="000D0731"/>
    <w:rsid w:val="000D08EB"/>
    <w:rsid w:val="000D5EE7"/>
    <w:rsid w:val="000F1DF2"/>
    <w:rsid w:val="000F27D4"/>
    <w:rsid w:val="000F3A2B"/>
    <w:rsid w:val="000F6F91"/>
    <w:rsid w:val="00104DEF"/>
    <w:rsid w:val="00107F4D"/>
    <w:rsid w:val="001157DC"/>
    <w:rsid w:val="001174BC"/>
    <w:rsid w:val="00123472"/>
    <w:rsid w:val="00133242"/>
    <w:rsid w:val="00141383"/>
    <w:rsid w:val="00153429"/>
    <w:rsid w:val="00180D36"/>
    <w:rsid w:val="00195644"/>
    <w:rsid w:val="001B4A35"/>
    <w:rsid w:val="001C0081"/>
    <w:rsid w:val="001C6A7D"/>
    <w:rsid w:val="001D145F"/>
    <w:rsid w:val="001D6AF0"/>
    <w:rsid w:val="00202546"/>
    <w:rsid w:val="002169DE"/>
    <w:rsid w:val="0022029E"/>
    <w:rsid w:val="00220CCD"/>
    <w:rsid w:val="002328A3"/>
    <w:rsid w:val="002418ED"/>
    <w:rsid w:val="00247AEB"/>
    <w:rsid w:val="002628A8"/>
    <w:rsid w:val="00266B62"/>
    <w:rsid w:val="002727EE"/>
    <w:rsid w:val="002746AE"/>
    <w:rsid w:val="00275EDC"/>
    <w:rsid w:val="002A22F2"/>
    <w:rsid w:val="002A4509"/>
    <w:rsid w:val="002C49F7"/>
    <w:rsid w:val="002D6C75"/>
    <w:rsid w:val="002D793C"/>
    <w:rsid w:val="002E446F"/>
    <w:rsid w:val="002F1836"/>
    <w:rsid w:val="002F38FC"/>
    <w:rsid w:val="00300A79"/>
    <w:rsid w:val="0030200E"/>
    <w:rsid w:val="00310D0D"/>
    <w:rsid w:val="00313471"/>
    <w:rsid w:val="00323EFD"/>
    <w:rsid w:val="00330034"/>
    <w:rsid w:val="00345B5B"/>
    <w:rsid w:val="00354495"/>
    <w:rsid w:val="003579C4"/>
    <w:rsid w:val="00365517"/>
    <w:rsid w:val="00365A9A"/>
    <w:rsid w:val="0037023A"/>
    <w:rsid w:val="00377682"/>
    <w:rsid w:val="00393E1D"/>
    <w:rsid w:val="00397E08"/>
    <w:rsid w:val="003A03E6"/>
    <w:rsid w:val="003B21AC"/>
    <w:rsid w:val="003B2D3A"/>
    <w:rsid w:val="003C2CFE"/>
    <w:rsid w:val="0040141E"/>
    <w:rsid w:val="00403FAA"/>
    <w:rsid w:val="0040473B"/>
    <w:rsid w:val="004130D8"/>
    <w:rsid w:val="00424616"/>
    <w:rsid w:val="00427074"/>
    <w:rsid w:val="00431596"/>
    <w:rsid w:val="004315DE"/>
    <w:rsid w:val="00431ED2"/>
    <w:rsid w:val="00434245"/>
    <w:rsid w:val="00446552"/>
    <w:rsid w:val="00446A89"/>
    <w:rsid w:val="00466982"/>
    <w:rsid w:val="004727CA"/>
    <w:rsid w:val="00481DC2"/>
    <w:rsid w:val="00484D5B"/>
    <w:rsid w:val="00490A66"/>
    <w:rsid w:val="0049677E"/>
    <w:rsid w:val="004A7B6A"/>
    <w:rsid w:val="004B7715"/>
    <w:rsid w:val="004C0497"/>
    <w:rsid w:val="004C216E"/>
    <w:rsid w:val="004C45A7"/>
    <w:rsid w:val="004D1D5F"/>
    <w:rsid w:val="004D3C4C"/>
    <w:rsid w:val="004D547C"/>
    <w:rsid w:val="004E41AC"/>
    <w:rsid w:val="004E5DE2"/>
    <w:rsid w:val="004F0F46"/>
    <w:rsid w:val="004F42B4"/>
    <w:rsid w:val="00502520"/>
    <w:rsid w:val="00503BB6"/>
    <w:rsid w:val="00506EFA"/>
    <w:rsid w:val="00510906"/>
    <w:rsid w:val="0051210D"/>
    <w:rsid w:val="00537E4D"/>
    <w:rsid w:val="0055001B"/>
    <w:rsid w:val="005510E0"/>
    <w:rsid w:val="00555025"/>
    <w:rsid w:val="005576AA"/>
    <w:rsid w:val="0056652E"/>
    <w:rsid w:val="00581872"/>
    <w:rsid w:val="00584D8C"/>
    <w:rsid w:val="00586B26"/>
    <w:rsid w:val="00590899"/>
    <w:rsid w:val="00593E35"/>
    <w:rsid w:val="005A09F3"/>
    <w:rsid w:val="005C2FA3"/>
    <w:rsid w:val="005C502F"/>
    <w:rsid w:val="005D21B3"/>
    <w:rsid w:val="005D2D90"/>
    <w:rsid w:val="005D42AC"/>
    <w:rsid w:val="005F29B1"/>
    <w:rsid w:val="00600980"/>
    <w:rsid w:val="00611A05"/>
    <w:rsid w:val="00620B20"/>
    <w:rsid w:val="0062561C"/>
    <w:rsid w:val="006279A9"/>
    <w:rsid w:val="00632A25"/>
    <w:rsid w:val="0063385D"/>
    <w:rsid w:val="00644E20"/>
    <w:rsid w:val="00651439"/>
    <w:rsid w:val="0065381A"/>
    <w:rsid w:val="006655F8"/>
    <w:rsid w:val="00667F00"/>
    <w:rsid w:val="00674972"/>
    <w:rsid w:val="00681B53"/>
    <w:rsid w:val="00685CD3"/>
    <w:rsid w:val="00692E36"/>
    <w:rsid w:val="00693944"/>
    <w:rsid w:val="006955F5"/>
    <w:rsid w:val="006A51DB"/>
    <w:rsid w:val="006A7F63"/>
    <w:rsid w:val="006E0958"/>
    <w:rsid w:val="006E2D81"/>
    <w:rsid w:val="006F7582"/>
    <w:rsid w:val="0072087B"/>
    <w:rsid w:val="00723F51"/>
    <w:rsid w:val="0073414A"/>
    <w:rsid w:val="0074052F"/>
    <w:rsid w:val="00742E19"/>
    <w:rsid w:val="00756EB9"/>
    <w:rsid w:val="00761C07"/>
    <w:rsid w:val="00771D9E"/>
    <w:rsid w:val="0077784D"/>
    <w:rsid w:val="007940FB"/>
    <w:rsid w:val="00797C21"/>
    <w:rsid w:val="007B3876"/>
    <w:rsid w:val="007B4DA1"/>
    <w:rsid w:val="007C154F"/>
    <w:rsid w:val="007E55C3"/>
    <w:rsid w:val="007F4A49"/>
    <w:rsid w:val="00816197"/>
    <w:rsid w:val="00817DAD"/>
    <w:rsid w:val="0082427B"/>
    <w:rsid w:val="00824AA1"/>
    <w:rsid w:val="00825697"/>
    <w:rsid w:val="0082630F"/>
    <w:rsid w:val="00846FEA"/>
    <w:rsid w:val="008514BE"/>
    <w:rsid w:val="00860721"/>
    <w:rsid w:val="008736DE"/>
    <w:rsid w:val="00873A87"/>
    <w:rsid w:val="00875E54"/>
    <w:rsid w:val="0087791A"/>
    <w:rsid w:val="00877A33"/>
    <w:rsid w:val="00885AB6"/>
    <w:rsid w:val="00887135"/>
    <w:rsid w:val="00890157"/>
    <w:rsid w:val="00890A88"/>
    <w:rsid w:val="008B0C84"/>
    <w:rsid w:val="008B2201"/>
    <w:rsid w:val="008C190A"/>
    <w:rsid w:val="008C5988"/>
    <w:rsid w:val="008D021F"/>
    <w:rsid w:val="008D2491"/>
    <w:rsid w:val="008D5941"/>
    <w:rsid w:val="008E595E"/>
    <w:rsid w:val="008F1577"/>
    <w:rsid w:val="00916187"/>
    <w:rsid w:val="00932AB1"/>
    <w:rsid w:val="009368F0"/>
    <w:rsid w:val="009452EC"/>
    <w:rsid w:val="00951C78"/>
    <w:rsid w:val="00952CBC"/>
    <w:rsid w:val="0096001B"/>
    <w:rsid w:val="009619F6"/>
    <w:rsid w:val="0096608F"/>
    <w:rsid w:val="00967E82"/>
    <w:rsid w:val="009710E3"/>
    <w:rsid w:val="0098588B"/>
    <w:rsid w:val="009864DA"/>
    <w:rsid w:val="009B3074"/>
    <w:rsid w:val="009B4984"/>
    <w:rsid w:val="009C6ABE"/>
    <w:rsid w:val="009D2336"/>
    <w:rsid w:val="009D62AC"/>
    <w:rsid w:val="009D7B61"/>
    <w:rsid w:val="009F1C6E"/>
    <w:rsid w:val="00A005E6"/>
    <w:rsid w:val="00A16BC6"/>
    <w:rsid w:val="00A2686A"/>
    <w:rsid w:val="00A31879"/>
    <w:rsid w:val="00A621AF"/>
    <w:rsid w:val="00A626D4"/>
    <w:rsid w:val="00A76DCC"/>
    <w:rsid w:val="00A94372"/>
    <w:rsid w:val="00AB56BD"/>
    <w:rsid w:val="00AB5B3C"/>
    <w:rsid w:val="00AC1F10"/>
    <w:rsid w:val="00AC37C3"/>
    <w:rsid w:val="00AD5097"/>
    <w:rsid w:val="00AD645E"/>
    <w:rsid w:val="00AE5129"/>
    <w:rsid w:val="00AE7F92"/>
    <w:rsid w:val="00B11C4D"/>
    <w:rsid w:val="00B1255E"/>
    <w:rsid w:val="00B14124"/>
    <w:rsid w:val="00B16C0B"/>
    <w:rsid w:val="00B263BB"/>
    <w:rsid w:val="00B35B1A"/>
    <w:rsid w:val="00B44178"/>
    <w:rsid w:val="00B933AC"/>
    <w:rsid w:val="00B971EB"/>
    <w:rsid w:val="00BA04BF"/>
    <w:rsid w:val="00BA4EFC"/>
    <w:rsid w:val="00BA5678"/>
    <w:rsid w:val="00BB2FC6"/>
    <w:rsid w:val="00BB67F7"/>
    <w:rsid w:val="00BE18E9"/>
    <w:rsid w:val="00BE2AC6"/>
    <w:rsid w:val="00BE7AB5"/>
    <w:rsid w:val="00C04E0C"/>
    <w:rsid w:val="00C11EF2"/>
    <w:rsid w:val="00C301E6"/>
    <w:rsid w:val="00C34D83"/>
    <w:rsid w:val="00C37629"/>
    <w:rsid w:val="00C47580"/>
    <w:rsid w:val="00C57DB3"/>
    <w:rsid w:val="00C612C0"/>
    <w:rsid w:val="00C62337"/>
    <w:rsid w:val="00C63098"/>
    <w:rsid w:val="00C6621E"/>
    <w:rsid w:val="00C672AE"/>
    <w:rsid w:val="00C86BB8"/>
    <w:rsid w:val="00C87001"/>
    <w:rsid w:val="00C9054C"/>
    <w:rsid w:val="00C979F8"/>
    <w:rsid w:val="00CA1E9A"/>
    <w:rsid w:val="00CB3B63"/>
    <w:rsid w:val="00CC0C8E"/>
    <w:rsid w:val="00CE16CF"/>
    <w:rsid w:val="00D0157D"/>
    <w:rsid w:val="00D04F1C"/>
    <w:rsid w:val="00D10734"/>
    <w:rsid w:val="00D10C1D"/>
    <w:rsid w:val="00D12B2F"/>
    <w:rsid w:val="00D14002"/>
    <w:rsid w:val="00D3284C"/>
    <w:rsid w:val="00D60469"/>
    <w:rsid w:val="00D617D9"/>
    <w:rsid w:val="00D62B97"/>
    <w:rsid w:val="00D64D4F"/>
    <w:rsid w:val="00D84F5D"/>
    <w:rsid w:val="00D970F8"/>
    <w:rsid w:val="00DC2531"/>
    <w:rsid w:val="00DC6318"/>
    <w:rsid w:val="00DC7521"/>
    <w:rsid w:val="00DD4FC1"/>
    <w:rsid w:val="00DE2C6A"/>
    <w:rsid w:val="00DE330B"/>
    <w:rsid w:val="00DE71C4"/>
    <w:rsid w:val="00E204C6"/>
    <w:rsid w:val="00E20915"/>
    <w:rsid w:val="00E2094D"/>
    <w:rsid w:val="00E22441"/>
    <w:rsid w:val="00E23EEB"/>
    <w:rsid w:val="00E255E2"/>
    <w:rsid w:val="00E25862"/>
    <w:rsid w:val="00E31014"/>
    <w:rsid w:val="00E324D1"/>
    <w:rsid w:val="00E351B0"/>
    <w:rsid w:val="00E61372"/>
    <w:rsid w:val="00E640EF"/>
    <w:rsid w:val="00E65651"/>
    <w:rsid w:val="00E6588F"/>
    <w:rsid w:val="00E675F4"/>
    <w:rsid w:val="00E7086C"/>
    <w:rsid w:val="00E717F7"/>
    <w:rsid w:val="00E719AE"/>
    <w:rsid w:val="00EA0099"/>
    <w:rsid w:val="00EA0B5B"/>
    <w:rsid w:val="00EC1156"/>
    <w:rsid w:val="00EC3FCF"/>
    <w:rsid w:val="00F01854"/>
    <w:rsid w:val="00F043EB"/>
    <w:rsid w:val="00F048FE"/>
    <w:rsid w:val="00F05D5E"/>
    <w:rsid w:val="00F17F25"/>
    <w:rsid w:val="00F242C9"/>
    <w:rsid w:val="00F33406"/>
    <w:rsid w:val="00F35526"/>
    <w:rsid w:val="00F43C49"/>
    <w:rsid w:val="00F504E1"/>
    <w:rsid w:val="00F566CF"/>
    <w:rsid w:val="00F625AD"/>
    <w:rsid w:val="00F630FC"/>
    <w:rsid w:val="00F632AC"/>
    <w:rsid w:val="00F729FE"/>
    <w:rsid w:val="00F7480B"/>
    <w:rsid w:val="00F838C0"/>
    <w:rsid w:val="00F84373"/>
    <w:rsid w:val="00F93217"/>
    <w:rsid w:val="00F96856"/>
    <w:rsid w:val="00FB246C"/>
    <w:rsid w:val="00FC5825"/>
    <w:rsid w:val="00FC5E03"/>
    <w:rsid w:val="00FD5300"/>
    <w:rsid w:val="00FF207B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B60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2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F29B1"/>
    <w:pPr>
      <w:keepNext/>
      <w:numPr>
        <w:numId w:val="1"/>
      </w:numPr>
      <w:jc w:val="center"/>
      <w:outlineLvl w:val="0"/>
    </w:pPr>
    <w:rPr>
      <w:rFonts w:eastAsia="Arial Unicode MS"/>
      <w:b/>
      <w:sz w:val="28"/>
      <w:szCs w:val="20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F29B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5F29B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5F29B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5F29B1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5F29B1"/>
    <w:pPr>
      <w:keepNext/>
      <w:numPr>
        <w:ilvl w:val="5"/>
        <w:numId w:val="1"/>
      </w:numPr>
      <w:jc w:val="both"/>
      <w:outlineLvl w:val="5"/>
    </w:pPr>
    <w:rPr>
      <w:b/>
      <w:bCs/>
      <w:u w:val="singl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F29B1"/>
    <w:pPr>
      <w:keepNext/>
      <w:numPr>
        <w:ilvl w:val="6"/>
        <w:numId w:val="1"/>
      </w:numPr>
      <w:jc w:val="both"/>
      <w:outlineLvl w:val="6"/>
    </w:pPr>
    <w:rPr>
      <w:b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29B1"/>
    <w:rPr>
      <w:rFonts w:ascii="Times New Roman" w:eastAsia="Arial Unicode MS" w:hAnsi="Times New Roman" w:cs="Times New Roman"/>
      <w:b/>
      <w:sz w:val="28"/>
      <w:szCs w:val="20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rsid w:val="005F29B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5F29B1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5F29B1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5F29B1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5F29B1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5F29B1"/>
    <w:rPr>
      <w:rFonts w:ascii="Times New Roman" w:eastAsia="Times New Roman" w:hAnsi="Times New Roman" w:cs="Times New Roman"/>
      <w:b/>
      <w:sz w:val="24"/>
      <w:szCs w:val="26"/>
      <w:lang w:eastAsia="sk-SK"/>
    </w:rPr>
  </w:style>
  <w:style w:type="paragraph" w:styleId="Normlnywebov">
    <w:name w:val="Normal (Web)"/>
    <w:basedOn w:val="Normlny"/>
    <w:link w:val="NormlnywebovChar"/>
    <w:qFormat/>
    <w:rsid w:val="005F29B1"/>
    <w:pPr>
      <w:spacing w:after="240" w:line="312" w:lineRule="atLeast"/>
    </w:pPr>
    <w:rPr>
      <w:rFonts w:ascii="Arial Unicode MS" w:eastAsia="Arial Unicode MS" w:hAnsi="Arial Unicode MS" w:cs="Arial Unicode MS"/>
    </w:rPr>
  </w:style>
  <w:style w:type="paragraph" w:styleId="Odsekzoznamu">
    <w:name w:val="List Paragraph"/>
    <w:basedOn w:val="Normlny"/>
    <w:link w:val="OdsekzoznamuChar"/>
    <w:uiPriority w:val="34"/>
    <w:qFormat/>
    <w:rsid w:val="005F29B1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5F29B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5F29B1"/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5F29B1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F29B1"/>
    <w:rPr>
      <w:rFonts w:ascii="Calibri" w:eastAsia="Calibri" w:hAnsi="Calibri" w:cs="Times New Roman"/>
      <w:sz w:val="20"/>
      <w:szCs w:val="20"/>
    </w:rPr>
  </w:style>
  <w:style w:type="paragraph" w:customStyle="1" w:styleId="AKSS">
    <w:name w:val="AKSS"/>
    <w:basedOn w:val="Normlny"/>
    <w:qFormat/>
    <w:rsid w:val="005F29B1"/>
    <w:pPr>
      <w:spacing w:line="240" w:lineRule="atLeast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markedcontent">
    <w:name w:val="markedcontent"/>
    <w:basedOn w:val="Predvolenpsmoodseku"/>
    <w:rsid w:val="005F29B1"/>
  </w:style>
  <w:style w:type="paragraph" w:styleId="Textbubliny">
    <w:name w:val="Balloon Text"/>
    <w:basedOn w:val="Normlny"/>
    <w:link w:val="TextbublinyChar"/>
    <w:uiPriority w:val="99"/>
    <w:semiHidden/>
    <w:unhideWhenUsed/>
    <w:rsid w:val="00DD4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4FC1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C6A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C6A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C6A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6AB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uiPriority w:val="99"/>
    <w:rsid w:val="0056652E"/>
    <w:rPr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C9054C"/>
    <w:rPr>
      <w:color w:val="0000FF"/>
      <w:u w:val="single"/>
    </w:rPr>
  </w:style>
  <w:style w:type="paragraph" w:customStyle="1" w:styleId="CM1">
    <w:name w:val="CM1"/>
    <w:basedOn w:val="Normlny"/>
    <w:next w:val="Normlny"/>
    <w:uiPriority w:val="99"/>
    <w:rsid w:val="007F4A49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customStyle="1" w:styleId="CM3">
    <w:name w:val="CM3"/>
    <w:basedOn w:val="Normlny"/>
    <w:next w:val="Normlny"/>
    <w:uiPriority w:val="99"/>
    <w:rsid w:val="007F4A49"/>
    <w:pPr>
      <w:autoSpaceDE w:val="0"/>
      <w:autoSpaceDN w:val="0"/>
      <w:adjustRightInd w:val="0"/>
    </w:pPr>
    <w:rPr>
      <w:rFonts w:ascii="EUAlbertina" w:eastAsiaTheme="minorHAnsi" w:hAnsi="EUAlbertina" w:cstheme="minorBidi"/>
      <w:lang w:eastAsia="en-US"/>
    </w:rPr>
  </w:style>
  <w:style w:type="paragraph" w:styleId="Revzia">
    <w:name w:val="Revision"/>
    <w:hidden/>
    <w:uiPriority w:val="99"/>
    <w:semiHidden/>
    <w:rsid w:val="00873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2CBC"/>
    <w:pPr>
      <w:spacing w:after="0"/>
    </w:pPr>
    <w:rPr>
      <w:rFonts w:ascii="Times New Roman" w:eastAsia="Times New Roman" w:hAnsi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2CB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Vchodzie">
    <w:name w:val="Vchodzie"/>
    <w:qFormat/>
    <w:rsid w:val="00B44178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Calibri"/>
      <w:lang w:bidi="hi-IN"/>
    </w:rPr>
  </w:style>
  <w:style w:type="character" w:customStyle="1" w:styleId="awspan">
    <w:name w:val="awspan"/>
    <w:basedOn w:val="Predvolenpsmoodseku"/>
    <w:qFormat/>
    <w:rsid w:val="00B44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2416</Words>
  <Characters>13775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2023-04-14T08:10:00Z</dcterms:created>
  <dcterms:modified xsi:type="dcterms:W3CDTF">2023-04-14T10:34:00Z</dcterms:modified>
</cp:coreProperties>
</file>