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B5" w:rsidRPr="00556DB3" w:rsidRDefault="00C85FFE" w:rsidP="00C85FFE">
      <w:pPr>
        <w:spacing w:before="12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sz w:val="22"/>
          <w:lang w:eastAsia="sk-SK"/>
        </w:rPr>
      </w:pPr>
      <w:r w:rsidRPr="00556DB3">
        <w:rPr>
          <w:rFonts w:ascii="Book Antiqua" w:eastAsia="Times New Roman" w:hAnsi="Book Antiqua" w:cs="Times New Roman"/>
          <w:b/>
          <w:bCs/>
          <w:color w:val="000000"/>
          <w:sz w:val="22"/>
          <w:lang w:eastAsia="sk-SK"/>
        </w:rPr>
        <w:t>DÔVODOVÁ SPRÁVA</w:t>
      </w:r>
    </w:p>
    <w:p w:rsidR="00B77CB5" w:rsidRPr="00556DB3" w:rsidRDefault="00B77CB5" w:rsidP="00C85FFE">
      <w:pPr>
        <w:spacing w:before="120" w:line="276" w:lineRule="auto"/>
        <w:rPr>
          <w:rFonts w:ascii="Book Antiqua" w:eastAsia="Times New Roman" w:hAnsi="Book Antiqua" w:cs="Times New Roman"/>
          <w:sz w:val="22"/>
          <w:lang w:eastAsia="sk-SK"/>
        </w:rPr>
      </w:pPr>
    </w:p>
    <w:p w:rsidR="00B77CB5" w:rsidRPr="00556DB3" w:rsidRDefault="00B77CB5" w:rsidP="00C85FFE">
      <w:pPr>
        <w:numPr>
          <w:ilvl w:val="0"/>
          <w:numId w:val="2"/>
        </w:numPr>
        <w:spacing w:before="120" w:line="276" w:lineRule="auto"/>
        <w:ind w:left="284" w:hanging="284"/>
        <w:contextualSpacing/>
        <w:rPr>
          <w:rFonts w:ascii="Book Antiqua" w:eastAsia="Times New Roman" w:hAnsi="Book Antiqua" w:cs="Times New Roman"/>
          <w:b/>
          <w:bCs/>
          <w:color w:val="000000"/>
          <w:sz w:val="22"/>
          <w:lang w:eastAsia="sk-SK"/>
        </w:rPr>
      </w:pPr>
      <w:r w:rsidRPr="00556DB3">
        <w:rPr>
          <w:rFonts w:ascii="Book Antiqua" w:eastAsia="Times New Roman" w:hAnsi="Book Antiqua" w:cs="Times New Roman"/>
          <w:b/>
          <w:bCs/>
          <w:color w:val="000000"/>
          <w:sz w:val="22"/>
          <w:lang w:eastAsia="sk-SK"/>
        </w:rPr>
        <w:t>Všeobecná časť</w:t>
      </w:r>
    </w:p>
    <w:p w:rsidR="00C85FFE" w:rsidRPr="00556DB3" w:rsidRDefault="00C85FFE" w:rsidP="00C85FFE">
      <w:pPr>
        <w:spacing w:before="12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sz w:val="22"/>
          <w:lang w:eastAsia="sk-SK"/>
        </w:rPr>
      </w:pPr>
      <w:r w:rsidRPr="00556DB3">
        <w:rPr>
          <w:rFonts w:ascii="Book Antiqua" w:hAnsi="Book Antiqua" w:cs="Times New Roman"/>
          <w:sz w:val="22"/>
        </w:rPr>
        <w:t xml:space="preserve">Návrh zákona, ktorým sa mení a dopĺňa zákon č. 253/1994 Z. z. 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222/2004 Z. z. o dani z pridanej hodnoty v znení neskorších predpisov</w:t>
      </w:r>
      <w:r w:rsidRPr="00556DB3">
        <w:rPr>
          <w:rFonts w:ascii="Book Antiqua" w:hAnsi="Book Antiqua" w:cs="Times New Roman"/>
          <w:sz w:val="22"/>
        </w:rPr>
        <w:t xml:space="preserve"> (ďal</w:t>
      </w:r>
      <w:r w:rsidR="00C65352">
        <w:rPr>
          <w:rFonts w:ascii="Book Antiqua" w:hAnsi="Book Antiqua" w:cs="Times New Roman"/>
          <w:sz w:val="22"/>
        </w:rPr>
        <w:t>ej len „návrh zákona“) predkladajú</w:t>
      </w:r>
      <w:r w:rsidRPr="00556DB3">
        <w:rPr>
          <w:rFonts w:ascii="Book Antiqua" w:hAnsi="Book Antiqua" w:cs="Times New Roman"/>
          <w:sz w:val="22"/>
        </w:rPr>
        <w:t xml:space="preserve"> na rokovanie Národnej rady Slovenskej republiky </w:t>
      </w:r>
      <w:r w:rsidR="00C65352">
        <w:rPr>
          <w:rFonts w:ascii="Book Antiqua" w:hAnsi="Book Antiqua" w:cs="Times New Roman"/>
          <w:sz w:val="22"/>
        </w:rPr>
        <w:t>poslanci</w:t>
      </w:r>
      <w:r w:rsidRPr="00556DB3">
        <w:rPr>
          <w:rFonts w:ascii="Book Antiqua" w:hAnsi="Book Antiqua" w:cs="Times New Roman"/>
          <w:sz w:val="22"/>
        </w:rPr>
        <w:t xml:space="preserve"> Národnej rady Slovenskej republiky</w:t>
      </w:r>
      <w:r w:rsidR="00C65352">
        <w:rPr>
          <w:rFonts w:ascii="Book Antiqua" w:hAnsi="Book Antiqua" w:cs="Times New Roman"/>
          <w:sz w:val="22"/>
        </w:rPr>
        <w:t xml:space="preserve"> Milan Vetrák a Milan Potocký</w:t>
      </w:r>
      <w:bookmarkStart w:id="0" w:name="_GoBack"/>
      <w:bookmarkEnd w:id="0"/>
      <w:r w:rsidRPr="00556DB3">
        <w:rPr>
          <w:rFonts w:ascii="Book Antiqua" w:hAnsi="Book Antiqua" w:cs="Times New Roman"/>
          <w:sz w:val="22"/>
        </w:rPr>
        <w:t>.</w:t>
      </w:r>
    </w:p>
    <w:p w:rsidR="00C85FFE" w:rsidRPr="00556DB3" w:rsidRDefault="00C85FFE" w:rsidP="00C85FFE">
      <w:pPr>
        <w:spacing w:before="120" w:line="276" w:lineRule="auto"/>
        <w:ind w:firstLine="708"/>
        <w:jc w:val="both"/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</w:pPr>
      <w:r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Hlavným cieľom </w:t>
      </w:r>
      <w:r w:rsidR="00B77CB5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>návrhu zákona je</w:t>
      </w:r>
      <w:r w:rsidR="00DC29EA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 </w:t>
      </w:r>
      <w:r w:rsidR="00A53D61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>finančná podpora</w:t>
      </w:r>
      <w:r w:rsidR="00DC29EA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 pre </w:t>
      </w:r>
      <w:r w:rsidR="00A53D61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>fyzické osoby a právnické osoby</w:t>
      </w:r>
      <w:r w:rsidR="00DC29EA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 </w:t>
      </w:r>
      <w:r w:rsidR="00A53D61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>podnikajúce v </w:t>
      </w:r>
      <w:r w:rsidR="00120BD4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>sektore</w:t>
      </w:r>
      <w:r w:rsidR="00A53D61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 </w:t>
      </w:r>
      <w:r w:rsidR="00DC29EA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kultúry a kreatívneho priemyslu (ďalej len „KKP“) prostredníctvom </w:t>
      </w:r>
      <w:r w:rsidR="00A53D61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aplikácie </w:t>
      </w:r>
      <w:r w:rsidR="00DC29EA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zníženej sadzby DPH na vybrané </w:t>
      </w:r>
      <w:r w:rsidR="00A53D61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>tovary</w:t>
      </w:r>
      <w:r w:rsidR="00DC29EA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 a</w:t>
      </w:r>
      <w:r w:rsidR="00120BD4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> </w:t>
      </w:r>
      <w:r w:rsidR="00DC29EA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>služby</w:t>
      </w:r>
      <w:r w:rsidR="00120BD4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 zo sektora KKP</w:t>
      </w:r>
      <w:r w:rsidR="00DC29EA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. </w:t>
      </w:r>
    </w:p>
    <w:p w:rsidR="00C85FFE" w:rsidRPr="00556DB3" w:rsidRDefault="00DC29EA" w:rsidP="00C85FFE">
      <w:pPr>
        <w:spacing w:before="120" w:line="276" w:lineRule="auto"/>
        <w:ind w:firstLine="708"/>
        <w:jc w:val="both"/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</w:pP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Sektor KKP patril medzi najviac ekonomicky zasiahnutý opatreniami v dôsledku pandémie Covid-19, dopyt po kultúrnych službách a produktoch v dobe súčasnej náročnej ekonomickej situácie sa vracia do normálu iba veľmi pomaly. Rozšírenie uplatňovania zníženej sadzby DPH, ktorá sa aktuálne v sektore KKP uplatňuje iba pri predaji tlačených kníh a periodických publikácií, by priniesla doplnkovú ekonomickú podporu podnikateľom v sektore KKP. Účinnosť</w:t>
      </w:r>
      <w:r w:rsidR="00C85FFE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 zmeny právnej úpravy sa navrhuje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 od 1. januára 2024.</w:t>
      </w:r>
    </w:p>
    <w:p w:rsidR="00C85FFE" w:rsidRPr="00556DB3" w:rsidRDefault="00DC29EA" w:rsidP="00C85FFE">
      <w:pPr>
        <w:spacing w:before="12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sz w:val="22"/>
          <w:lang w:eastAsia="sk-SK"/>
        </w:rPr>
      </w:pP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Zníženie sadzby DPH na vybrané produkty v sektore KKP je bežnou praxou aj v iných členských štátoch </w:t>
      </w:r>
      <w:r w:rsidR="00120BD4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Európskej únie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, využíva sa ako jeden z relevantných nástrojov ekonomickej podpory.</w:t>
      </w:r>
      <w:r w:rsidR="00C85FFE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 </w:t>
      </w:r>
      <w:r w:rsidR="00120BD4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Návrh produktov – tovarov a služieb - p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re zaradenie do zníženej sadzby DPH (10%) </w:t>
      </w:r>
      <w:r w:rsidR="00120BD4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je 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v súlade so smernicou 2006/112/ES o spoločnom systéme</w:t>
      </w:r>
      <w:r w:rsidR="00C85FFE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 DPH. </w:t>
      </w:r>
    </w:p>
    <w:p w:rsidR="00DC29EA" w:rsidRPr="00556DB3" w:rsidRDefault="00120BD4" w:rsidP="00C85FFE">
      <w:pPr>
        <w:spacing w:before="120" w:line="276" w:lineRule="auto"/>
        <w:ind w:firstLine="708"/>
        <w:jc w:val="both"/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</w:pPr>
      <w:r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>Uplatňovanie zníženej</w:t>
      </w:r>
      <w:r w:rsidR="00DC29EA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 sadzby </w:t>
      </w:r>
      <w:r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DPH </w:t>
      </w:r>
      <w:r w:rsidR="00DC29EA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 xml:space="preserve">navrhujeme </w:t>
      </w:r>
      <w:r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>rozšíriť o</w:t>
      </w:r>
      <w:r w:rsidR="00DC29EA" w:rsidRPr="00556DB3">
        <w:rPr>
          <w:rFonts w:ascii="Book Antiqua" w:eastAsia="Times New Roman" w:hAnsi="Book Antiqua" w:cs="Times New Roman"/>
          <w:b/>
          <w:color w:val="000000"/>
          <w:sz w:val="22"/>
          <w:lang w:eastAsia="sk-SK"/>
        </w:rPr>
        <w:t>:</w:t>
      </w:r>
    </w:p>
    <w:p w:rsidR="00120BD4" w:rsidRPr="00556DB3" w:rsidRDefault="00DC29EA" w:rsidP="00C85FFE">
      <w:pPr>
        <w:pStyle w:val="Odsekzoznamu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556DB3">
        <w:rPr>
          <w:rFonts w:ascii="Book Antiqua" w:hAnsi="Book Antiqua"/>
          <w:b/>
          <w:color w:val="000000"/>
          <w:sz w:val="22"/>
          <w:szCs w:val="22"/>
        </w:rPr>
        <w:t xml:space="preserve">e-knihy a </w:t>
      </w:r>
      <w:r w:rsidR="00C338BB" w:rsidRPr="00556DB3">
        <w:rPr>
          <w:rFonts w:ascii="Book Antiqua" w:hAnsi="Book Antiqua"/>
          <w:b/>
          <w:color w:val="000000"/>
          <w:sz w:val="22"/>
          <w:szCs w:val="22"/>
        </w:rPr>
        <w:t>zvukové nahrávky kníh (audioknihy)</w:t>
      </w:r>
      <w:r w:rsidRPr="00556DB3">
        <w:rPr>
          <w:rFonts w:ascii="Book Antiqua" w:hAnsi="Book Antiqua"/>
          <w:b/>
          <w:color w:val="000000"/>
          <w:sz w:val="22"/>
          <w:szCs w:val="22"/>
        </w:rPr>
        <w:t xml:space="preserve">; </w:t>
      </w:r>
    </w:p>
    <w:p w:rsidR="00120BD4" w:rsidRPr="00556DB3" w:rsidRDefault="00DC29EA" w:rsidP="00C85FFE">
      <w:pPr>
        <w:pStyle w:val="Odsekzoznamu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556DB3">
        <w:rPr>
          <w:rFonts w:ascii="Book Antiqua" w:hAnsi="Book Antiqua"/>
          <w:b/>
          <w:color w:val="000000"/>
          <w:sz w:val="22"/>
          <w:szCs w:val="22"/>
        </w:rPr>
        <w:t>periodické publikácie s</w:t>
      </w:r>
      <w:r w:rsidR="00365156" w:rsidRPr="00556DB3">
        <w:rPr>
          <w:rFonts w:ascii="Book Antiqua" w:hAnsi="Book Antiqua"/>
          <w:b/>
          <w:color w:val="000000"/>
          <w:sz w:val="22"/>
          <w:szCs w:val="22"/>
        </w:rPr>
        <w:t xml:space="preserve"> nižšou </w:t>
      </w:r>
      <w:r w:rsidRPr="00556DB3">
        <w:rPr>
          <w:rFonts w:ascii="Book Antiqua" w:hAnsi="Book Antiqua"/>
          <w:b/>
          <w:color w:val="000000"/>
          <w:sz w:val="22"/>
          <w:szCs w:val="22"/>
        </w:rPr>
        <w:t>frekvenciou vydania</w:t>
      </w:r>
      <w:r w:rsidR="00C338BB" w:rsidRPr="00556DB3">
        <w:rPr>
          <w:rFonts w:ascii="Book Antiqua" w:hAnsi="Book Antiqua"/>
          <w:b/>
          <w:color w:val="000000"/>
          <w:sz w:val="22"/>
          <w:szCs w:val="22"/>
        </w:rPr>
        <w:t xml:space="preserve"> (týždenník, mesačník)</w:t>
      </w:r>
    </w:p>
    <w:p w:rsidR="00DC29EA" w:rsidRPr="00556DB3" w:rsidRDefault="00DC29EA" w:rsidP="00C85FFE">
      <w:pPr>
        <w:pStyle w:val="Odsekzoznamu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556DB3">
        <w:rPr>
          <w:rFonts w:ascii="Book Antiqua" w:hAnsi="Book Antiqua"/>
          <w:b/>
          <w:color w:val="000000"/>
          <w:sz w:val="22"/>
          <w:szCs w:val="22"/>
        </w:rPr>
        <w:t>služb</w:t>
      </w:r>
      <w:r w:rsidR="00B679C4" w:rsidRPr="00556DB3">
        <w:rPr>
          <w:rFonts w:ascii="Book Antiqua" w:hAnsi="Book Antiqua"/>
          <w:b/>
          <w:color w:val="000000"/>
          <w:sz w:val="22"/>
          <w:szCs w:val="22"/>
        </w:rPr>
        <w:t>a</w:t>
      </w:r>
      <w:r w:rsidRPr="00556DB3">
        <w:rPr>
          <w:rFonts w:ascii="Book Antiqua" w:hAnsi="Book Antiqua"/>
          <w:b/>
          <w:color w:val="000000"/>
          <w:sz w:val="22"/>
          <w:szCs w:val="22"/>
        </w:rPr>
        <w:t xml:space="preserve"> predplatného pre online periodiká a spravodajské portály;</w:t>
      </w:r>
    </w:p>
    <w:p w:rsidR="00120BD4" w:rsidRPr="00556DB3" w:rsidRDefault="00120BD4" w:rsidP="00C85FFE">
      <w:pPr>
        <w:pStyle w:val="Odsekzoznamu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556DB3">
        <w:rPr>
          <w:rFonts w:ascii="Book Antiqua" w:hAnsi="Book Antiqua"/>
          <w:b/>
          <w:color w:val="000000"/>
          <w:sz w:val="22"/>
          <w:szCs w:val="22"/>
        </w:rPr>
        <w:t xml:space="preserve">služba oprávnenia na vstup (vstupné) </w:t>
      </w:r>
      <w:r w:rsidR="00DC29EA" w:rsidRPr="00556DB3">
        <w:rPr>
          <w:rFonts w:ascii="Book Antiqua" w:hAnsi="Book Antiqua"/>
          <w:b/>
          <w:color w:val="000000"/>
          <w:sz w:val="22"/>
          <w:szCs w:val="22"/>
        </w:rPr>
        <w:t xml:space="preserve">na predstavenia a vstupy, vrátane sezónneho lístku, pravidelného poplatku; týka sa divadiel, múzeí, galérií, výstav, koncertov, festivalov, vrátane ich streamingu, </w:t>
      </w:r>
    </w:p>
    <w:p w:rsidR="00DC29EA" w:rsidRPr="00556DB3" w:rsidRDefault="00120BD4" w:rsidP="00C85FFE">
      <w:pPr>
        <w:pStyle w:val="Odsekzoznamu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556DB3">
        <w:rPr>
          <w:rFonts w:ascii="Book Antiqua" w:hAnsi="Book Antiqua"/>
          <w:b/>
          <w:color w:val="000000"/>
          <w:sz w:val="22"/>
          <w:szCs w:val="22"/>
        </w:rPr>
        <w:t xml:space="preserve">služba vstupu na </w:t>
      </w:r>
      <w:r w:rsidR="00DC29EA" w:rsidRPr="00556DB3">
        <w:rPr>
          <w:rFonts w:ascii="Book Antiqua" w:hAnsi="Book Antiqua"/>
          <w:b/>
          <w:color w:val="000000"/>
          <w:sz w:val="22"/>
          <w:szCs w:val="22"/>
        </w:rPr>
        <w:t>premietanie filmov (kino);</w:t>
      </w:r>
    </w:p>
    <w:p w:rsidR="00DC29EA" w:rsidRPr="00556DB3" w:rsidRDefault="00DC29EA" w:rsidP="00C85FFE">
      <w:pPr>
        <w:pStyle w:val="Odsekzoznamu"/>
        <w:numPr>
          <w:ilvl w:val="0"/>
          <w:numId w:val="4"/>
        </w:numPr>
        <w:spacing w:before="120" w:line="276" w:lineRule="auto"/>
        <w:jc w:val="both"/>
        <w:rPr>
          <w:rFonts w:ascii="Book Antiqua" w:hAnsi="Book Antiqua"/>
          <w:color w:val="000000"/>
          <w:sz w:val="22"/>
          <w:szCs w:val="22"/>
        </w:rPr>
      </w:pPr>
      <w:r w:rsidRPr="00556DB3">
        <w:rPr>
          <w:rFonts w:ascii="Book Antiqua" w:hAnsi="Book Antiqua"/>
          <w:b/>
          <w:color w:val="000000"/>
          <w:sz w:val="22"/>
          <w:szCs w:val="22"/>
        </w:rPr>
        <w:t>služby poskytované spisovateľmi, skladateľmi, výkonnými umelcami a ich autorské odmeny; vlastná pôvodná umelecká tvorba.</w:t>
      </w:r>
    </w:p>
    <w:p w:rsidR="00C85FFE" w:rsidRPr="00556DB3" w:rsidRDefault="00C85FFE" w:rsidP="00C85FFE">
      <w:pPr>
        <w:spacing w:before="120" w:line="276" w:lineRule="auto"/>
        <w:ind w:firstLine="708"/>
        <w:jc w:val="both"/>
        <w:rPr>
          <w:rFonts w:ascii="Book Antiqua" w:hAnsi="Book Antiqua"/>
          <w:b/>
          <w:sz w:val="22"/>
        </w:rPr>
      </w:pPr>
      <w:r w:rsidRPr="00556DB3">
        <w:rPr>
          <w:rFonts w:ascii="Book Antiqua" w:hAnsi="Book Antiqua"/>
          <w:sz w:val="22"/>
        </w:rPr>
        <w:t>Návrh zákona bude mať negatívny vpl</w:t>
      </w:r>
      <w:r w:rsidR="00556DB3">
        <w:rPr>
          <w:rFonts w:ascii="Book Antiqua" w:hAnsi="Book Antiqua"/>
          <w:sz w:val="22"/>
        </w:rPr>
        <w:t xml:space="preserve">yv na rozpočet verejnej správy, pozitívny </w:t>
      </w:r>
      <w:r w:rsidRPr="00556DB3">
        <w:rPr>
          <w:rFonts w:ascii="Book Antiqua" w:hAnsi="Book Antiqua"/>
          <w:sz w:val="22"/>
        </w:rPr>
        <w:t xml:space="preserve">vplyv </w:t>
      </w:r>
      <w:r w:rsidR="00556DB3">
        <w:rPr>
          <w:rFonts w:ascii="Book Antiqua" w:hAnsi="Book Antiqua"/>
          <w:sz w:val="22"/>
        </w:rPr>
        <w:t xml:space="preserve">na podnikateľské prostredie a nebude mať žiadne </w:t>
      </w:r>
      <w:r w:rsidRPr="00556DB3">
        <w:rPr>
          <w:rFonts w:ascii="Book Antiqua" w:hAnsi="Book Antiqua"/>
          <w:sz w:val="22"/>
        </w:rPr>
        <w:t>sociálne vplyvy, vplyvy na životné prostredie ani vplyv na informatizáciu spoločnosti.</w:t>
      </w:r>
    </w:p>
    <w:p w:rsidR="00ED4CB4" w:rsidRPr="00556DB3" w:rsidRDefault="00C85FFE" w:rsidP="00C85FFE">
      <w:pPr>
        <w:spacing w:before="120" w:line="276" w:lineRule="auto"/>
        <w:ind w:firstLine="708"/>
        <w:jc w:val="both"/>
        <w:rPr>
          <w:rFonts w:ascii="Book Antiqua" w:hAnsi="Book Antiqua"/>
          <w:b/>
          <w:sz w:val="22"/>
        </w:rPr>
      </w:pPr>
      <w:r w:rsidRPr="00556DB3">
        <w:rPr>
          <w:rFonts w:ascii="Book Antiqua" w:hAnsi="Book Antiqua"/>
          <w:sz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DC29EA" w:rsidRPr="00556DB3" w:rsidRDefault="00DC29EA" w:rsidP="00C85FFE">
      <w:pPr>
        <w:spacing w:before="120" w:line="276" w:lineRule="auto"/>
        <w:rPr>
          <w:rFonts w:ascii="Book Antiqua" w:eastAsia="Times New Roman" w:hAnsi="Book Antiqua" w:cs="Times New Roman"/>
          <w:b/>
          <w:bCs/>
          <w:color w:val="000000"/>
          <w:sz w:val="22"/>
          <w:lang w:eastAsia="sk-SK"/>
        </w:rPr>
      </w:pPr>
      <w:r w:rsidRPr="00556DB3">
        <w:rPr>
          <w:rFonts w:ascii="Book Antiqua" w:eastAsia="Times New Roman" w:hAnsi="Book Antiqua" w:cs="Times New Roman"/>
          <w:b/>
          <w:bCs/>
          <w:color w:val="000000"/>
          <w:sz w:val="22"/>
          <w:lang w:eastAsia="sk-SK"/>
        </w:rPr>
        <w:br w:type="page"/>
      </w:r>
    </w:p>
    <w:p w:rsidR="00B77CB5" w:rsidRPr="00556DB3" w:rsidRDefault="00B77CB5" w:rsidP="00C85FFE">
      <w:pPr>
        <w:spacing w:before="120" w:line="276" w:lineRule="auto"/>
        <w:rPr>
          <w:rFonts w:ascii="Book Antiqua" w:eastAsia="Times New Roman" w:hAnsi="Book Antiqua" w:cs="Times New Roman"/>
          <w:b/>
          <w:bCs/>
          <w:sz w:val="22"/>
          <w:u w:val="single"/>
          <w:lang w:eastAsia="sk-SK"/>
        </w:rPr>
      </w:pPr>
      <w:r w:rsidRPr="00556DB3">
        <w:rPr>
          <w:rFonts w:ascii="Book Antiqua" w:eastAsia="Times New Roman" w:hAnsi="Book Antiqua" w:cs="Times New Roman"/>
          <w:b/>
          <w:bCs/>
          <w:color w:val="000000"/>
          <w:sz w:val="22"/>
          <w:lang w:eastAsia="sk-SK"/>
        </w:rPr>
        <w:lastRenderedPageBreak/>
        <w:t>B. Osobitná časť</w:t>
      </w:r>
    </w:p>
    <w:p w:rsidR="00B77CB5" w:rsidRPr="00556DB3" w:rsidRDefault="00B77CB5" w:rsidP="00C85FFE">
      <w:pPr>
        <w:spacing w:before="120" w:line="276" w:lineRule="auto"/>
        <w:rPr>
          <w:rFonts w:ascii="Book Antiqua" w:eastAsia="Times New Roman" w:hAnsi="Book Antiqua" w:cs="Times New Roman"/>
          <w:color w:val="000000"/>
          <w:sz w:val="22"/>
          <w:u w:val="single"/>
          <w:lang w:eastAsia="sk-SK"/>
        </w:rPr>
      </w:pPr>
    </w:p>
    <w:p w:rsidR="00EB4128" w:rsidRPr="00556DB3" w:rsidRDefault="00C85FFE" w:rsidP="00C85FFE">
      <w:pPr>
        <w:spacing w:before="120" w:line="276" w:lineRule="auto"/>
        <w:jc w:val="both"/>
        <w:rPr>
          <w:rFonts w:ascii="Book Antiqua" w:hAnsi="Book Antiqua"/>
          <w:b/>
          <w:sz w:val="22"/>
        </w:rPr>
      </w:pPr>
      <w:r w:rsidRPr="00556DB3">
        <w:rPr>
          <w:rFonts w:ascii="Book Antiqua" w:hAnsi="Book Antiqua"/>
          <w:b/>
          <w:sz w:val="22"/>
        </w:rPr>
        <w:t>K Č</w:t>
      </w:r>
      <w:r w:rsidR="00EB4128" w:rsidRPr="00556DB3">
        <w:rPr>
          <w:rFonts w:ascii="Book Antiqua" w:hAnsi="Book Antiqua"/>
          <w:b/>
          <w:sz w:val="22"/>
        </w:rPr>
        <w:t>l. I</w:t>
      </w:r>
      <w:r w:rsidR="00CD7756" w:rsidRPr="00556DB3">
        <w:rPr>
          <w:rFonts w:ascii="Book Antiqua" w:hAnsi="Book Antiqua"/>
          <w:b/>
          <w:sz w:val="22"/>
        </w:rPr>
        <w:t> </w:t>
      </w:r>
    </w:p>
    <w:p w:rsidR="00CD7756" w:rsidRPr="00556DB3" w:rsidRDefault="00CD7756" w:rsidP="00C85FFE">
      <w:pPr>
        <w:spacing w:before="120" w:line="276" w:lineRule="auto"/>
        <w:jc w:val="both"/>
        <w:rPr>
          <w:rFonts w:ascii="Book Antiqua" w:hAnsi="Book Antiqua" w:cs="Times New Roman"/>
          <w:b/>
          <w:sz w:val="22"/>
          <w:u w:val="single"/>
        </w:rPr>
      </w:pPr>
      <w:r w:rsidRPr="00556DB3">
        <w:rPr>
          <w:rFonts w:ascii="Book Antiqua" w:hAnsi="Book Antiqua" w:cs="Times New Roman"/>
          <w:b/>
          <w:sz w:val="22"/>
          <w:u w:val="single"/>
        </w:rPr>
        <w:t>K bodu 1</w:t>
      </w:r>
    </w:p>
    <w:p w:rsidR="00ED4CB4" w:rsidRPr="00556DB3" w:rsidRDefault="00EB4128" w:rsidP="00C85FFE">
      <w:pPr>
        <w:spacing w:before="120" w:line="276" w:lineRule="auto"/>
        <w:ind w:firstLine="708"/>
        <w:jc w:val="both"/>
        <w:rPr>
          <w:rFonts w:ascii="Book Antiqua" w:hAnsi="Book Antiqua" w:cs="Times New Roman"/>
          <w:bCs/>
          <w:color w:val="000000"/>
          <w:sz w:val="22"/>
        </w:rPr>
      </w:pP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Navrhuje sa zníženie sadzby DPH </w:t>
      </w:r>
      <w:r w:rsidR="003B0EB4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pre </w:t>
      </w:r>
      <w:r w:rsidR="00AC4A31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e-knihy a</w:t>
      </w:r>
      <w:r w:rsidR="009B58B5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 audioknihy, </w:t>
      </w:r>
      <w:r w:rsidR="003B0EB4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brožúry, letáky, podobné tlačiarenské výrobky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, nov</w:t>
      </w:r>
      <w:r w:rsidR="003B0EB4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i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n</w:t>
      </w:r>
      <w:r w:rsidR="003B0EB4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y, časopisy, periodiká, obrázkové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 knižky, predlohy na kreslenie alebo maľovanie pre deti a</w:t>
      </w:r>
      <w:r w:rsidR="003B0EB4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 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hudobniny</w:t>
      </w:r>
      <w:r w:rsidR="003B0EB4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 v elektronickej podobe</w:t>
      </w:r>
      <w:r w:rsidR="00AC4A31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, ako aj pre</w:t>
      </w:r>
      <w:r w:rsidR="003B0EB4" w:rsidRPr="00556DB3">
        <w:rPr>
          <w:rFonts w:ascii="Book Antiqua" w:hAnsi="Book Antiqua" w:cs="Times New Roman"/>
          <w:bCs/>
          <w:color w:val="000000"/>
          <w:sz w:val="22"/>
        </w:rPr>
        <w:t xml:space="preserve"> audioknihy</w:t>
      </w:r>
      <w:r w:rsidRPr="00556DB3">
        <w:rPr>
          <w:rFonts w:ascii="Book Antiqua" w:hAnsi="Book Antiqua" w:cs="Times New Roman"/>
          <w:bCs/>
          <w:color w:val="000000"/>
          <w:sz w:val="22"/>
        </w:rPr>
        <w:t xml:space="preserve"> na fyzickom nosiči.</w:t>
      </w:r>
    </w:p>
    <w:p w:rsidR="00365156" w:rsidRPr="00556DB3" w:rsidRDefault="00CD7756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b/>
          <w:color w:val="000000"/>
          <w:sz w:val="22"/>
          <w:u w:val="single"/>
          <w:lang w:eastAsia="sk-SK"/>
        </w:rPr>
      </w:pPr>
      <w:r w:rsidRPr="00556DB3">
        <w:rPr>
          <w:rFonts w:ascii="Book Antiqua" w:eastAsia="Times New Roman" w:hAnsi="Book Antiqua" w:cs="Times New Roman"/>
          <w:b/>
          <w:color w:val="000000"/>
          <w:sz w:val="22"/>
          <w:u w:val="single"/>
          <w:lang w:eastAsia="sk-SK"/>
        </w:rPr>
        <w:t>K</w:t>
      </w:r>
      <w:r w:rsidR="00365156" w:rsidRPr="00556DB3">
        <w:rPr>
          <w:rFonts w:ascii="Book Antiqua" w:eastAsia="Times New Roman" w:hAnsi="Book Antiqua" w:cs="Times New Roman"/>
          <w:b/>
          <w:color w:val="000000"/>
          <w:sz w:val="22"/>
          <w:u w:val="single"/>
          <w:lang w:eastAsia="sk-SK"/>
        </w:rPr>
        <w:t> bodu 2</w:t>
      </w:r>
    </w:p>
    <w:p w:rsidR="00CD7756" w:rsidRPr="00556DB3" w:rsidRDefault="00121CA0" w:rsidP="00C85FFE">
      <w:pPr>
        <w:spacing w:before="120" w:line="276" w:lineRule="auto"/>
        <w:ind w:firstLine="708"/>
        <w:jc w:val="both"/>
        <w:rPr>
          <w:rFonts w:ascii="Book Antiqua" w:hAnsi="Book Antiqua"/>
          <w:sz w:val="22"/>
        </w:rPr>
      </w:pPr>
      <w:r w:rsidRPr="00556DB3">
        <w:rPr>
          <w:rFonts w:ascii="Book Antiqua" w:hAnsi="Book Antiqua"/>
          <w:sz w:val="22"/>
        </w:rPr>
        <w:t xml:space="preserve">Navrhuje sa aby sa znížená sadzba DPH pre </w:t>
      </w:r>
      <w:r w:rsidR="00365156" w:rsidRPr="00556DB3">
        <w:rPr>
          <w:rFonts w:ascii="Book Antiqua" w:hAnsi="Book Antiqua"/>
          <w:sz w:val="22"/>
        </w:rPr>
        <w:t>noviny, časopisy a</w:t>
      </w:r>
      <w:r w:rsidRPr="00556DB3">
        <w:rPr>
          <w:rFonts w:ascii="Book Antiqua" w:hAnsi="Book Antiqua"/>
          <w:sz w:val="22"/>
        </w:rPr>
        <w:t> </w:t>
      </w:r>
      <w:r w:rsidR="00365156" w:rsidRPr="00556DB3">
        <w:rPr>
          <w:rFonts w:ascii="Book Antiqua" w:hAnsi="Book Antiqua"/>
          <w:sz w:val="22"/>
        </w:rPr>
        <w:t>periodiká</w:t>
      </w:r>
      <w:r w:rsidRPr="00556DB3">
        <w:rPr>
          <w:rFonts w:ascii="Book Antiqua" w:hAnsi="Book Antiqua"/>
          <w:sz w:val="22"/>
        </w:rPr>
        <w:t xml:space="preserve"> vzťahovala aj na noviny, časopisy a periodiká </w:t>
      </w:r>
      <w:r w:rsidR="00365156" w:rsidRPr="00556DB3">
        <w:rPr>
          <w:rFonts w:ascii="Book Antiqua" w:hAnsi="Book Antiqua"/>
          <w:sz w:val="22"/>
        </w:rPr>
        <w:t>s nižšou</w:t>
      </w:r>
      <w:r w:rsidRPr="00556DB3">
        <w:rPr>
          <w:rFonts w:ascii="Book Antiqua" w:hAnsi="Book Antiqua"/>
          <w:sz w:val="22"/>
        </w:rPr>
        <w:t xml:space="preserve"> frekvenciou vydávania</w:t>
      </w:r>
      <w:r w:rsidR="00380738" w:rsidRPr="00556DB3">
        <w:rPr>
          <w:rFonts w:ascii="Book Antiqua" w:hAnsi="Book Antiqua"/>
          <w:sz w:val="22"/>
        </w:rPr>
        <w:t xml:space="preserve"> ako štyrikrát týždenne</w:t>
      </w:r>
      <w:r w:rsidR="00365156" w:rsidRPr="00556DB3">
        <w:rPr>
          <w:rFonts w:ascii="Book Antiqua" w:hAnsi="Book Antiqua"/>
          <w:sz w:val="22"/>
        </w:rPr>
        <w:t>.</w:t>
      </w:r>
    </w:p>
    <w:p w:rsidR="00CD7756" w:rsidRPr="00556DB3" w:rsidRDefault="00365156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b/>
          <w:color w:val="000000"/>
          <w:sz w:val="22"/>
          <w:u w:val="single"/>
          <w:lang w:eastAsia="sk-SK"/>
        </w:rPr>
      </w:pPr>
      <w:r w:rsidRPr="00556DB3">
        <w:rPr>
          <w:rFonts w:ascii="Book Antiqua" w:hAnsi="Book Antiqua"/>
          <w:b/>
          <w:sz w:val="22"/>
          <w:u w:val="single"/>
        </w:rPr>
        <w:t>K bodu 3</w:t>
      </w:r>
    </w:p>
    <w:p w:rsidR="00365156" w:rsidRPr="00556DB3" w:rsidRDefault="003B0EB4" w:rsidP="00C85FFE">
      <w:pPr>
        <w:spacing w:before="120" w:line="276" w:lineRule="auto"/>
        <w:ind w:firstLine="708"/>
        <w:jc w:val="both"/>
        <w:rPr>
          <w:rFonts w:ascii="Book Antiqua" w:eastAsia="Times New Roman" w:hAnsi="Book Antiqua" w:cs="Times New Roman"/>
          <w:color w:val="000000"/>
          <w:sz w:val="22"/>
          <w:lang w:eastAsia="sk-SK"/>
        </w:rPr>
      </w:pP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Do z</w:t>
      </w:r>
      <w:r w:rsidR="00365156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oznam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u</w:t>
      </w:r>
      <w:r w:rsidR="00365156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 služieb 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so zníženou sadzbou dane sa dopĺňajú vybrané služby </w:t>
      </w:r>
      <w:r w:rsidR="00121CA0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z oblasti</w:t>
      </w:r>
      <w:r w:rsidR="00AC4A31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 xml:space="preserve"> 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kultúry a kreatívneho priemyslu.</w:t>
      </w:r>
    </w:p>
    <w:p w:rsidR="00AC4A31" w:rsidRPr="00556DB3" w:rsidRDefault="00AC4A31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color w:val="000000"/>
          <w:sz w:val="22"/>
          <w:lang w:eastAsia="sk-SK"/>
        </w:rPr>
      </w:pPr>
    </w:p>
    <w:p w:rsidR="00AC4A31" w:rsidRPr="00556DB3" w:rsidRDefault="00C85FFE" w:rsidP="00C85FFE">
      <w:pPr>
        <w:spacing w:before="120" w:line="276" w:lineRule="auto"/>
        <w:jc w:val="both"/>
        <w:rPr>
          <w:rFonts w:ascii="Book Antiqua" w:hAnsi="Book Antiqua"/>
          <w:b/>
          <w:sz w:val="22"/>
        </w:rPr>
      </w:pPr>
      <w:r w:rsidRPr="00556DB3">
        <w:rPr>
          <w:rFonts w:ascii="Book Antiqua" w:hAnsi="Book Antiqua"/>
          <w:b/>
          <w:sz w:val="22"/>
        </w:rPr>
        <w:t>K Č</w:t>
      </w:r>
      <w:r w:rsidR="00AC4A31" w:rsidRPr="00556DB3">
        <w:rPr>
          <w:rFonts w:ascii="Book Antiqua" w:hAnsi="Book Antiqua"/>
          <w:b/>
          <w:sz w:val="22"/>
        </w:rPr>
        <w:t>l. II</w:t>
      </w:r>
    </w:p>
    <w:p w:rsidR="00AC4A31" w:rsidRPr="00556DB3" w:rsidRDefault="00121CA0" w:rsidP="00C85FFE">
      <w:pPr>
        <w:spacing w:before="120" w:line="276" w:lineRule="auto"/>
        <w:ind w:firstLine="708"/>
        <w:jc w:val="both"/>
        <w:rPr>
          <w:rFonts w:ascii="Book Antiqua" w:hAnsi="Book Antiqua"/>
          <w:sz w:val="22"/>
        </w:rPr>
      </w:pPr>
      <w:r w:rsidRPr="00556DB3">
        <w:rPr>
          <w:rFonts w:ascii="Book Antiqua" w:hAnsi="Book Antiqua"/>
          <w:sz w:val="22"/>
        </w:rPr>
        <w:t>Vzhľadom na potrebnú legisvakanciu sa ú</w:t>
      </w:r>
      <w:r w:rsidR="00AC4A31" w:rsidRPr="00556DB3">
        <w:rPr>
          <w:rFonts w:ascii="Book Antiqua" w:hAnsi="Book Antiqua"/>
          <w:sz w:val="22"/>
        </w:rPr>
        <w:t>činnosť</w:t>
      </w:r>
      <w:r w:rsidRPr="00556DB3">
        <w:rPr>
          <w:rFonts w:ascii="Book Antiqua" w:hAnsi="Book Antiqua"/>
          <w:sz w:val="22"/>
        </w:rPr>
        <w:t xml:space="preserve"> návrhu zákona navrhuje </w:t>
      </w:r>
      <w:r w:rsidR="00AC4A31" w:rsidRPr="00556DB3">
        <w:rPr>
          <w:rFonts w:ascii="Book Antiqua" w:hAnsi="Book Antiqua"/>
          <w:sz w:val="22"/>
        </w:rPr>
        <w:t>od 1. januára 2024.</w:t>
      </w: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074A10" w:rsidRDefault="00074A10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074A10" w:rsidRDefault="00074A10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074A10" w:rsidRDefault="00074A10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074A10" w:rsidRPr="00556DB3" w:rsidRDefault="00074A10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C85FFE" w:rsidRPr="00556DB3" w:rsidRDefault="00C85FFE" w:rsidP="00C85FFE">
      <w:pPr>
        <w:spacing w:before="120" w:line="276" w:lineRule="auto"/>
        <w:jc w:val="both"/>
        <w:rPr>
          <w:rFonts w:ascii="Book Antiqua" w:eastAsia="Times New Roman" w:hAnsi="Book Antiqua" w:cs="Times New Roman"/>
          <w:sz w:val="22"/>
          <w:lang w:eastAsia="sk-SK"/>
        </w:rPr>
      </w:pPr>
    </w:p>
    <w:p w:rsidR="006917EF" w:rsidRPr="00556DB3" w:rsidRDefault="006917EF" w:rsidP="006917EF">
      <w:pPr>
        <w:spacing w:before="120" w:line="276" w:lineRule="auto"/>
        <w:jc w:val="center"/>
        <w:rPr>
          <w:rFonts w:ascii="Book Antiqua" w:eastAsia="Times New Roman" w:hAnsi="Book Antiqua"/>
          <w:b/>
          <w:smallCaps/>
          <w:sz w:val="22"/>
        </w:rPr>
      </w:pPr>
      <w:r w:rsidRPr="00556DB3">
        <w:rPr>
          <w:rFonts w:ascii="Book Antiqua" w:eastAsia="Times New Roman" w:hAnsi="Book Antiqua"/>
          <w:b/>
          <w:smallCaps/>
          <w:sz w:val="22"/>
        </w:rPr>
        <w:t>DOLOŽKA ZLUČITEĽNOSTI</w:t>
      </w: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Times New Roman" w:hAnsi="Book Antiqua"/>
          <w:color w:val="000000"/>
          <w:sz w:val="22"/>
        </w:rPr>
      </w:pPr>
      <w:r w:rsidRPr="00556DB3">
        <w:rPr>
          <w:rFonts w:ascii="Book Antiqua" w:eastAsia="Times New Roman" w:hAnsi="Book Antiqua"/>
          <w:b/>
          <w:color w:val="000000"/>
          <w:sz w:val="22"/>
        </w:rPr>
        <w:t>návrhu zákona</w:t>
      </w:r>
      <w:r w:rsidRPr="00556DB3">
        <w:rPr>
          <w:rFonts w:ascii="Book Antiqua" w:eastAsia="Times New Roman" w:hAnsi="Book Antiqua"/>
          <w:color w:val="000000"/>
          <w:sz w:val="22"/>
        </w:rPr>
        <w:t xml:space="preserve"> </w:t>
      </w:r>
      <w:r w:rsidRPr="00556DB3">
        <w:rPr>
          <w:rFonts w:ascii="Book Antiqua" w:eastAsia="Times New Roman" w:hAnsi="Book Antiqua"/>
          <w:b/>
          <w:color w:val="000000"/>
          <w:sz w:val="22"/>
        </w:rPr>
        <w:t>s právom Európskej únie</w:t>
      </w: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color w:val="000000"/>
          <w:sz w:val="22"/>
        </w:rPr>
      </w:pPr>
      <w:r w:rsidRPr="00556DB3">
        <w:rPr>
          <w:rFonts w:ascii="Book Antiqua" w:eastAsia="Times New Roman" w:hAnsi="Book Antiqua"/>
          <w:color w:val="000000"/>
          <w:sz w:val="22"/>
        </w:rPr>
        <w:t> </w:t>
      </w: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hAnsi="Book Antiqua"/>
          <w:sz w:val="22"/>
        </w:rPr>
      </w:pPr>
      <w:r w:rsidRPr="00556DB3">
        <w:rPr>
          <w:rFonts w:ascii="Book Antiqua" w:eastAsia="Times New Roman" w:hAnsi="Book Antiqua"/>
          <w:b/>
          <w:color w:val="000000"/>
          <w:sz w:val="22"/>
        </w:rPr>
        <w:t>1. Navrhovateľ zákona:</w:t>
      </w:r>
      <w:r w:rsidRPr="00556DB3">
        <w:rPr>
          <w:rFonts w:ascii="Book Antiqua" w:eastAsia="Times New Roman" w:hAnsi="Book Antiqua"/>
          <w:color w:val="000000"/>
          <w:sz w:val="22"/>
        </w:rPr>
        <w:t xml:space="preserve"> skupina poslancov Národnej rady Slovenskej republiky</w:t>
      </w: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color w:val="000000"/>
          <w:sz w:val="22"/>
        </w:rPr>
      </w:pPr>
    </w:p>
    <w:p w:rsidR="006917EF" w:rsidRPr="00556DB3" w:rsidRDefault="006917EF" w:rsidP="006917EF">
      <w:pPr>
        <w:spacing w:before="120" w:line="276" w:lineRule="auto"/>
        <w:jc w:val="both"/>
        <w:rPr>
          <w:rFonts w:ascii="Book Antiqua" w:hAnsi="Book Antiqua" w:cs="Times New Roman"/>
          <w:b/>
          <w:sz w:val="22"/>
        </w:rPr>
      </w:pPr>
      <w:r w:rsidRPr="00556DB3">
        <w:rPr>
          <w:rFonts w:ascii="Book Antiqua" w:eastAsia="Times New Roman" w:hAnsi="Book Antiqua"/>
          <w:b/>
          <w:sz w:val="22"/>
        </w:rPr>
        <w:t>2. Názov návrhu zákona:</w:t>
      </w:r>
      <w:r w:rsidRPr="00556DB3">
        <w:rPr>
          <w:rFonts w:ascii="Book Antiqua" w:eastAsia="Times New Roman" w:hAnsi="Book Antiqua"/>
          <w:sz w:val="22"/>
        </w:rPr>
        <w:t xml:space="preserve"> </w:t>
      </w:r>
      <w:r w:rsidRPr="00556DB3">
        <w:rPr>
          <w:rFonts w:ascii="Book Antiqua" w:hAnsi="Book Antiqua" w:cs="Times New Roman"/>
          <w:sz w:val="22"/>
        </w:rPr>
        <w:t xml:space="preserve">návrh zákona, ktorým sa mení a dopĺňa zákon č. 253/1994 Z. z. </w:t>
      </w:r>
      <w:r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222/2004 Z. z. o dani z pridanej hodnoty v znení neskorších predpisov</w:t>
      </w:r>
    </w:p>
    <w:p w:rsidR="006917EF" w:rsidRPr="00556DB3" w:rsidRDefault="006917EF" w:rsidP="006917EF">
      <w:pPr>
        <w:spacing w:before="120" w:line="276" w:lineRule="auto"/>
        <w:jc w:val="both"/>
        <w:rPr>
          <w:rFonts w:ascii="Book Antiqua" w:eastAsia="Times New Roman" w:hAnsi="Book Antiqua"/>
          <w:b/>
          <w:sz w:val="22"/>
        </w:rPr>
      </w:pPr>
    </w:p>
    <w:p w:rsidR="006917EF" w:rsidRPr="00556DB3" w:rsidRDefault="006917EF" w:rsidP="006917EF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556DB3">
        <w:rPr>
          <w:rFonts w:ascii="Book Antiqua" w:hAnsi="Book Antiqua"/>
          <w:b/>
          <w:sz w:val="22"/>
          <w:szCs w:val="22"/>
        </w:rPr>
        <w:t xml:space="preserve">3. </w:t>
      </w:r>
      <w:r w:rsidRPr="00556DB3">
        <w:rPr>
          <w:rFonts w:ascii="Book Antiqua" w:hAnsi="Book Antiqua" w:cs="Book Antiqua"/>
          <w:b/>
          <w:bCs/>
          <w:sz w:val="22"/>
          <w:szCs w:val="22"/>
        </w:rPr>
        <w:t>Predmet návrhu zákona:</w:t>
      </w:r>
    </w:p>
    <w:p w:rsidR="006917EF" w:rsidRPr="00556DB3" w:rsidRDefault="006917EF" w:rsidP="006917EF">
      <w:pPr>
        <w:pStyle w:val="Vchodzie"/>
        <w:numPr>
          <w:ilvl w:val="0"/>
          <w:numId w:val="5"/>
        </w:numPr>
        <w:autoSpaceDE/>
        <w:autoSpaceDN/>
        <w:adjustRightInd/>
        <w:spacing w:before="120" w:after="0"/>
        <w:jc w:val="both"/>
        <w:rPr>
          <w:rFonts w:ascii="Book Antiqua" w:hAnsi="Book Antiqua"/>
        </w:rPr>
      </w:pPr>
      <w:r w:rsidRPr="00556DB3">
        <w:rPr>
          <w:rFonts w:ascii="Book Antiqua" w:hAnsi="Book Antiqua"/>
        </w:rPr>
        <w:t>je upravený v primárnom práve Európskej únie, a to v čl. 113 Zmluvy o fungovaní Európskej únie,</w:t>
      </w:r>
    </w:p>
    <w:p w:rsidR="006917EF" w:rsidRPr="00556DB3" w:rsidRDefault="006917EF" w:rsidP="006917EF">
      <w:pPr>
        <w:pStyle w:val="Normlnywebov"/>
        <w:numPr>
          <w:ilvl w:val="0"/>
          <w:numId w:val="5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556DB3">
        <w:rPr>
          <w:rFonts w:ascii="Book Antiqua" w:hAnsi="Book Antiqua" w:cs="Book Antiqua"/>
          <w:sz w:val="22"/>
          <w:szCs w:val="22"/>
        </w:rPr>
        <w:t xml:space="preserve">je upravený v sekundárnom práve Európskej únie, a to v </w:t>
      </w:r>
      <w:r w:rsidRPr="00556DB3">
        <w:rPr>
          <w:rFonts w:ascii="Book Antiqua" w:hAnsi="Book Antiqua"/>
          <w:color w:val="333333"/>
          <w:sz w:val="22"/>
          <w:szCs w:val="22"/>
        </w:rPr>
        <w:t xml:space="preserve">smernici Rady 2006/112/ES z 28. novembra 2006 o spoločnom systéme dane z pridanej </w:t>
      </w:r>
      <w:r w:rsidRPr="00556DB3">
        <w:rPr>
          <w:rFonts w:ascii="Book Antiqua" w:hAnsi="Book Antiqua"/>
          <w:sz w:val="22"/>
          <w:szCs w:val="22"/>
        </w:rPr>
        <w:t xml:space="preserve">hodnoty </w:t>
      </w:r>
      <w:r w:rsidRPr="00556DB3">
        <w:rPr>
          <w:rFonts w:ascii="Book Antiqua" w:hAnsi="Book Antiqua"/>
          <w:sz w:val="22"/>
          <w:szCs w:val="22"/>
          <w:shd w:val="clear" w:color="auto" w:fill="FFFFFF"/>
        </w:rPr>
        <w:t>(Ú. v. EÚ L 347, 11. 12. 2006),</w:t>
      </w:r>
    </w:p>
    <w:p w:rsidR="006917EF" w:rsidRPr="00556DB3" w:rsidRDefault="006917EF" w:rsidP="006917EF">
      <w:pPr>
        <w:pStyle w:val="Normlnywebov"/>
        <w:numPr>
          <w:ilvl w:val="0"/>
          <w:numId w:val="5"/>
        </w:numPr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556DB3">
        <w:rPr>
          <w:rFonts w:ascii="Book Antiqua" w:hAnsi="Book Antiqua"/>
          <w:sz w:val="22"/>
          <w:szCs w:val="22"/>
        </w:rPr>
        <w:t>nie</w:t>
      </w:r>
      <w:r w:rsidRPr="00556DB3">
        <w:rPr>
          <w:rFonts w:ascii="Book Antiqua" w:hAnsi="Book Antiqua" w:cs="Book Antiqua"/>
          <w:sz w:val="22"/>
          <w:szCs w:val="22"/>
        </w:rPr>
        <w:t xml:space="preserve"> je obsiahnutý v judikatúre Súdneho dvora Európskej únie.</w:t>
      </w:r>
    </w:p>
    <w:p w:rsidR="00556DB3" w:rsidRPr="00556DB3" w:rsidRDefault="00556DB3" w:rsidP="00556DB3">
      <w:pPr>
        <w:pStyle w:val="Normlnywebov"/>
        <w:spacing w:before="12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</w:p>
    <w:p w:rsidR="00556DB3" w:rsidRPr="00556DB3" w:rsidRDefault="00556DB3" w:rsidP="00556DB3">
      <w:pPr>
        <w:numPr>
          <w:ilvl w:val="3"/>
          <w:numId w:val="6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jc w:val="both"/>
        <w:rPr>
          <w:rFonts w:ascii="Book Antiqua" w:hAnsi="Book Antiqua"/>
          <w:b/>
          <w:bCs/>
          <w:i/>
          <w:sz w:val="22"/>
        </w:rPr>
      </w:pPr>
      <w:r w:rsidRPr="00556DB3">
        <w:rPr>
          <w:rFonts w:ascii="Book Antiqua" w:hAnsi="Book Antiqua"/>
          <w:b/>
          <w:sz w:val="22"/>
        </w:rPr>
        <w:t>Záväzky Slovenskej republiky vo vzťahu k Európskej únii:</w:t>
      </w:r>
    </w:p>
    <w:p w:rsidR="00556DB3" w:rsidRPr="00556DB3" w:rsidRDefault="00556DB3" w:rsidP="00556DB3">
      <w:pPr>
        <w:spacing w:before="120" w:line="276" w:lineRule="auto"/>
        <w:ind w:left="540" w:hanging="256"/>
        <w:jc w:val="both"/>
        <w:rPr>
          <w:rFonts w:ascii="Book Antiqua" w:hAnsi="Book Antiqua"/>
          <w:sz w:val="22"/>
        </w:rPr>
      </w:pPr>
      <w:r w:rsidRPr="00556DB3">
        <w:rPr>
          <w:rFonts w:ascii="Book Antiqua" w:hAnsi="Book Antiqua"/>
          <w:sz w:val="22"/>
        </w:rPr>
        <w:t>a) lehota na transpozíciu smernice uvedenej v bode 3 písm. b) uplynula 1. januára 2008, pričom táto smernica bola transponovaná do zákona uvedených v písmene c),</w:t>
      </w:r>
    </w:p>
    <w:p w:rsidR="00556DB3" w:rsidRPr="00556DB3" w:rsidRDefault="00556DB3" w:rsidP="00556DB3">
      <w:pPr>
        <w:spacing w:before="120" w:line="276" w:lineRule="auto"/>
        <w:ind w:left="539" w:hanging="255"/>
        <w:jc w:val="both"/>
        <w:rPr>
          <w:rFonts w:ascii="Book Antiqua" w:hAnsi="Book Antiqua"/>
          <w:sz w:val="22"/>
        </w:rPr>
      </w:pPr>
      <w:r w:rsidRPr="00556DB3">
        <w:rPr>
          <w:rFonts w:ascii="Book Antiqua" w:hAnsi="Book Antiqua"/>
          <w:sz w:val="22"/>
        </w:rPr>
        <w:t>b) v danej oblasti nebol proti Slovenskej republike začatý postup Európskej komisie a ani konanie Súdneho dvora Európskej únie podľa článkov 258 až 260 Zmluvy o fungovaní Európskej únie,</w:t>
      </w:r>
    </w:p>
    <w:p w:rsidR="00556DB3" w:rsidRPr="00556DB3" w:rsidRDefault="00556DB3" w:rsidP="00556DB3">
      <w:pPr>
        <w:tabs>
          <w:tab w:val="left" w:pos="567"/>
        </w:tabs>
        <w:autoSpaceDE w:val="0"/>
        <w:autoSpaceDN w:val="0"/>
        <w:adjustRightInd w:val="0"/>
        <w:spacing w:before="120" w:line="276" w:lineRule="auto"/>
        <w:ind w:left="567" w:hanging="283"/>
        <w:jc w:val="both"/>
        <w:rPr>
          <w:rFonts w:ascii="Book Antiqua" w:hAnsi="Book Antiqua"/>
          <w:sz w:val="22"/>
        </w:rPr>
      </w:pPr>
      <w:r w:rsidRPr="00556DB3">
        <w:rPr>
          <w:rFonts w:ascii="Book Antiqua" w:hAnsi="Book Antiqua"/>
          <w:sz w:val="22"/>
        </w:rPr>
        <w:t xml:space="preserve">c) </w:t>
      </w:r>
      <w:r w:rsidRPr="00556DB3">
        <w:rPr>
          <w:rFonts w:ascii="Book Antiqua" w:hAnsi="Book Antiqua"/>
          <w:sz w:val="22"/>
        </w:rPr>
        <w:tab/>
        <w:t>smernica uvedená v bode 3 písm. b) bola transponovaná do zákona č. 222/2004 Z. z. o dani z pridanej hodnoty v znení neskorších predpisov a do z</w:t>
      </w:r>
      <w:r w:rsidRPr="00556DB3">
        <w:rPr>
          <w:rFonts w:ascii="Book Antiqua" w:hAnsi="Book Antiqua" w:cs="Segoe UI"/>
          <w:bCs/>
          <w:sz w:val="22"/>
          <w:shd w:val="clear" w:color="auto" w:fill="FFFFFF"/>
        </w:rPr>
        <w:t>ákona č. 465/2008 Z. z., ktorým sa menia a dopĺňajú zákony v pôsobnosti Ministerstva financií Slovenskej republiky v súvislosti so zavedením meny euro v Slovenskej republike.</w:t>
      </w:r>
    </w:p>
    <w:p w:rsidR="00556DB3" w:rsidRPr="00556DB3" w:rsidRDefault="00556DB3" w:rsidP="00556DB3">
      <w:pPr>
        <w:spacing w:before="120" w:line="276" w:lineRule="auto"/>
        <w:ind w:left="539" w:hanging="255"/>
        <w:jc w:val="both"/>
        <w:rPr>
          <w:rFonts w:ascii="Book Antiqua" w:hAnsi="Book Antiqua"/>
          <w:color w:val="000000"/>
          <w:sz w:val="22"/>
        </w:rPr>
      </w:pPr>
    </w:p>
    <w:p w:rsidR="00556DB3" w:rsidRPr="00556DB3" w:rsidRDefault="00556DB3" w:rsidP="00556DB3">
      <w:pPr>
        <w:numPr>
          <w:ilvl w:val="0"/>
          <w:numId w:val="7"/>
        </w:numPr>
        <w:tabs>
          <w:tab w:val="num" w:pos="284"/>
          <w:tab w:val="left" w:pos="341"/>
        </w:tabs>
        <w:autoSpaceDE w:val="0"/>
        <w:autoSpaceDN w:val="0"/>
        <w:adjustRightInd w:val="0"/>
        <w:spacing w:before="120" w:line="276" w:lineRule="auto"/>
        <w:ind w:left="284"/>
        <w:jc w:val="both"/>
        <w:rPr>
          <w:rFonts w:ascii="Book Antiqua" w:hAnsi="Book Antiqua"/>
          <w:b/>
          <w:color w:val="000000"/>
          <w:sz w:val="22"/>
        </w:rPr>
      </w:pPr>
      <w:r w:rsidRPr="00556DB3">
        <w:rPr>
          <w:rFonts w:ascii="Book Antiqua" w:hAnsi="Book Antiqua"/>
          <w:b/>
          <w:color w:val="000000"/>
          <w:sz w:val="22"/>
        </w:rPr>
        <w:t>Stupeň zlučiteľnosti návrhu ústavného zákona s právom Európskej únie</w:t>
      </w:r>
    </w:p>
    <w:p w:rsidR="00556DB3" w:rsidRPr="00556DB3" w:rsidRDefault="00556DB3" w:rsidP="00556DB3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556DB3">
        <w:rPr>
          <w:rFonts w:ascii="Book Antiqua" w:hAnsi="Book Antiqua"/>
          <w:sz w:val="22"/>
          <w:szCs w:val="22"/>
        </w:rPr>
        <w:t>úplný.</w:t>
      </w:r>
    </w:p>
    <w:p w:rsidR="006917EF" w:rsidRPr="00556DB3" w:rsidRDefault="006917EF" w:rsidP="006917EF">
      <w:pPr>
        <w:pStyle w:val="Normlnywebov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:rsidR="006917EF" w:rsidRPr="00556DB3" w:rsidRDefault="006917EF" w:rsidP="006917EF">
      <w:pPr>
        <w:spacing w:before="120" w:line="276" w:lineRule="auto"/>
        <w:rPr>
          <w:rFonts w:ascii="Book Antiqua" w:eastAsia="Times New Roman" w:hAnsi="Book Antiqua"/>
          <w:b/>
          <w:smallCaps/>
          <w:sz w:val="22"/>
        </w:rPr>
      </w:pPr>
    </w:p>
    <w:p w:rsidR="006917EF" w:rsidRPr="00556DB3" w:rsidRDefault="006917EF" w:rsidP="006917EF">
      <w:pPr>
        <w:spacing w:before="120" w:line="276" w:lineRule="auto"/>
        <w:rPr>
          <w:rFonts w:ascii="Book Antiqua" w:eastAsia="Times New Roman" w:hAnsi="Book Antiqua"/>
          <w:b/>
          <w:smallCaps/>
          <w:sz w:val="22"/>
        </w:rPr>
      </w:pPr>
    </w:p>
    <w:p w:rsidR="006917EF" w:rsidRPr="00556DB3" w:rsidRDefault="006917EF" w:rsidP="006917EF">
      <w:pPr>
        <w:spacing w:before="120" w:line="276" w:lineRule="auto"/>
        <w:rPr>
          <w:rFonts w:ascii="Book Antiqua" w:eastAsia="Times New Roman" w:hAnsi="Book Antiqua"/>
          <w:b/>
          <w:smallCaps/>
          <w:sz w:val="22"/>
        </w:rPr>
      </w:pPr>
    </w:p>
    <w:p w:rsidR="006917EF" w:rsidRPr="00556DB3" w:rsidRDefault="006917EF" w:rsidP="006917EF">
      <w:pPr>
        <w:spacing w:before="120" w:line="276" w:lineRule="auto"/>
        <w:rPr>
          <w:rFonts w:ascii="Book Antiqua" w:eastAsia="Times New Roman" w:hAnsi="Book Antiqua"/>
          <w:b/>
          <w:smallCaps/>
          <w:sz w:val="22"/>
        </w:rPr>
      </w:pPr>
    </w:p>
    <w:p w:rsidR="00556DB3" w:rsidRPr="00556DB3" w:rsidRDefault="00556DB3" w:rsidP="006917EF">
      <w:pPr>
        <w:spacing w:before="120" w:line="276" w:lineRule="auto"/>
        <w:rPr>
          <w:rFonts w:ascii="Book Antiqua" w:eastAsia="Times New Roman" w:hAnsi="Book Antiqua"/>
          <w:b/>
          <w:smallCaps/>
          <w:sz w:val="22"/>
        </w:rPr>
      </w:pPr>
    </w:p>
    <w:p w:rsidR="006917EF" w:rsidRPr="00556DB3" w:rsidRDefault="006917EF" w:rsidP="006917EF">
      <w:pPr>
        <w:spacing w:before="120" w:line="276" w:lineRule="auto"/>
        <w:jc w:val="center"/>
        <w:rPr>
          <w:rFonts w:ascii="Book Antiqua" w:eastAsia="Times New Roman" w:hAnsi="Book Antiqua"/>
          <w:sz w:val="22"/>
        </w:rPr>
      </w:pPr>
      <w:r w:rsidRPr="00556DB3">
        <w:rPr>
          <w:rFonts w:ascii="Book Antiqua" w:eastAsia="Times New Roman" w:hAnsi="Book Antiqua"/>
          <w:b/>
          <w:smallCaps/>
          <w:sz w:val="22"/>
        </w:rPr>
        <w:lastRenderedPageBreak/>
        <w:t>DOLOŽKA</w:t>
      </w: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center"/>
        <w:rPr>
          <w:rFonts w:ascii="Book Antiqua" w:eastAsia="Times New Roman" w:hAnsi="Book Antiqua"/>
          <w:color w:val="000000"/>
          <w:sz w:val="22"/>
        </w:rPr>
      </w:pPr>
      <w:r w:rsidRPr="00556DB3">
        <w:rPr>
          <w:rFonts w:ascii="Book Antiqua" w:eastAsia="Times New Roman" w:hAnsi="Book Antiqua"/>
          <w:b/>
          <w:color w:val="000000"/>
          <w:sz w:val="22"/>
        </w:rPr>
        <w:t>vybraných vplyvov</w:t>
      </w: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color w:val="000000"/>
          <w:sz w:val="22"/>
        </w:rPr>
      </w:pPr>
      <w:r w:rsidRPr="00556DB3">
        <w:rPr>
          <w:rFonts w:ascii="Book Antiqua" w:eastAsia="Times New Roman" w:hAnsi="Book Antiqua"/>
          <w:color w:val="000000"/>
          <w:sz w:val="22"/>
        </w:rPr>
        <w:t> </w:t>
      </w:r>
    </w:p>
    <w:p w:rsidR="00556DB3" w:rsidRPr="00074A10" w:rsidRDefault="006917EF" w:rsidP="006917EF">
      <w:pPr>
        <w:spacing w:before="120" w:line="276" w:lineRule="auto"/>
        <w:jc w:val="both"/>
        <w:rPr>
          <w:rFonts w:ascii="Book Antiqua" w:eastAsia="Times New Roman" w:hAnsi="Book Antiqua" w:cs="Times New Roman"/>
          <w:color w:val="000000"/>
          <w:sz w:val="22"/>
          <w:lang w:eastAsia="sk-SK"/>
        </w:rPr>
      </w:pPr>
      <w:r w:rsidRPr="00556DB3">
        <w:rPr>
          <w:rFonts w:ascii="Book Antiqua" w:eastAsia="Times New Roman" w:hAnsi="Book Antiqua"/>
          <w:b/>
          <w:sz w:val="22"/>
        </w:rPr>
        <w:t xml:space="preserve">A.1. Názov materiálu: </w:t>
      </w:r>
      <w:r w:rsidR="00556DB3" w:rsidRPr="00556DB3">
        <w:rPr>
          <w:rFonts w:ascii="Book Antiqua" w:hAnsi="Book Antiqua" w:cs="Times New Roman"/>
          <w:sz w:val="22"/>
        </w:rPr>
        <w:t xml:space="preserve">návrh zákona, ktorým sa mení a dopĺňa zákon č. 253/1994 Z. z. </w:t>
      </w:r>
      <w:r w:rsidR="00556DB3" w:rsidRPr="00556DB3">
        <w:rPr>
          <w:rFonts w:ascii="Book Antiqua" w:eastAsia="Times New Roman" w:hAnsi="Book Antiqua" w:cs="Times New Roman"/>
          <w:color w:val="000000"/>
          <w:sz w:val="22"/>
          <w:lang w:eastAsia="sk-SK"/>
        </w:rPr>
        <w:t>222/2004 Z. z. o dani z pridanej hodnoty v znení neskorších predpisov</w:t>
      </w:r>
    </w:p>
    <w:p w:rsidR="006917EF" w:rsidRPr="00556DB3" w:rsidRDefault="006917EF" w:rsidP="006917EF">
      <w:pPr>
        <w:spacing w:before="120" w:line="276" w:lineRule="auto"/>
        <w:jc w:val="both"/>
        <w:rPr>
          <w:rFonts w:ascii="Book Antiqua" w:eastAsia="Times New Roman" w:hAnsi="Book Antiqua"/>
          <w:sz w:val="22"/>
        </w:rPr>
      </w:pPr>
      <w:r w:rsidRPr="00556DB3">
        <w:rPr>
          <w:rFonts w:ascii="Book Antiqua" w:eastAsia="Times New Roman" w:hAnsi="Book Antiqua"/>
          <w:b/>
          <w:sz w:val="22"/>
        </w:rPr>
        <w:t>Termín začatia a ukončenia PPK:</w:t>
      </w:r>
      <w:r w:rsidRPr="00556DB3">
        <w:rPr>
          <w:rFonts w:ascii="Book Antiqua" w:eastAsia="Times New Roman" w:hAnsi="Book Antiqua"/>
          <w:sz w:val="22"/>
        </w:rPr>
        <w:t xml:space="preserve"> </w:t>
      </w:r>
      <w:r w:rsidRPr="00556DB3">
        <w:rPr>
          <w:rFonts w:ascii="Book Antiqua" w:eastAsia="Times New Roman" w:hAnsi="Book Antiqua"/>
          <w:i/>
          <w:sz w:val="22"/>
        </w:rPr>
        <w:t>bezpredmetné</w:t>
      </w:r>
    </w:p>
    <w:p w:rsidR="006917EF" w:rsidRPr="00556DB3" w:rsidRDefault="006917EF" w:rsidP="006917EF">
      <w:pPr>
        <w:spacing w:before="120" w:line="276" w:lineRule="auto"/>
        <w:jc w:val="both"/>
        <w:rPr>
          <w:rFonts w:ascii="Book Antiqua" w:eastAsia="Times New Roman" w:hAnsi="Book Antiqua"/>
          <w:i/>
          <w:sz w:val="22"/>
        </w:rPr>
      </w:pP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color w:val="000000"/>
          <w:sz w:val="22"/>
        </w:rPr>
      </w:pPr>
      <w:r w:rsidRPr="00556DB3">
        <w:rPr>
          <w:rFonts w:ascii="Book Antiqua" w:eastAsia="Times New Roman" w:hAnsi="Book Antiqua"/>
          <w:b/>
          <w:color w:val="000000"/>
          <w:sz w:val="22"/>
        </w:rPr>
        <w:t>A.2. Vplyvy:</w:t>
      </w:r>
    </w:p>
    <w:tbl>
      <w:tblPr>
        <w:tblW w:w="9211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493"/>
        <w:gridCol w:w="1308"/>
        <w:gridCol w:w="1058"/>
        <w:gridCol w:w="1352"/>
      </w:tblGrid>
      <w:tr w:rsidR="006917EF" w:rsidRPr="00556DB3" w:rsidTr="005E22B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ascii="Book Antiqua" w:eastAsia="Times New Roman" w:hAnsi="Book Antiqua"/>
                <w:color w:val="000000"/>
                <w:sz w:val="22"/>
              </w:rPr>
            </w:pPr>
            <w:bookmarkStart w:id="1" w:name="_Hlk115171905"/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 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 Pozitívne 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 Žiadne 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 Negatívne </w:t>
            </w:r>
          </w:p>
        </w:tc>
      </w:tr>
      <w:tr w:rsidR="006917EF" w:rsidRPr="00556DB3" w:rsidTr="005E22B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1. Vplyvy na rozpočet verejnej správy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556DB3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  <w:r>
              <w:rPr>
                <w:rFonts w:ascii="Book Antiqua" w:eastAsia="Times New Roman" w:hAnsi="Book Antiqua"/>
                <w:color w:val="000000"/>
                <w:sz w:val="22"/>
              </w:rPr>
              <w:t>x</w:t>
            </w:r>
          </w:p>
        </w:tc>
      </w:tr>
      <w:tr w:rsidR="006917EF" w:rsidRPr="00556DB3" w:rsidTr="005E22B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2. Vplyvy na podnikateľské prostredie – dochádza k zvýšeniu regulačného zaťaženia?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556DB3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  <w:r>
              <w:rPr>
                <w:rFonts w:ascii="Book Antiqua" w:eastAsia="Times New Roman" w:hAnsi="Book Antiqua"/>
                <w:color w:val="000000"/>
                <w:sz w:val="22"/>
              </w:rPr>
              <w:t>x</w:t>
            </w: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</w:tr>
      <w:tr w:rsidR="006917EF" w:rsidRPr="00556DB3" w:rsidTr="005E22B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3. Sociálne vplyvy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</w:tr>
      <w:tr w:rsidR="006917EF" w:rsidRPr="00556DB3" w:rsidTr="005E22B0">
        <w:trPr>
          <w:trHeight w:val="441"/>
        </w:trPr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– vplyvy na hospodárenie obyvateľstva,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</w:tr>
      <w:tr w:rsidR="006917EF" w:rsidRPr="00556DB3" w:rsidTr="005E22B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– sociálnu exklúziu,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</w:tr>
      <w:tr w:rsidR="006917EF" w:rsidRPr="00556DB3" w:rsidTr="005E22B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– rovnosť príležitostí a rodovú rovnosť a vplyvy na zamestnanosť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</w:tr>
      <w:tr w:rsidR="006917EF" w:rsidRPr="00556DB3" w:rsidTr="005E22B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4. Vplyvy na životné prostredie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</w:tr>
      <w:tr w:rsidR="006917EF" w:rsidRPr="00556DB3" w:rsidTr="005E22B0">
        <w:tc>
          <w:tcPr>
            <w:tcW w:w="54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both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5. Vplyvy na informatizáciu spoločnosti</w:t>
            </w:r>
          </w:p>
        </w:tc>
        <w:tc>
          <w:tcPr>
            <w:tcW w:w="13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  <w:tc>
          <w:tcPr>
            <w:tcW w:w="105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  <w:r w:rsidRPr="00556DB3">
              <w:rPr>
                <w:rFonts w:ascii="Book Antiqua" w:eastAsia="Times New Roman" w:hAnsi="Book Antiqua"/>
                <w:color w:val="000000"/>
                <w:sz w:val="22"/>
              </w:rPr>
              <w:t>x</w:t>
            </w:r>
          </w:p>
        </w:tc>
        <w:tc>
          <w:tcPr>
            <w:tcW w:w="13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:rsidR="006917EF" w:rsidRPr="00556DB3" w:rsidRDefault="006917EF" w:rsidP="005E22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rFonts w:ascii="Book Antiqua" w:eastAsia="Times New Roman" w:hAnsi="Book Antiqua"/>
                <w:color w:val="000000"/>
                <w:sz w:val="22"/>
              </w:rPr>
            </w:pPr>
          </w:p>
        </w:tc>
      </w:tr>
    </w:tbl>
    <w:bookmarkEnd w:id="1"/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color w:val="000000"/>
          <w:sz w:val="22"/>
        </w:rPr>
      </w:pPr>
      <w:r w:rsidRPr="00556DB3">
        <w:rPr>
          <w:rFonts w:ascii="Book Antiqua" w:eastAsia="Times New Roman" w:hAnsi="Book Antiqua"/>
          <w:color w:val="000000"/>
          <w:sz w:val="22"/>
        </w:rPr>
        <w:t> </w:t>
      </w: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b/>
          <w:color w:val="000000"/>
          <w:sz w:val="22"/>
        </w:rPr>
      </w:pPr>
      <w:r w:rsidRPr="00556DB3">
        <w:rPr>
          <w:rFonts w:ascii="Book Antiqua" w:eastAsia="Times New Roman" w:hAnsi="Book Antiqua"/>
          <w:b/>
          <w:color w:val="000000"/>
          <w:sz w:val="22"/>
        </w:rPr>
        <w:t>A.3. Poznámky</w:t>
      </w:r>
    </w:p>
    <w:p w:rsidR="00074A10" w:rsidRPr="00074A10" w:rsidRDefault="00074A10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hAnsi="Book Antiqua" w:cs="Times New Roman"/>
          <w:i/>
          <w:sz w:val="22"/>
        </w:rPr>
      </w:pPr>
      <w:r w:rsidRPr="00074A10">
        <w:rPr>
          <w:rFonts w:ascii="Book Antiqua" w:eastAsia="Times New Roman" w:hAnsi="Book Antiqua" w:cs="Times New Roman"/>
          <w:i/>
          <w:sz w:val="22"/>
          <w:lang w:eastAsia="sk-SK"/>
        </w:rPr>
        <w:t xml:space="preserve">Vzhľadom na nedostupnosť dát v dostatočnom detaile, možno uviesť negatívny dopad na príjmovú stránku rozpočtu verejnej správy pri aplikácii zníženej sadzby DPH pre tieto vybrané produkty z odvetvia kultúry a kreatívneho priemyslu indikatívne, na hodnotu 1,9 mil. eur až 6,5 mil. eur ročne, a to na rok 2024, ako aj na ďalšie tri rozpočtové roky. Tento výpadok v štátnom rozpočte navrhujeme uhradiť z rozpočtovej rezervy (VPS) na riešenie vplyvov legislatívnych zmien, kde je alokovaných </w:t>
      </w:r>
      <w:r w:rsidRPr="00074A10">
        <w:rPr>
          <w:rFonts w:ascii="Book Antiqua" w:hAnsi="Book Antiqua" w:cs="Arial"/>
          <w:color w:val="222222"/>
          <w:sz w:val="22"/>
          <w:shd w:val="clear" w:color="auto" w:fill="FFFFFF"/>
        </w:rPr>
        <w:t>857 992 282 €.</w:t>
      </w:r>
    </w:p>
    <w:p w:rsidR="006917EF" w:rsidRPr="00074A10" w:rsidRDefault="00074A10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hAnsi="Book Antiqua" w:cs="Times New Roman"/>
          <w:i/>
          <w:sz w:val="22"/>
        </w:rPr>
      </w:pPr>
      <w:r w:rsidRPr="00074A10">
        <w:rPr>
          <w:rFonts w:ascii="Book Antiqua" w:hAnsi="Book Antiqua" w:cs="Times New Roman"/>
          <w:i/>
          <w:sz w:val="22"/>
        </w:rPr>
        <w:t>Možno očakávať pozitívny ekonomický vplyv na podnikateľov v odvetví kultúry a kreatívneho priemyslu, ktorí ponúkajú predmetné produkty (tovary a služby).</w:t>
      </w: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b/>
          <w:color w:val="000000"/>
          <w:sz w:val="22"/>
        </w:rPr>
      </w:pP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b/>
          <w:color w:val="000000"/>
          <w:sz w:val="22"/>
        </w:rPr>
      </w:pPr>
      <w:r w:rsidRPr="00556DB3">
        <w:rPr>
          <w:rFonts w:ascii="Book Antiqua" w:eastAsia="Times New Roman" w:hAnsi="Book Antiqua"/>
          <w:b/>
          <w:color w:val="000000"/>
          <w:sz w:val="22"/>
        </w:rPr>
        <w:t>A.4. Alternatívne riešenia</w:t>
      </w: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i/>
          <w:color w:val="000000"/>
          <w:sz w:val="22"/>
        </w:rPr>
      </w:pPr>
      <w:r w:rsidRPr="00556DB3">
        <w:rPr>
          <w:rFonts w:ascii="Book Antiqua" w:eastAsia="Times New Roman" w:hAnsi="Book Antiqua"/>
          <w:i/>
          <w:color w:val="000000"/>
          <w:sz w:val="22"/>
        </w:rPr>
        <w:t>bezpredmetné</w:t>
      </w: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b/>
          <w:color w:val="000000"/>
          <w:sz w:val="22"/>
        </w:rPr>
      </w:pPr>
    </w:p>
    <w:p w:rsidR="006917EF" w:rsidRPr="00556DB3" w:rsidRDefault="006917EF" w:rsidP="006917EF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="Book Antiqua" w:eastAsia="Times New Roman" w:hAnsi="Book Antiqua"/>
          <w:color w:val="000000"/>
          <w:sz w:val="22"/>
        </w:rPr>
      </w:pPr>
      <w:r w:rsidRPr="00556DB3">
        <w:rPr>
          <w:rFonts w:ascii="Book Antiqua" w:eastAsia="Times New Roman" w:hAnsi="Book Antiqua"/>
          <w:b/>
          <w:color w:val="000000"/>
          <w:sz w:val="22"/>
        </w:rPr>
        <w:t>A.5. Stanovisko gestorov</w:t>
      </w:r>
    </w:p>
    <w:p w:rsidR="00C85FFE" w:rsidRPr="00556DB3" w:rsidRDefault="006917EF" w:rsidP="006917EF">
      <w:pPr>
        <w:spacing w:before="120" w:line="276" w:lineRule="auto"/>
        <w:jc w:val="both"/>
        <w:rPr>
          <w:rFonts w:ascii="Book Antiqua" w:eastAsia="Times New Roman" w:hAnsi="Book Antiqua" w:cs="Times New Roman"/>
          <w:color w:val="000000"/>
          <w:sz w:val="22"/>
          <w:lang w:eastAsia="sk-SK"/>
        </w:rPr>
      </w:pPr>
      <w:r w:rsidRPr="00556DB3">
        <w:rPr>
          <w:rFonts w:ascii="Book Antiqua" w:eastAsia="Times New Roman" w:hAnsi="Book Antiqua"/>
          <w:i/>
          <w:color w:val="000000"/>
          <w:sz w:val="22"/>
        </w:rPr>
        <w:t>Návrh zákona bol zaslaný na vyjadrenie Ministerstvu financií SR a stanovisko tohto ministerstva tvorí súčasť predkladaného materiálu.</w:t>
      </w:r>
    </w:p>
    <w:sectPr w:rsidR="00C85FFE" w:rsidRPr="00556DB3" w:rsidSect="00554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21D" w:rsidRDefault="0094721D">
      <w:pPr>
        <w:spacing w:line="240" w:lineRule="auto"/>
      </w:pPr>
      <w:r>
        <w:separator/>
      </w:r>
    </w:p>
  </w:endnote>
  <w:endnote w:type="continuationSeparator" w:id="0">
    <w:p w:rsidR="0094721D" w:rsidRDefault="009472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D8" w:rsidRDefault="00254BD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3A5" w:rsidRDefault="005543A5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C65352">
      <w:rPr>
        <w:noProof/>
      </w:rPr>
      <w:t>2</w:t>
    </w:r>
    <w:r>
      <w:fldChar w:fldCharType="end"/>
    </w:r>
  </w:p>
  <w:p w:rsidR="005543A5" w:rsidRDefault="005543A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D8" w:rsidRDefault="00254B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21D" w:rsidRDefault="0094721D">
      <w:pPr>
        <w:spacing w:line="240" w:lineRule="auto"/>
      </w:pPr>
      <w:r>
        <w:separator/>
      </w:r>
    </w:p>
  </w:footnote>
  <w:footnote w:type="continuationSeparator" w:id="0">
    <w:p w:rsidR="0094721D" w:rsidRDefault="009472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D8" w:rsidRDefault="00254BD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D8" w:rsidRDefault="00254BD8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D8" w:rsidRDefault="00254BD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570C7"/>
    <w:multiLevelType w:val="hybridMultilevel"/>
    <w:tmpl w:val="EA52040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53BFF"/>
    <w:multiLevelType w:val="multilevel"/>
    <w:tmpl w:val="DDBE7F30"/>
    <w:lvl w:ilvl="0">
      <w:start w:val="1"/>
      <w:numFmt w:val="lowerLetter"/>
      <w:lvlText w:val="%1)"/>
      <w:lvlJc w:val="left"/>
      <w:pPr>
        <w:ind w:left="720" w:hanging="360"/>
      </w:pPr>
      <w:rPr>
        <w:rFonts w:ascii="Book Antiqua" w:hAnsi="Book Antiqua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5639C9"/>
    <w:multiLevelType w:val="hybridMultilevel"/>
    <w:tmpl w:val="38F69CA4"/>
    <w:lvl w:ilvl="0" w:tplc="4030C9D4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 w:tplc="5B48428C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 w:tplc="736ECB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A21EE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3B7672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5E2065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4E2A8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4B4873E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0DC478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53604CB6"/>
    <w:multiLevelType w:val="hybridMultilevel"/>
    <w:tmpl w:val="4B905292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C530F"/>
    <w:multiLevelType w:val="hybridMultilevel"/>
    <w:tmpl w:val="62D4DC4E"/>
    <w:lvl w:ilvl="0" w:tplc="E0EC790C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 w:tplc="1C565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06692C6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 w:tplc="25D26032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 w:tplc="B824B08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16EF81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8AD61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BB69C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50BC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7EDE5FA8"/>
    <w:multiLevelType w:val="hybridMultilevel"/>
    <w:tmpl w:val="50A88C86"/>
    <w:lvl w:ilvl="0" w:tplc="624A1F0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7">
    <w:abstractNumId w:val="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B5"/>
    <w:rsid w:val="00033454"/>
    <w:rsid w:val="00070793"/>
    <w:rsid w:val="00074A10"/>
    <w:rsid w:val="000D371C"/>
    <w:rsid w:val="00111927"/>
    <w:rsid w:val="00120BD4"/>
    <w:rsid w:val="00121CA0"/>
    <w:rsid w:val="001C124F"/>
    <w:rsid w:val="00225BD3"/>
    <w:rsid w:val="00254BD8"/>
    <w:rsid w:val="00365156"/>
    <w:rsid w:val="00380738"/>
    <w:rsid w:val="0039507B"/>
    <w:rsid w:val="00395305"/>
    <w:rsid w:val="003B0EB4"/>
    <w:rsid w:val="00402F2F"/>
    <w:rsid w:val="004F14ED"/>
    <w:rsid w:val="005543A5"/>
    <w:rsid w:val="00556DB3"/>
    <w:rsid w:val="00561473"/>
    <w:rsid w:val="005F3FEC"/>
    <w:rsid w:val="006231B2"/>
    <w:rsid w:val="00630AE0"/>
    <w:rsid w:val="00643414"/>
    <w:rsid w:val="006917EF"/>
    <w:rsid w:val="006A37CC"/>
    <w:rsid w:val="006C1549"/>
    <w:rsid w:val="006F3022"/>
    <w:rsid w:val="0071250C"/>
    <w:rsid w:val="00805183"/>
    <w:rsid w:val="00901EB3"/>
    <w:rsid w:val="00930614"/>
    <w:rsid w:val="0094721D"/>
    <w:rsid w:val="009B58B5"/>
    <w:rsid w:val="00A01113"/>
    <w:rsid w:val="00A53D61"/>
    <w:rsid w:val="00AC4A31"/>
    <w:rsid w:val="00B14BFF"/>
    <w:rsid w:val="00B679C4"/>
    <w:rsid w:val="00B77CB5"/>
    <w:rsid w:val="00BC3B34"/>
    <w:rsid w:val="00C03742"/>
    <w:rsid w:val="00C175F6"/>
    <w:rsid w:val="00C338BB"/>
    <w:rsid w:val="00C40B98"/>
    <w:rsid w:val="00C65352"/>
    <w:rsid w:val="00C85FFE"/>
    <w:rsid w:val="00CD7756"/>
    <w:rsid w:val="00D4371C"/>
    <w:rsid w:val="00DC29EA"/>
    <w:rsid w:val="00E471F0"/>
    <w:rsid w:val="00E6507A"/>
    <w:rsid w:val="00EB4128"/>
    <w:rsid w:val="00ED4CB4"/>
    <w:rsid w:val="00F038EE"/>
    <w:rsid w:val="00FE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5D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B77CB5"/>
  </w:style>
  <w:style w:type="paragraph" w:customStyle="1" w:styleId="msonormal0">
    <w:name w:val="msonormal"/>
    <w:basedOn w:val="Normlny"/>
    <w:rsid w:val="00B77C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77CB5"/>
    <w:pPr>
      <w:spacing w:line="240" w:lineRule="auto"/>
      <w:ind w:left="720"/>
      <w:contextualSpacing/>
    </w:pPr>
    <w:rPr>
      <w:rFonts w:eastAsia="Times New Roman" w:cs="Times New Roman"/>
      <w:szCs w:val="24"/>
      <w:lang w:eastAsia="sk-SK"/>
    </w:rPr>
  </w:style>
  <w:style w:type="paragraph" w:customStyle="1" w:styleId="awspan">
    <w:name w:val="awspan"/>
    <w:basedOn w:val="Normlny"/>
    <w:rsid w:val="00B77CB5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sk-SK"/>
    </w:rPr>
  </w:style>
  <w:style w:type="paragraph" w:customStyle="1" w:styleId="awpage">
    <w:name w:val="awpage"/>
    <w:basedOn w:val="Normlny"/>
    <w:rsid w:val="00B77CB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00" w:after="200" w:line="240" w:lineRule="auto"/>
    </w:pPr>
    <w:rPr>
      <w:rFonts w:eastAsia="Times New Roman" w:cs="Times New Roman"/>
      <w:szCs w:val="24"/>
      <w:lang w:eastAsia="sk-SK"/>
    </w:rPr>
  </w:style>
  <w:style w:type="paragraph" w:customStyle="1" w:styleId="awtext1">
    <w:name w:val="awtext1"/>
    <w:basedOn w:val="Normlny"/>
    <w:rsid w:val="00B77CB5"/>
    <w:pPr>
      <w:spacing w:before="100" w:beforeAutospacing="1" w:after="100" w:afterAutospacing="1" w:line="240" w:lineRule="auto"/>
    </w:pPr>
    <w:rPr>
      <w:rFonts w:ascii="Calibri" w:eastAsia="Times New Roman" w:hAnsi="Calibri" w:cs="Calibri"/>
      <w:szCs w:val="24"/>
      <w:lang w:eastAsia="sk-SK"/>
    </w:rPr>
  </w:style>
  <w:style w:type="paragraph" w:customStyle="1" w:styleId="awtext2">
    <w:name w:val="awtext2"/>
    <w:basedOn w:val="Normlny"/>
    <w:rsid w:val="00B77CB5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sk-SK"/>
    </w:rPr>
  </w:style>
  <w:style w:type="paragraph" w:customStyle="1" w:styleId="awtext3">
    <w:name w:val="awtext3"/>
    <w:basedOn w:val="Normlny"/>
    <w:rsid w:val="00B77C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k-SK"/>
    </w:rPr>
  </w:style>
  <w:style w:type="paragraph" w:customStyle="1" w:styleId="awtext4">
    <w:name w:val="awtext4"/>
    <w:basedOn w:val="Normlny"/>
    <w:rsid w:val="00B77CB5"/>
    <w:pPr>
      <w:spacing w:before="100" w:beforeAutospacing="1" w:after="100" w:afterAutospacing="1" w:line="240" w:lineRule="auto"/>
    </w:pPr>
    <w:rPr>
      <w:rFonts w:eastAsia="Times New Roman" w:cs="Times New Roman"/>
      <w:i/>
      <w:iCs/>
      <w:szCs w:val="24"/>
      <w:lang w:eastAsia="sk-SK"/>
    </w:rPr>
  </w:style>
  <w:style w:type="paragraph" w:customStyle="1" w:styleId="awtext5">
    <w:name w:val="awtext5"/>
    <w:basedOn w:val="Normlny"/>
    <w:rsid w:val="00B77CB5"/>
    <w:pPr>
      <w:spacing w:before="100" w:beforeAutospacing="1" w:after="100" w:afterAutospacing="1" w:line="240" w:lineRule="auto"/>
    </w:pPr>
    <w:rPr>
      <w:rFonts w:eastAsia="Times New Roman" w:cs="Times New Roman"/>
      <w:b/>
      <w:bCs/>
      <w:i/>
      <w:iCs/>
      <w:szCs w:val="24"/>
      <w:lang w:eastAsia="sk-SK"/>
    </w:rPr>
  </w:style>
  <w:style w:type="character" w:customStyle="1" w:styleId="awspan1">
    <w:name w:val="awspan1"/>
    <w:rsid w:val="00B77CB5"/>
    <w:rPr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B77CB5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B77CB5"/>
    <w:rPr>
      <w:rFonts w:eastAsia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7CB5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B77CB5"/>
    <w:rPr>
      <w:rFonts w:eastAsia="Times New Roman" w:cs="Times New Roman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651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651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651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651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6515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5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5156"/>
    <w:rPr>
      <w:rFonts w:ascii="Tahoma" w:hAnsi="Tahoma" w:cs="Tahoma"/>
      <w:sz w:val="16"/>
      <w:szCs w:val="16"/>
    </w:rPr>
  </w:style>
  <w:style w:type="paragraph" w:customStyle="1" w:styleId="Vchodzie">
    <w:name w:val="Vchodzie"/>
    <w:qFormat/>
    <w:rsid w:val="006917EF"/>
    <w:pPr>
      <w:widowControl w:val="0"/>
      <w:autoSpaceDE w:val="0"/>
      <w:autoSpaceDN w:val="0"/>
      <w:adjustRightInd w:val="0"/>
      <w:spacing w:after="120" w:line="276" w:lineRule="auto"/>
    </w:pPr>
    <w:rPr>
      <w:rFonts w:ascii="Calibri" w:eastAsia="Times New Roman" w:hAnsi="Calibri" w:cs="Calibri"/>
      <w:sz w:val="22"/>
      <w:lang w:bidi="hi-IN"/>
    </w:rPr>
  </w:style>
  <w:style w:type="paragraph" w:styleId="Normlnywebov">
    <w:name w:val="Normal (Web)"/>
    <w:basedOn w:val="Normlny"/>
    <w:uiPriority w:val="99"/>
    <w:qFormat/>
    <w:rsid w:val="006917EF"/>
    <w:pPr>
      <w:spacing w:before="100" w:beforeAutospacing="1" w:after="100" w:afterAutospacing="1" w:line="276" w:lineRule="auto"/>
    </w:pPr>
    <w:rPr>
      <w:rFonts w:eastAsia="Times New Roman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1FC3D-3A7F-4081-A0FA-BC55FE17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2023-04-14T07:27:00Z</dcterms:created>
  <dcterms:modified xsi:type="dcterms:W3CDTF">2023-04-14T07:27:00Z</dcterms:modified>
</cp:coreProperties>
</file>