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BC08" w14:textId="27D14E4C" w:rsidR="006B71D9" w:rsidRPr="00F55D20" w:rsidRDefault="006B71D9" w:rsidP="00F55D20">
      <w:pPr>
        <w:pStyle w:val="Normlnywebov"/>
        <w:spacing w:before="120" w:beforeAutospacing="0" w:after="0" w:afterAutospacing="0"/>
        <w:jc w:val="center"/>
      </w:pPr>
      <w:r w:rsidRPr="00F55D20">
        <w:rPr>
          <w:b/>
          <w:bCs/>
          <w:caps/>
          <w:spacing w:val="30"/>
        </w:rPr>
        <w:t>Dôvodová správa</w:t>
      </w:r>
    </w:p>
    <w:p w14:paraId="12085141" w14:textId="77777777" w:rsidR="006B71D9" w:rsidRPr="00F55D20" w:rsidRDefault="006B71D9" w:rsidP="00773B91">
      <w:pPr>
        <w:pStyle w:val="Nadpis1"/>
        <w:jc w:val="both"/>
        <w:rPr>
          <w:rFonts w:ascii="Times New Roman" w:hAnsi="Times New Roman"/>
          <w:sz w:val="24"/>
          <w:szCs w:val="24"/>
        </w:rPr>
      </w:pPr>
    </w:p>
    <w:p w14:paraId="6421F5FD" w14:textId="77777777" w:rsidR="006B71D9" w:rsidRPr="00F55D20" w:rsidRDefault="006B71D9" w:rsidP="00773B91">
      <w:pPr>
        <w:pStyle w:val="Nadpis1"/>
        <w:ind w:firstLine="708"/>
        <w:jc w:val="both"/>
        <w:rPr>
          <w:rFonts w:ascii="Times New Roman" w:hAnsi="Times New Roman"/>
          <w:sz w:val="24"/>
          <w:szCs w:val="24"/>
          <w:lang w:eastAsia="x-none"/>
        </w:rPr>
      </w:pPr>
      <w:r w:rsidRPr="00F55D20">
        <w:rPr>
          <w:rFonts w:ascii="Times New Roman" w:hAnsi="Times New Roman"/>
          <w:sz w:val="24"/>
          <w:szCs w:val="24"/>
        </w:rPr>
        <w:t>A. Všeobecná časť</w:t>
      </w:r>
    </w:p>
    <w:p w14:paraId="7CAD57B1" w14:textId="7FEED22B" w:rsidR="003B179A" w:rsidRPr="00F55D20" w:rsidRDefault="00E13347" w:rsidP="00773B91">
      <w:pPr>
        <w:pStyle w:val="Normlnywebov"/>
        <w:spacing w:before="120" w:beforeAutospacing="0" w:after="0" w:afterAutospacing="0"/>
        <w:ind w:firstLine="708"/>
        <w:jc w:val="both"/>
      </w:pPr>
      <w:r w:rsidRPr="00F55D20">
        <w:t xml:space="preserve">Návrh zákona, ktorým sa mení a dopĺňa zákon č. </w:t>
      </w:r>
      <w:r w:rsidR="00E21FC5" w:rsidRPr="00F55D20">
        <w:rPr>
          <w:bCs/>
        </w:rPr>
        <w:t>447/2008 Z.</w:t>
      </w:r>
      <w:r w:rsidR="00D707CA" w:rsidRPr="00F55D20">
        <w:rPr>
          <w:bCs/>
        </w:rPr>
        <w:t xml:space="preserve"> </w:t>
      </w:r>
      <w:r w:rsidR="00E21FC5" w:rsidRPr="00F55D20">
        <w:rPr>
          <w:bCs/>
        </w:rPr>
        <w:t>z. o peňažných príspevkoch na kompenzáciu ťažkého zdravotného postihnutia a o zmene a doplnení niektorých zákonov v znení neskorších predpisov</w:t>
      </w:r>
      <w:r w:rsidR="00E21FC5" w:rsidRPr="00F55D20">
        <w:t xml:space="preserve"> </w:t>
      </w:r>
      <w:r w:rsidRPr="00F55D20">
        <w:t>predkladá na rokovanie Národnej rady Slovenskej republiky skupina poslancov</w:t>
      </w:r>
      <w:r w:rsidR="00D707CA" w:rsidRPr="00F55D20">
        <w:t xml:space="preserve"> Národnej rady Slovenskej republiky</w:t>
      </w:r>
      <w:r w:rsidRPr="00F55D20">
        <w:t>.</w:t>
      </w:r>
    </w:p>
    <w:p w14:paraId="52878C1C" w14:textId="65E3A380" w:rsidR="00FF619A" w:rsidRDefault="00E13347" w:rsidP="00F91354">
      <w:pPr>
        <w:pStyle w:val="Normlnywebov"/>
        <w:spacing w:before="120" w:beforeAutospacing="0" w:after="0" w:afterAutospacing="0"/>
        <w:ind w:firstLine="708"/>
        <w:jc w:val="both"/>
        <w:rPr>
          <w:b/>
          <w:bCs/>
        </w:rPr>
      </w:pPr>
      <w:r w:rsidRPr="00F55D20">
        <w:rPr>
          <w:b/>
          <w:bCs/>
        </w:rPr>
        <w:t xml:space="preserve">Cieľom predloženého návrhu </w:t>
      </w:r>
      <w:r w:rsidR="00F97498" w:rsidRPr="00F55D20">
        <w:rPr>
          <w:b/>
          <w:bCs/>
        </w:rPr>
        <w:t>je zabezpečiť rodičom detských onkologických pacientov finančnú podporu po ukončení onkologickej liečby ich detí</w:t>
      </w:r>
      <w:r w:rsidR="00567855" w:rsidRPr="00F55D20">
        <w:rPr>
          <w:b/>
          <w:bCs/>
        </w:rPr>
        <w:t xml:space="preserve"> po dobu maximálne jedného roka po skončení aktívnej liečby (napr. chemoterapie, či rádioterapie)</w:t>
      </w:r>
      <w:r w:rsidR="00F97498" w:rsidRPr="00F55D20">
        <w:rPr>
          <w:b/>
          <w:bCs/>
        </w:rPr>
        <w:t>. V tomto období je pre mnohých rodičov takýchto detí nemožné zamestnať sa</w:t>
      </w:r>
      <w:r w:rsidR="00567855" w:rsidRPr="00F55D20">
        <w:rPr>
          <w:b/>
          <w:bCs/>
        </w:rPr>
        <w:t xml:space="preserve"> vzhľadom na intenzívnu starostlivosť, ktorú sú nútení poskytovať svojmu dieťaťu, no</w:t>
      </w:r>
      <w:r w:rsidR="00F97498" w:rsidRPr="00F55D20">
        <w:rPr>
          <w:b/>
          <w:bCs/>
        </w:rPr>
        <w:t xml:space="preserve">  zároveň v súčasnosti nemajú nárok na finančnú podporu od štátu.</w:t>
      </w:r>
      <w:r w:rsidR="00F91354" w:rsidRPr="00F55D20">
        <w:rPr>
          <w:b/>
          <w:bCs/>
        </w:rPr>
        <w:t xml:space="preserve"> </w:t>
      </w:r>
    </w:p>
    <w:p w14:paraId="321AE35E" w14:textId="25ABFFF8" w:rsidR="00F91354" w:rsidRPr="00F55D20" w:rsidRDefault="00F91354" w:rsidP="00F91354">
      <w:pPr>
        <w:pStyle w:val="Normlnywebov"/>
        <w:spacing w:before="120" w:beforeAutospacing="0" w:after="0" w:afterAutospacing="0"/>
        <w:ind w:firstLine="708"/>
        <w:jc w:val="both"/>
      </w:pPr>
      <w:r w:rsidRPr="00F55D20">
        <w:rPr>
          <w:b/>
          <w:bCs/>
        </w:rPr>
        <w:t>Návrh zákona ráta s rozšírením okruhu osôb s nárokom na peňažný príspevok na opatrovanie.</w:t>
      </w:r>
    </w:p>
    <w:p w14:paraId="5966B306" w14:textId="6D7E15C7" w:rsidR="003B179A" w:rsidRPr="00F55D20" w:rsidRDefault="003B179A" w:rsidP="00567855">
      <w:pPr>
        <w:pStyle w:val="Normlnywebov"/>
        <w:spacing w:before="120" w:beforeAutospacing="0" w:after="0" w:afterAutospacing="0"/>
        <w:ind w:firstLine="708"/>
        <w:jc w:val="both"/>
      </w:pPr>
      <w:r w:rsidRPr="00F55D20">
        <w:t xml:space="preserve">Prognóza </w:t>
      </w:r>
      <w:r w:rsidR="00FF619A">
        <w:t xml:space="preserve">vyliečenia </w:t>
      </w:r>
      <w:r w:rsidRPr="00F55D20">
        <w:t xml:space="preserve">detských onkologických pacientov  je vďaka modernej medicíne  výrazne lepšia než pred rokmi. Viac než  80 % všetkých detí sa vylieči. Napriek tomu chemoterapia  a rádioterapia spôsobujú množstvo akútnych komplikácií, z ktorých </w:t>
      </w:r>
      <w:r w:rsidR="00FF619A">
        <w:t>viace</w:t>
      </w:r>
      <w:r w:rsidRPr="00F55D20">
        <w:t>ré môžu pretrvávať aj po skončení intenzívnej liečby (dlhodobé vedľajšie účinky).</w:t>
      </w:r>
      <w:r w:rsidR="00773B91" w:rsidRPr="00F55D20">
        <w:t xml:space="preserve"> </w:t>
      </w:r>
      <w:r w:rsidRPr="00F55D20">
        <w:t>Až  u dvoch tretín vyliečených detských pacientov sa môžu  v dôsledku  náročnej  liečby objaviť aj tzv. neskoré následky, ktoré môžu vzniknúť nielen po chemoterapii, ale i po rádioterapii, či operačnom výkone a môžu pretrvávať celoživotne. Riziko neskorých následkov konkrétne súvisí s typom a intenzitou liečby a vekom pacienta v čase liečby.</w:t>
      </w:r>
      <w:r w:rsidR="00773B91" w:rsidRPr="00F55D20">
        <w:t xml:space="preserve"> </w:t>
      </w:r>
      <w:r w:rsidRPr="00F55D20">
        <w:t>Následky po onkologickej liečbe môžu postihovať všetky tkanivá a orgány. Všetky deti, ktoré prekonali onkologické ochorenie preto vyžadujú následnú nepretržitú komplexnú zdravotnú starostlivosť</w:t>
      </w:r>
      <w:r w:rsidR="0004190D">
        <w:t>,</w:t>
      </w:r>
      <w:r w:rsidRPr="00F55D20">
        <w:t xml:space="preserve"> </w:t>
      </w:r>
      <w:proofErr w:type="spellStart"/>
      <w:r w:rsidRPr="00F55D20">
        <w:t>t.j</w:t>
      </w:r>
      <w:proofErr w:type="spellEnd"/>
      <w:r w:rsidRPr="00F55D20">
        <w:t xml:space="preserve">. celoživotné  pravidelné kontroly v onkologickej a iných odborných ambulanciách podľa komplikácií, ktoré spôsobila onkologická liečba. </w:t>
      </w:r>
    </w:p>
    <w:p w14:paraId="5386C10B" w14:textId="3AD3853E" w:rsidR="00AE4756" w:rsidRPr="00F55D20" w:rsidRDefault="003B179A" w:rsidP="00D6557C">
      <w:pPr>
        <w:pStyle w:val="Normlnywebov"/>
        <w:spacing w:before="120"/>
        <w:ind w:firstLine="708"/>
        <w:jc w:val="both"/>
      </w:pPr>
      <w:r w:rsidRPr="00F55D20">
        <w:t>Onkologické ochorenie prekonané v detstve a jeho liečba majú tiež psychosociálne následky, ktoré môžu nepriaznivo ovplyvniť rodinné</w:t>
      </w:r>
      <w:r w:rsidR="00D47329">
        <w:t>, či</w:t>
      </w:r>
      <w:r w:rsidRPr="00F55D20">
        <w:t xml:space="preserve"> rovesnícke vzťahy, odborné a pracovné príležitosti v budúcnosti. </w:t>
      </w:r>
      <w:r w:rsidR="00D6557C" w:rsidRPr="00F55D20">
        <w:t xml:space="preserve">Každá onkologická liečba výrazne ovplyvňuje psychiku nielen vyliečených detí, ale i celej rodiny. I niekoľko mesiacov po liečbe sa môže prejaviť </w:t>
      </w:r>
      <w:proofErr w:type="spellStart"/>
      <w:r w:rsidR="00D6557C" w:rsidRPr="00F55D20">
        <w:t>posttraumatický</w:t>
      </w:r>
      <w:proofErr w:type="spellEnd"/>
      <w:r w:rsidR="00D6557C" w:rsidRPr="00F55D20">
        <w:t xml:space="preserve"> stres a u značného počtu pacientov sa objaví aj únavový syndróm nielen v dôsledku emocionálneho a mentálneho vyčerpania,  ale i kvôli pretrvávajúcemu pocitu fyzického vyčerpania. </w:t>
      </w:r>
    </w:p>
    <w:p w14:paraId="57C55F7C" w14:textId="0AB05F9D" w:rsidR="003B179A" w:rsidRPr="00F55D20" w:rsidRDefault="003B179A" w:rsidP="00AE4756">
      <w:pPr>
        <w:pStyle w:val="Normlnywebov"/>
        <w:spacing w:before="120"/>
        <w:ind w:firstLine="708"/>
        <w:jc w:val="both"/>
      </w:pPr>
      <w:r w:rsidRPr="00F55D20">
        <w:t xml:space="preserve">Pretrvávajú neurologické poruchy najmä </w:t>
      </w:r>
      <w:proofErr w:type="spellStart"/>
      <w:r w:rsidRPr="00F55D20">
        <w:t>polyneuropathie</w:t>
      </w:r>
      <w:proofErr w:type="spellEnd"/>
      <w:r w:rsidRPr="00F55D20">
        <w:t xml:space="preserve"> vyžadujúce intenzívnu rehabilitáciu, </w:t>
      </w:r>
      <w:r w:rsidR="00D73299">
        <w:t xml:space="preserve">či </w:t>
      </w:r>
      <w:r w:rsidRPr="00F55D20">
        <w:t>liečebné kúpeľné pobyty. Vyskytujú sa aj poruchy tráviaceho traktu ako napr</w:t>
      </w:r>
      <w:r w:rsidR="007A4707">
        <w:t>íklad</w:t>
      </w:r>
      <w:r w:rsidRPr="00F55D20">
        <w:t xml:space="preserve"> poruchy funkcie pečene, chronické bolesti a  poruchy trávenia – </w:t>
      </w:r>
      <w:proofErr w:type="spellStart"/>
      <w:r w:rsidRPr="00F55D20">
        <w:t>malabsorbcie</w:t>
      </w:r>
      <w:proofErr w:type="spellEnd"/>
      <w:r w:rsidRPr="00F55D20">
        <w:t xml:space="preserve">, ktoré vyžadujú  rôzne diétne opatrenia. Nezanedbateľné je aj riziko relapsu ochorenia. Preto sú </w:t>
      </w:r>
      <w:r w:rsidRPr="00F55D20">
        <w:lastRenderedPageBreak/>
        <w:t xml:space="preserve">indikované časté kontroly v onkologickej ambulancii, </w:t>
      </w:r>
      <w:proofErr w:type="spellStart"/>
      <w:r w:rsidRPr="00F55D20">
        <w:t>frekventné</w:t>
      </w:r>
      <w:proofErr w:type="spellEnd"/>
      <w:r w:rsidRPr="00F55D20">
        <w:t xml:space="preserve"> CT a MRI vyšetrenie (mnohokrát vzhľadom k veku a </w:t>
      </w:r>
      <w:proofErr w:type="spellStart"/>
      <w:r w:rsidRPr="00F55D20">
        <w:t>nespolupráci</w:t>
      </w:r>
      <w:proofErr w:type="spellEnd"/>
      <w:r w:rsidRPr="00F55D20">
        <w:t xml:space="preserve"> dieťaťa v celkovej anestézii). </w:t>
      </w:r>
    </w:p>
    <w:p w14:paraId="2131AA38" w14:textId="793AEF2A" w:rsidR="00D6557C" w:rsidRPr="00F55D20" w:rsidRDefault="00AE4756" w:rsidP="00567855">
      <w:pPr>
        <w:pStyle w:val="Normlnywebov"/>
        <w:spacing w:before="120" w:beforeAutospacing="0" w:after="0" w:afterAutospacing="0"/>
        <w:ind w:firstLine="708"/>
        <w:jc w:val="both"/>
      </w:pPr>
      <w:r w:rsidRPr="00F55D20">
        <w:rPr>
          <w:bCs/>
        </w:rPr>
        <w:t xml:space="preserve">V prvom roku po skončení liečby majú detskí onkologickí pacienti tzv. dlhodobé vedľajšie účinky chemoterapie, ktoré spočívajú najmä v pretrvávaní </w:t>
      </w:r>
      <w:proofErr w:type="spellStart"/>
      <w:r w:rsidRPr="00F55D20">
        <w:rPr>
          <w:bCs/>
        </w:rPr>
        <w:t>imunosupresie</w:t>
      </w:r>
      <w:proofErr w:type="spellEnd"/>
      <w:r w:rsidRPr="00F55D20">
        <w:rPr>
          <w:bCs/>
        </w:rPr>
        <w:t xml:space="preserve"> </w:t>
      </w:r>
      <w:proofErr w:type="spellStart"/>
      <w:r w:rsidRPr="00F55D20">
        <w:rPr>
          <w:bCs/>
        </w:rPr>
        <w:t>t.j</w:t>
      </w:r>
      <w:proofErr w:type="spellEnd"/>
      <w:r w:rsidRPr="00F55D20">
        <w:rPr>
          <w:bCs/>
        </w:rPr>
        <w:t>. porúch imunitného systému, preto je dieťa nutné chrániť pred stykom s infekciami.</w:t>
      </w:r>
      <w:r w:rsidRPr="00F55D20">
        <w:rPr>
          <w:b/>
        </w:rPr>
        <w:t xml:space="preserve">  </w:t>
      </w:r>
      <w:r w:rsidRPr="00F55D20">
        <w:t xml:space="preserve">Znamená to, že deti, ktoré po liečbe navštevujú školu alebo škôlku sú aj pri najmenších náznakoch ochorenia dieťaťa alebo jeho spolužiakov sťahované z týchto zariadení, aby sa zabránilo </w:t>
      </w:r>
      <w:r w:rsidR="00D6557C" w:rsidRPr="00F55D20">
        <w:t xml:space="preserve">ich </w:t>
      </w:r>
      <w:r w:rsidRPr="00F55D20">
        <w:t xml:space="preserve">ochoreniu, ktoré by </w:t>
      </w:r>
      <w:r w:rsidR="00D6557C" w:rsidRPr="00F55D20">
        <w:t xml:space="preserve">mohlo byť pri ich </w:t>
      </w:r>
      <w:r w:rsidRPr="00F55D20">
        <w:t xml:space="preserve">slabej imunite </w:t>
      </w:r>
      <w:r w:rsidR="00D6557C" w:rsidRPr="00F55D20">
        <w:t>vážnym rizikom</w:t>
      </w:r>
      <w:r w:rsidRPr="00F55D20">
        <w:t xml:space="preserve">. </w:t>
      </w:r>
    </w:p>
    <w:p w14:paraId="4975C840" w14:textId="6592415B" w:rsidR="00567855" w:rsidRPr="00F55D20" w:rsidRDefault="00567855" w:rsidP="00567855">
      <w:pPr>
        <w:pStyle w:val="Normlnywebov"/>
        <w:spacing w:before="120" w:beforeAutospacing="0" w:after="0" w:afterAutospacing="0"/>
        <w:ind w:firstLine="708"/>
        <w:jc w:val="both"/>
        <w:rPr>
          <w:b/>
          <w:bCs/>
        </w:rPr>
      </w:pPr>
      <w:r w:rsidRPr="00F55D20">
        <w:rPr>
          <w:b/>
          <w:bCs/>
        </w:rPr>
        <w:t>V</w:t>
      </w:r>
      <w:r w:rsidR="00D6557C" w:rsidRPr="00F55D20">
        <w:rPr>
          <w:b/>
          <w:bCs/>
        </w:rPr>
        <w:t>šetky uvedené dôvody vyššie – časté kontroly dieťaťa a podporná liečba, rôznorodé a časté komplikácie po chemoterapii, rádioterapii, či operáciách, veľmi citlivá psychika dieťaťa, potreba ochrany dieťaťa pred infekciami z dôvodu slabej imunity dieťaťa – spôsobujú, že t</w:t>
      </w:r>
      <w:r w:rsidR="00AE4756" w:rsidRPr="00F55D20">
        <w:rPr>
          <w:b/>
          <w:bCs/>
        </w:rPr>
        <w:t>akéto d</w:t>
      </w:r>
      <w:r w:rsidRPr="00F55D20">
        <w:rPr>
          <w:b/>
          <w:bCs/>
        </w:rPr>
        <w:t>ieťa</w:t>
      </w:r>
      <w:r w:rsidR="003B179A" w:rsidRPr="00F55D20">
        <w:rPr>
          <w:b/>
          <w:bCs/>
        </w:rPr>
        <w:t xml:space="preserve"> </w:t>
      </w:r>
      <w:r w:rsidR="00D6557C" w:rsidRPr="00F55D20">
        <w:rPr>
          <w:b/>
          <w:bCs/>
        </w:rPr>
        <w:t xml:space="preserve">si </w:t>
      </w:r>
      <w:r w:rsidR="003B179A" w:rsidRPr="00F55D20">
        <w:rPr>
          <w:b/>
          <w:bCs/>
        </w:rPr>
        <w:t>vyžaduj</w:t>
      </w:r>
      <w:r w:rsidRPr="00F55D20">
        <w:rPr>
          <w:b/>
          <w:bCs/>
        </w:rPr>
        <w:t>e</w:t>
      </w:r>
      <w:r w:rsidR="003B179A" w:rsidRPr="00F55D20">
        <w:rPr>
          <w:b/>
          <w:bCs/>
        </w:rPr>
        <w:t xml:space="preserve"> intenzívnu starostlivosť rodiča v takom rozsahu, že sa tento </w:t>
      </w:r>
      <w:r w:rsidR="007A4707">
        <w:rPr>
          <w:b/>
          <w:bCs/>
        </w:rPr>
        <w:t xml:space="preserve">častokrát </w:t>
      </w:r>
      <w:r w:rsidR="003B179A" w:rsidRPr="00F55D20">
        <w:rPr>
          <w:b/>
          <w:bCs/>
        </w:rPr>
        <w:t xml:space="preserve">nedokáže zamestnať. </w:t>
      </w:r>
      <w:r w:rsidR="00D6557C" w:rsidRPr="00F55D20">
        <w:rPr>
          <w:b/>
          <w:bCs/>
        </w:rPr>
        <w:t>Keďže však tak</w:t>
      </w:r>
      <w:r w:rsidRPr="00F55D20">
        <w:rPr>
          <w:b/>
          <w:bCs/>
        </w:rPr>
        <w:t>é</w:t>
      </w:r>
      <w:r w:rsidR="00D6557C" w:rsidRPr="00F55D20">
        <w:rPr>
          <w:b/>
          <w:bCs/>
        </w:rPr>
        <w:t xml:space="preserve">to dieťa </w:t>
      </w:r>
      <w:r w:rsidR="00D73299">
        <w:rPr>
          <w:b/>
          <w:bCs/>
        </w:rPr>
        <w:t xml:space="preserve">v súčasnosti </w:t>
      </w:r>
      <w:r w:rsidR="00D6557C" w:rsidRPr="00F55D20">
        <w:rPr>
          <w:b/>
          <w:bCs/>
        </w:rPr>
        <w:t xml:space="preserve">nespĺňa nároky ťažkého </w:t>
      </w:r>
      <w:r w:rsidRPr="00F55D20">
        <w:rPr>
          <w:b/>
          <w:bCs/>
        </w:rPr>
        <w:t>zdravotného postihnutia, rodič, ktorý sa o toto dieťa stará, nemá nárok</w:t>
      </w:r>
      <w:r w:rsidR="00D6557C" w:rsidRPr="00F55D20">
        <w:rPr>
          <w:b/>
          <w:bCs/>
        </w:rPr>
        <w:t xml:space="preserve"> na </w:t>
      </w:r>
      <w:r w:rsidR="00D73299">
        <w:rPr>
          <w:b/>
          <w:bCs/>
        </w:rPr>
        <w:t>peňažný príspevok na opatrovanie</w:t>
      </w:r>
      <w:r w:rsidRPr="00F55D20">
        <w:rPr>
          <w:b/>
          <w:bCs/>
        </w:rPr>
        <w:t>.</w:t>
      </w:r>
      <w:r w:rsidR="00D6557C" w:rsidRPr="00F55D20">
        <w:rPr>
          <w:b/>
          <w:bCs/>
        </w:rPr>
        <w:t xml:space="preserve"> </w:t>
      </w:r>
      <w:r w:rsidR="00D73299">
        <w:rPr>
          <w:b/>
          <w:bCs/>
        </w:rPr>
        <w:t>Častokrát tak z</w:t>
      </w:r>
      <w:r w:rsidR="003B179A" w:rsidRPr="00F55D20">
        <w:rPr>
          <w:b/>
          <w:bCs/>
        </w:rPr>
        <w:t>ostáva bez akéhokoľvek príjmu</w:t>
      </w:r>
      <w:r w:rsidRPr="00F55D20">
        <w:rPr>
          <w:b/>
          <w:bCs/>
        </w:rPr>
        <w:t>. Tento nespravodlivý a nesprávny stav rieši tento návrh zákona.</w:t>
      </w:r>
    </w:p>
    <w:p w14:paraId="4E2DE75E" w14:textId="0F22FB43" w:rsidR="00847937" w:rsidRPr="008D418B" w:rsidRDefault="00847937" w:rsidP="00847937">
      <w:pPr>
        <w:pStyle w:val="title-doc-oj-reference"/>
        <w:shd w:val="clear" w:color="auto" w:fill="FFFFFF"/>
        <w:spacing w:before="120" w:beforeAutospacing="0" w:after="0" w:afterAutospacing="0"/>
        <w:ind w:firstLine="708"/>
        <w:jc w:val="both"/>
        <w:rPr>
          <w:color w:val="000000" w:themeColor="text1"/>
        </w:rPr>
      </w:pPr>
      <w:r w:rsidRPr="008D418B">
        <w:rPr>
          <w:color w:val="000000" w:themeColor="text1"/>
        </w:rPr>
        <w:t>Návrh zákona bude mať negatívny vplyv na rozpočet verejnej správy, bude mať pozitívne sociálne vplyvy ako aj pozitívny vplyv na manželstvo, rodičovstvo a rodinu. Návrh zákona nebude mať  vplyv na podnikateľské prostredie, životné prostredie, informatizáciu, ani na služby verejnej správy pre občana.</w:t>
      </w:r>
    </w:p>
    <w:p w14:paraId="5211EE9E" w14:textId="77777777" w:rsidR="00847937" w:rsidRPr="008D418B" w:rsidRDefault="00847937" w:rsidP="00847937">
      <w:pPr>
        <w:pStyle w:val="title-doc-oj-reference"/>
        <w:shd w:val="clear" w:color="auto" w:fill="FFFFFF"/>
        <w:spacing w:before="120" w:beforeAutospacing="0" w:after="0" w:afterAutospacing="0"/>
        <w:ind w:firstLine="708"/>
        <w:jc w:val="both"/>
        <w:rPr>
          <w:iCs/>
          <w:color w:val="000000" w:themeColor="text1"/>
        </w:rPr>
      </w:pPr>
      <w:r w:rsidRPr="008D418B">
        <w:rPr>
          <w:color w:val="000000" w:themeColor="text1"/>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14FC0BB4" w14:textId="77777777" w:rsidR="00847937" w:rsidRPr="00847937" w:rsidRDefault="00847937" w:rsidP="00847937">
      <w:pPr>
        <w:spacing w:line="240" w:lineRule="auto"/>
        <w:ind w:firstLine="708"/>
        <w:rPr>
          <w:b/>
          <w:color w:val="FF0000"/>
          <w:highlight w:val="yellow"/>
        </w:rPr>
      </w:pPr>
    </w:p>
    <w:p w14:paraId="7EBD820B" w14:textId="691D1EB0" w:rsidR="00A2320F" w:rsidRPr="00F55D20" w:rsidRDefault="00A2320F" w:rsidP="00773B91">
      <w:pPr>
        <w:spacing w:before="0" w:after="160" w:line="259" w:lineRule="auto"/>
        <w:jc w:val="both"/>
        <w:rPr>
          <w:b/>
          <w:bCs/>
        </w:rPr>
      </w:pPr>
    </w:p>
    <w:p w14:paraId="1D2F3030" w14:textId="36586AA5" w:rsidR="00492C76" w:rsidRPr="00F55D20" w:rsidRDefault="00492C76" w:rsidP="00773B91">
      <w:pPr>
        <w:spacing w:before="0" w:after="160" w:line="259" w:lineRule="auto"/>
        <w:jc w:val="both"/>
        <w:rPr>
          <w:b/>
          <w:bCs/>
        </w:rPr>
      </w:pPr>
    </w:p>
    <w:p w14:paraId="7900012C" w14:textId="1039EEE5" w:rsidR="00492C76" w:rsidRPr="00F55D20" w:rsidRDefault="00492C76" w:rsidP="00773B91">
      <w:pPr>
        <w:spacing w:before="0" w:after="160" w:line="259" w:lineRule="auto"/>
        <w:jc w:val="both"/>
        <w:rPr>
          <w:b/>
          <w:bCs/>
        </w:rPr>
      </w:pPr>
    </w:p>
    <w:p w14:paraId="198E8F0D" w14:textId="0D12A09F" w:rsidR="00492C76" w:rsidRPr="00F55D20" w:rsidRDefault="00492C76" w:rsidP="00773B91">
      <w:pPr>
        <w:spacing w:before="0" w:after="160" w:line="259" w:lineRule="auto"/>
        <w:jc w:val="both"/>
        <w:rPr>
          <w:b/>
          <w:bCs/>
        </w:rPr>
      </w:pPr>
    </w:p>
    <w:p w14:paraId="1EA89E66" w14:textId="45D17018" w:rsidR="00492C76" w:rsidRPr="00F55D20" w:rsidRDefault="00492C76" w:rsidP="00773B91">
      <w:pPr>
        <w:spacing w:before="0" w:after="160" w:line="259" w:lineRule="auto"/>
        <w:jc w:val="both"/>
        <w:rPr>
          <w:b/>
          <w:bCs/>
        </w:rPr>
      </w:pPr>
    </w:p>
    <w:p w14:paraId="0EC615AC" w14:textId="603A2FDD" w:rsidR="00492C76" w:rsidRPr="00F55D20" w:rsidRDefault="00492C76" w:rsidP="00773B91">
      <w:pPr>
        <w:spacing w:before="0" w:after="160" w:line="259" w:lineRule="auto"/>
        <w:jc w:val="both"/>
        <w:rPr>
          <w:b/>
          <w:bCs/>
        </w:rPr>
      </w:pPr>
    </w:p>
    <w:p w14:paraId="334B1CF5" w14:textId="63A2BD84" w:rsidR="00492C76" w:rsidRPr="00F55D20" w:rsidRDefault="00492C76" w:rsidP="00773B91">
      <w:pPr>
        <w:spacing w:before="0" w:after="160" w:line="259" w:lineRule="auto"/>
        <w:jc w:val="both"/>
        <w:rPr>
          <w:b/>
          <w:bCs/>
        </w:rPr>
      </w:pPr>
    </w:p>
    <w:p w14:paraId="754D5AF9" w14:textId="33A8037C" w:rsidR="00492C76" w:rsidRPr="00F55D20" w:rsidRDefault="00492C76" w:rsidP="00773B91">
      <w:pPr>
        <w:spacing w:before="0" w:after="160" w:line="259" w:lineRule="auto"/>
        <w:jc w:val="both"/>
        <w:rPr>
          <w:b/>
          <w:bCs/>
        </w:rPr>
      </w:pPr>
    </w:p>
    <w:p w14:paraId="4F9A7DCB" w14:textId="74D8B51A" w:rsidR="00492C76" w:rsidRPr="00F55D20" w:rsidRDefault="00492C76" w:rsidP="00773B91">
      <w:pPr>
        <w:spacing w:before="0" w:after="160" w:line="259" w:lineRule="auto"/>
        <w:jc w:val="both"/>
        <w:rPr>
          <w:b/>
          <w:bCs/>
        </w:rPr>
      </w:pPr>
    </w:p>
    <w:p w14:paraId="38A896EA" w14:textId="36B25B36" w:rsidR="00492C76" w:rsidRPr="00F55D20" w:rsidRDefault="00492C76" w:rsidP="00773B91">
      <w:pPr>
        <w:spacing w:before="0" w:after="160" w:line="259" w:lineRule="auto"/>
        <w:jc w:val="both"/>
        <w:rPr>
          <w:b/>
          <w:bCs/>
        </w:rPr>
      </w:pPr>
    </w:p>
    <w:p w14:paraId="7361F60A" w14:textId="292AC1C1" w:rsidR="00492C76" w:rsidRPr="00F55D20" w:rsidRDefault="00492C76" w:rsidP="00773B91">
      <w:pPr>
        <w:spacing w:before="0" w:after="160" w:line="259" w:lineRule="auto"/>
        <w:jc w:val="both"/>
        <w:rPr>
          <w:b/>
          <w:bCs/>
        </w:rPr>
      </w:pPr>
    </w:p>
    <w:p w14:paraId="6857C73A" w14:textId="0A82EC2B" w:rsidR="00492C76" w:rsidRPr="00F55D20" w:rsidRDefault="00492C76" w:rsidP="00773B91">
      <w:pPr>
        <w:spacing w:before="0" w:after="160" w:line="259" w:lineRule="auto"/>
        <w:jc w:val="both"/>
        <w:rPr>
          <w:b/>
          <w:bCs/>
        </w:rPr>
      </w:pPr>
    </w:p>
    <w:p w14:paraId="29515164" w14:textId="14983BD4" w:rsidR="00000CB9" w:rsidRDefault="00000CB9" w:rsidP="00773B91">
      <w:pPr>
        <w:pStyle w:val="Normlnywebov"/>
        <w:spacing w:before="120" w:beforeAutospacing="0" w:after="0" w:afterAutospacing="0"/>
        <w:ind w:firstLine="708"/>
        <w:jc w:val="both"/>
        <w:rPr>
          <w:b/>
          <w:bCs/>
        </w:rPr>
      </w:pPr>
      <w:r w:rsidRPr="00F55D20">
        <w:rPr>
          <w:b/>
          <w:bCs/>
        </w:rPr>
        <w:lastRenderedPageBreak/>
        <w:t>B. Osobitná časť</w:t>
      </w:r>
    </w:p>
    <w:p w14:paraId="2F3BE4A5" w14:textId="77777777" w:rsidR="008D418B" w:rsidRPr="00F55D20" w:rsidRDefault="008D418B" w:rsidP="00773B91">
      <w:pPr>
        <w:pStyle w:val="Normlnywebov"/>
        <w:spacing w:before="120" w:beforeAutospacing="0" w:after="0" w:afterAutospacing="0"/>
        <w:ind w:firstLine="708"/>
        <w:jc w:val="both"/>
        <w:rPr>
          <w:b/>
          <w:bCs/>
        </w:rPr>
      </w:pPr>
    </w:p>
    <w:p w14:paraId="19BC1661" w14:textId="57D6D3D5" w:rsidR="00A2320F" w:rsidRPr="00F55D20" w:rsidRDefault="00000CB9" w:rsidP="00DF05BD">
      <w:pPr>
        <w:spacing w:line="240" w:lineRule="auto"/>
        <w:ind w:firstLine="708"/>
        <w:jc w:val="both"/>
        <w:rPr>
          <w:b/>
          <w:bCs/>
        </w:rPr>
      </w:pPr>
      <w:r w:rsidRPr="00F55D20">
        <w:rPr>
          <w:b/>
          <w:bCs/>
        </w:rPr>
        <w:t>K Čl. I</w:t>
      </w:r>
    </w:p>
    <w:p w14:paraId="7B695605" w14:textId="7980EE23" w:rsidR="00000CB9" w:rsidRPr="00F55D20" w:rsidRDefault="002E43D1" w:rsidP="00DF05BD">
      <w:pPr>
        <w:spacing w:line="240" w:lineRule="auto"/>
        <w:ind w:firstLine="708"/>
        <w:jc w:val="both"/>
        <w:rPr>
          <w:b/>
        </w:rPr>
      </w:pPr>
      <w:r w:rsidRPr="00F55D20">
        <w:rPr>
          <w:b/>
        </w:rPr>
        <w:t>K bodu 1</w:t>
      </w:r>
    </w:p>
    <w:p w14:paraId="6BBFEF38" w14:textId="77777777" w:rsidR="008D418B" w:rsidRDefault="00597DAA" w:rsidP="00DF05BD">
      <w:pPr>
        <w:spacing w:line="240" w:lineRule="auto"/>
        <w:ind w:firstLine="708"/>
        <w:jc w:val="both"/>
        <w:rPr>
          <w:bCs/>
          <w:shd w:val="clear" w:color="auto" w:fill="FFFFFF"/>
        </w:rPr>
      </w:pPr>
      <w:r w:rsidRPr="00F55D20">
        <w:rPr>
          <w:bCs/>
        </w:rPr>
        <w:t xml:space="preserve">Navrhuje sa doplnenie definície ťažkého zdravotného postihnutia. Podľa navrhnutej úpravy je osobou s takýmto postihnutím nielen osoba </w:t>
      </w:r>
      <w:r w:rsidRPr="00F55D20">
        <w:rPr>
          <w:bCs/>
          <w:color w:val="494949"/>
          <w:shd w:val="clear" w:color="auto" w:fill="FFFFFF"/>
        </w:rPr>
        <w:t xml:space="preserve">s mierou funkčnej poruchy najmenej 50 %, ale (a to len na účely poskytovania </w:t>
      </w:r>
      <w:r w:rsidR="00040441">
        <w:rPr>
          <w:bCs/>
          <w:color w:val="494949"/>
          <w:shd w:val="clear" w:color="auto" w:fill="FFFFFF"/>
        </w:rPr>
        <w:t xml:space="preserve">peňažného </w:t>
      </w:r>
      <w:r w:rsidRPr="00F55D20">
        <w:rPr>
          <w:bCs/>
          <w:color w:val="494949"/>
          <w:shd w:val="clear" w:color="auto" w:fill="FFFFFF"/>
        </w:rPr>
        <w:t xml:space="preserve">príspevku na opatrovanie) </w:t>
      </w:r>
      <w:r w:rsidR="00A60AB7" w:rsidRPr="00F55D20">
        <w:rPr>
          <w:bCs/>
          <w:shd w:val="clear" w:color="auto" w:fill="FFFFFF"/>
        </w:rPr>
        <w:t xml:space="preserve">aj fyzická osoba podľa § 14 ods. 5, pričom splnenie podmienky </w:t>
      </w:r>
      <w:r w:rsidR="00040441">
        <w:rPr>
          <w:bCs/>
          <w:shd w:val="clear" w:color="auto" w:fill="FFFFFF"/>
        </w:rPr>
        <w:t xml:space="preserve">miery </w:t>
      </w:r>
      <w:r w:rsidR="00A60AB7" w:rsidRPr="00F55D20">
        <w:rPr>
          <w:bCs/>
          <w:shd w:val="clear" w:color="auto" w:fill="FFFFFF"/>
        </w:rPr>
        <w:t>funkčnej poruchy sa neskúma.</w:t>
      </w:r>
    </w:p>
    <w:p w14:paraId="623CBE6E" w14:textId="322FB859" w:rsidR="00582B13" w:rsidRPr="00F55D20" w:rsidRDefault="00A60AB7" w:rsidP="00DF05BD">
      <w:pPr>
        <w:spacing w:line="240" w:lineRule="auto"/>
        <w:ind w:firstLine="708"/>
        <w:jc w:val="both"/>
        <w:rPr>
          <w:bCs/>
        </w:rPr>
      </w:pPr>
      <w:r w:rsidRPr="00F55D20">
        <w:rPr>
          <w:bCs/>
          <w:shd w:val="clear" w:color="auto" w:fill="FFFFFF"/>
        </w:rPr>
        <w:t xml:space="preserve">  </w:t>
      </w:r>
    </w:p>
    <w:p w14:paraId="1AB4D005" w14:textId="14F7A4F9" w:rsidR="00582B13" w:rsidRPr="00F55D20" w:rsidRDefault="00582B13" w:rsidP="00DF05BD">
      <w:pPr>
        <w:spacing w:line="240" w:lineRule="auto"/>
        <w:ind w:firstLine="708"/>
        <w:jc w:val="both"/>
        <w:rPr>
          <w:b/>
        </w:rPr>
      </w:pPr>
      <w:r w:rsidRPr="00F55D20">
        <w:rPr>
          <w:b/>
        </w:rPr>
        <w:t>K bod</w:t>
      </w:r>
      <w:r w:rsidR="00A60AB7" w:rsidRPr="00F55D20">
        <w:rPr>
          <w:b/>
        </w:rPr>
        <w:t>om</w:t>
      </w:r>
      <w:r w:rsidRPr="00F55D20">
        <w:rPr>
          <w:b/>
        </w:rPr>
        <w:t xml:space="preserve"> </w:t>
      </w:r>
      <w:r w:rsidR="00597DAA" w:rsidRPr="00F55D20">
        <w:rPr>
          <w:b/>
        </w:rPr>
        <w:t>2</w:t>
      </w:r>
      <w:r w:rsidR="00A60AB7" w:rsidRPr="00F55D20">
        <w:rPr>
          <w:b/>
        </w:rPr>
        <w:t>, 4</w:t>
      </w:r>
      <w:r w:rsidR="004D3CE1" w:rsidRPr="00F55D20">
        <w:rPr>
          <w:b/>
        </w:rPr>
        <w:t>, 5</w:t>
      </w:r>
      <w:r w:rsidR="00A60AB7" w:rsidRPr="00F55D20">
        <w:rPr>
          <w:b/>
        </w:rPr>
        <w:t>, 8 až 11</w:t>
      </w:r>
    </w:p>
    <w:p w14:paraId="721D60FA" w14:textId="73B95858" w:rsidR="00A60AB7" w:rsidRDefault="00A60AB7" w:rsidP="00DF05BD">
      <w:pPr>
        <w:spacing w:line="240" w:lineRule="auto"/>
        <w:ind w:firstLine="708"/>
        <w:jc w:val="both"/>
        <w:rPr>
          <w:bCs/>
        </w:rPr>
      </w:pPr>
      <w:r w:rsidRPr="00F55D20">
        <w:rPr>
          <w:bCs/>
        </w:rPr>
        <w:t xml:space="preserve">Legislatívno-technické úpravy vyvolané zmenou číslovania odsekov. </w:t>
      </w:r>
    </w:p>
    <w:p w14:paraId="287F2A6C" w14:textId="77777777" w:rsidR="008D418B" w:rsidRPr="00F55D20" w:rsidRDefault="008D418B" w:rsidP="00DF05BD">
      <w:pPr>
        <w:spacing w:line="240" w:lineRule="auto"/>
        <w:ind w:firstLine="708"/>
        <w:jc w:val="both"/>
        <w:rPr>
          <w:bCs/>
        </w:rPr>
      </w:pPr>
    </w:p>
    <w:p w14:paraId="67622586" w14:textId="7B80B082" w:rsidR="004D3CE1" w:rsidRPr="00F55D20" w:rsidRDefault="004D3CE1" w:rsidP="00DF05BD">
      <w:pPr>
        <w:spacing w:line="240" w:lineRule="auto"/>
        <w:ind w:firstLine="708"/>
        <w:jc w:val="both"/>
        <w:rPr>
          <w:b/>
        </w:rPr>
      </w:pPr>
      <w:r w:rsidRPr="00F55D20">
        <w:rPr>
          <w:b/>
        </w:rPr>
        <w:t>K bodu 3</w:t>
      </w:r>
    </w:p>
    <w:p w14:paraId="06336563" w14:textId="0E7FF6D1" w:rsidR="00293064" w:rsidRPr="00F55D20" w:rsidRDefault="00293064" w:rsidP="00DF05BD">
      <w:pPr>
        <w:spacing w:line="240" w:lineRule="auto"/>
        <w:ind w:firstLine="708"/>
        <w:jc w:val="both"/>
        <w:rPr>
          <w:bCs/>
        </w:rPr>
      </w:pPr>
      <w:r w:rsidRPr="008D418B">
        <w:rPr>
          <w:bCs/>
        </w:rPr>
        <w:t>D</w:t>
      </w:r>
      <w:r w:rsidR="0079522E" w:rsidRPr="008D418B">
        <w:rPr>
          <w:bCs/>
        </w:rPr>
        <w:t>o</w:t>
      </w:r>
      <w:r w:rsidRPr="008D418B">
        <w:rPr>
          <w:bCs/>
        </w:rPr>
        <w:t xml:space="preserve">pĺňa sa definícia fyzickej osoby s ťažkým zdravotným postihnutím </w:t>
      </w:r>
      <w:r w:rsidR="00893516" w:rsidRPr="008D418B">
        <w:rPr>
          <w:bCs/>
        </w:rPr>
        <w:t xml:space="preserve">odkázanej na opatrovanie </w:t>
      </w:r>
      <w:r w:rsidRPr="008D418B">
        <w:rPr>
          <w:bCs/>
        </w:rPr>
        <w:t>tak, aby</w:t>
      </w:r>
      <w:r w:rsidRPr="00F55D20">
        <w:rPr>
          <w:bCs/>
        </w:rPr>
        <w:t xml:space="preserve"> táto definícia zahŕňala aj </w:t>
      </w:r>
      <w:r w:rsidR="00893516" w:rsidRPr="00104E50">
        <w:rPr>
          <w:bCs/>
        </w:rPr>
        <w:t>maloletých pacientov s onkologickým ochorením, maloletých pacientov s </w:t>
      </w:r>
      <w:proofErr w:type="spellStart"/>
      <w:r w:rsidR="00893516" w:rsidRPr="00104E50">
        <w:rPr>
          <w:bCs/>
        </w:rPr>
        <w:t>hematoonkologickým</w:t>
      </w:r>
      <w:proofErr w:type="spellEnd"/>
      <w:r w:rsidR="00893516" w:rsidRPr="00104E50">
        <w:rPr>
          <w:bCs/>
        </w:rPr>
        <w:t xml:space="preserve"> ochorením a maloletých pacientov zaradených do transplantačného programu.</w:t>
      </w:r>
      <w:r w:rsidRPr="00F55D20">
        <w:rPr>
          <w:bCs/>
        </w:rPr>
        <w:t xml:space="preserve"> Rozšírenie definície umožní zaradiť týchto maloletých pacientov do kategórie pacientov, na ktorých je možné vyplácať peňažný príspevok na opatrovanie.</w:t>
      </w:r>
    </w:p>
    <w:p w14:paraId="542710F5" w14:textId="0FB2C51E" w:rsidR="00523287" w:rsidRPr="00F55D20" w:rsidRDefault="00893516" w:rsidP="00DF05BD">
      <w:pPr>
        <w:pStyle w:val="Normlnywebov"/>
        <w:spacing w:before="120" w:line="240" w:lineRule="auto"/>
        <w:ind w:firstLine="708"/>
        <w:jc w:val="both"/>
        <w:rPr>
          <w:bCs/>
        </w:rPr>
      </w:pPr>
      <w:r w:rsidRPr="00104E50">
        <w:rPr>
          <w:bCs/>
        </w:rPr>
        <w:t>D</w:t>
      </w:r>
      <w:r w:rsidR="00F91354" w:rsidRPr="00F55D20">
        <w:rPr>
          <w:bCs/>
        </w:rPr>
        <w:t xml:space="preserve">ĺžku odkázanosti </w:t>
      </w:r>
      <w:r w:rsidRPr="00104E50">
        <w:rPr>
          <w:bCs/>
        </w:rPr>
        <w:t xml:space="preserve">na opatrovanie </w:t>
      </w:r>
      <w:r w:rsidR="00F91354" w:rsidRPr="00F55D20">
        <w:rPr>
          <w:bCs/>
        </w:rPr>
        <w:t>určí posudkový lekár</w:t>
      </w:r>
      <w:r w:rsidRPr="00104E50">
        <w:rPr>
          <w:bCs/>
        </w:rPr>
        <w:t xml:space="preserve"> v rozmedzí od 1 mesiaca do 12 mesiacov od ukončenia aktívnej liečby týchto maloletých pacientov. To znamená, že dĺžka vyplácania peňažného príspevku na opatrovanie bude maximálne 12 mesiacov od ukončenia aktívnej liečby. Aktívnou liečbou sa rozumie podávanie onkologickej a</w:t>
      </w:r>
      <w:r w:rsidR="00414D09">
        <w:rPr>
          <w:bCs/>
        </w:rPr>
        <w:t>lebo</w:t>
      </w:r>
      <w:r w:rsidRPr="00104E50">
        <w:rPr>
          <w:bCs/>
        </w:rPr>
        <w:t> </w:t>
      </w:r>
      <w:proofErr w:type="spellStart"/>
      <w:r w:rsidRPr="00104E50">
        <w:rPr>
          <w:bCs/>
        </w:rPr>
        <w:t>hematoonkologickej</w:t>
      </w:r>
      <w:proofErr w:type="spellEnd"/>
      <w:r w:rsidRPr="00104E50">
        <w:rPr>
          <w:bCs/>
        </w:rPr>
        <w:t xml:space="preserve"> liečby. Posudkový lekár je zároveň viazaný odborným názorom ošetrujúceho lekára danej fyzickej osoby (maloletého pacienta). </w:t>
      </w:r>
      <w:r w:rsidR="00523287" w:rsidRPr="00F55D20">
        <w:rPr>
          <w:bCs/>
        </w:rPr>
        <w:t>Ošetrujúci lekár v procese uznania nároku</w:t>
      </w:r>
      <w:r w:rsidRPr="00104E50">
        <w:rPr>
          <w:bCs/>
        </w:rPr>
        <w:t xml:space="preserve"> na peňažný príspevok na opatrovanie</w:t>
      </w:r>
      <w:r w:rsidR="00523287" w:rsidRPr="00F55D20">
        <w:rPr>
          <w:bCs/>
        </w:rPr>
        <w:t xml:space="preserve">, ako aj dĺžky </w:t>
      </w:r>
      <w:r w:rsidRPr="00104E50">
        <w:rPr>
          <w:bCs/>
        </w:rPr>
        <w:t xml:space="preserve">jeho poberania </w:t>
      </w:r>
      <w:r w:rsidR="00523287" w:rsidRPr="00F55D20">
        <w:rPr>
          <w:bCs/>
        </w:rPr>
        <w:t xml:space="preserve">vystupuje ako osoba, ktorá dokáže </w:t>
      </w:r>
      <w:r w:rsidRPr="00104E50">
        <w:rPr>
          <w:bCs/>
        </w:rPr>
        <w:t xml:space="preserve">najlepšie </w:t>
      </w:r>
      <w:r w:rsidR="00523287" w:rsidRPr="00F55D20">
        <w:rPr>
          <w:bCs/>
        </w:rPr>
        <w:t>posúdiť potreby maloletého pacienta a rodiny vzhľadom na to, že je s nimi v intenzívnom styku počas liečby.</w:t>
      </w:r>
    </w:p>
    <w:p w14:paraId="23FAAB7B" w14:textId="5840CC4A" w:rsidR="00523287" w:rsidRPr="00F55D20" w:rsidRDefault="00523287" w:rsidP="00DF05BD">
      <w:pPr>
        <w:spacing w:line="240" w:lineRule="auto"/>
        <w:ind w:firstLine="708"/>
        <w:jc w:val="both"/>
        <w:rPr>
          <w:b/>
        </w:rPr>
      </w:pPr>
      <w:r w:rsidRPr="00F55D20">
        <w:rPr>
          <w:b/>
        </w:rPr>
        <w:t xml:space="preserve">K bodu </w:t>
      </w:r>
      <w:r w:rsidR="004D3CE1" w:rsidRPr="00F55D20">
        <w:rPr>
          <w:b/>
        </w:rPr>
        <w:t>6</w:t>
      </w:r>
    </w:p>
    <w:p w14:paraId="7D8E24BF" w14:textId="49AB2091" w:rsidR="00523287" w:rsidRDefault="00523287" w:rsidP="008D418B">
      <w:pPr>
        <w:spacing w:line="240" w:lineRule="auto"/>
        <w:ind w:firstLine="708"/>
        <w:jc w:val="both"/>
        <w:rPr>
          <w:bCs/>
        </w:rPr>
      </w:pPr>
      <w:r w:rsidRPr="008D418B">
        <w:rPr>
          <w:bCs/>
        </w:rPr>
        <w:t>Rozširuje sa</w:t>
      </w:r>
      <w:r w:rsidRPr="00F55D20">
        <w:rPr>
          <w:bCs/>
        </w:rPr>
        <w:t xml:space="preserve"> okruh osôb, na ktoré je možné vyplácať peňažný príspevok na opatrovanie.</w:t>
      </w:r>
    </w:p>
    <w:p w14:paraId="450D2EE5" w14:textId="77777777" w:rsidR="008D418B" w:rsidRPr="00F55D20" w:rsidRDefault="008D418B" w:rsidP="00DF05BD">
      <w:pPr>
        <w:spacing w:line="240" w:lineRule="auto"/>
        <w:ind w:firstLine="708"/>
        <w:jc w:val="both"/>
        <w:rPr>
          <w:bCs/>
        </w:rPr>
      </w:pPr>
    </w:p>
    <w:p w14:paraId="09673354" w14:textId="48EA1C28" w:rsidR="0079522E" w:rsidRPr="00F55D20" w:rsidRDefault="0079522E" w:rsidP="00DF05BD">
      <w:pPr>
        <w:spacing w:line="240" w:lineRule="auto"/>
        <w:ind w:firstLine="708"/>
        <w:jc w:val="both"/>
        <w:rPr>
          <w:b/>
        </w:rPr>
      </w:pPr>
      <w:r w:rsidRPr="00F55D20">
        <w:rPr>
          <w:b/>
        </w:rPr>
        <w:t xml:space="preserve">K bodu </w:t>
      </w:r>
      <w:r w:rsidR="004D3CE1" w:rsidRPr="00F55D20">
        <w:rPr>
          <w:b/>
        </w:rPr>
        <w:t>7</w:t>
      </w:r>
    </w:p>
    <w:p w14:paraId="7E940B91" w14:textId="000890C3" w:rsidR="008D418B" w:rsidRDefault="0079522E" w:rsidP="00DF05BD">
      <w:pPr>
        <w:spacing w:line="240" w:lineRule="auto"/>
        <w:ind w:firstLine="708"/>
        <w:jc w:val="both"/>
        <w:rPr>
          <w:bCs/>
        </w:rPr>
      </w:pPr>
      <w:r w:rsidRPr="008D418B">
        <w:rPr>
          <w:bCs/>
        </w:rPr>
        <w:t>Vylučuje sa</w:t>
      </w:r>
      <w:r w:rsidRPr="00F55D20">
        <w:rPr>
          <w:bCs/>
        </w:rPr>
        <w:t xml:space="preserve"> súbeh vyplácania peňažného príspevku na opatrovanie maloletého pacienta s poskytovaním materského, rodičovského príspevku a</w:t>
      </w:r>
      <w:r w:rsidR="00893516">
        <w:rPr>
          <w:bCs/>
        </w:rPr>
        <w:t>lebo</w:t>
      </w:r>
      <w:r w:rsidRPr="00F55D20">
        <w:rPr>
          <w:bCs/>
        </w:rPr>
        <w:t xml:space="preserve"> príspevku na starostlivosť o dieťa, ktoré by boli prípadne vyplácané na tohto maloletého pacienta.</w:t>
      </w:r>
    </w:p>
    <w:p w14:paraId="63A62769" w14:textId="3CA3643F" w:rsidR="008D418B" w:rsidRPr="00F55D20" w:rsidRDefault="008D418B" w:rsidP="00DF05BD">
      <w:pPr>
        <w:spacing w:line="240" w:lineRule="auto"/>
        <w:ind w:firstLine="708"/>
        <w:jc w:val="both"/>
        <w:rPr>
          <w:bCs/>
        </w:rPr>
      </w:pPr>
    </w:p>
    <w:p w14:paraId="4F8137DC" w14:textId="77777777" w:rsidR="00D719A4" w:rsidRPr="00F55D20" w:rsidRDefault="00D719A4" w:rsidP="00DF05BD">
      <w:pPr>
        <w:spacing w:line="240" w:lineRule="auto"/>
        <w:ind w:firstLine="708"/>
        <w:jc w:val="both"/>
        <w:rPr>
          <w:b/>
          <w:bCs/>
        </w:rPr>
      </w:pPr>
      <w:r w:rsidRPr="00F55D20">
        <w:rPr>
          <w:b/>
          <w:bCs/>
        </w:rPr>
        <w:t>K Čl. II</w:t>
      </w:r>
    </w:p>
    <w:p w14:paraId="7C1A5277" w14:textId="73946EBE" w:rsidR="00CF2DB7" w:rsidRPr="00F55D20" w:rsidRDefault="00D719A4" w:rsidP="00DF05BD">
      <w:pPr>
        <w:spacing w:line="240" w:lineRule="auto"/>
        <w:ind w:firstLine="708"/>
        <w:jc w:val="both"/>
      </w:pPr>
      <w:r w:rsidRPr="00F55D20">
        <w:t xml:space="preserve">Vzhľadom na dĺžku legislatívneho procesu sa navrhuje účinnosť </w:t>
      </w:r>
      <w:r w:rsidR="002E43D1" w:rsidRPr="00F55D20">
        <w:t>návrhu zákona od</w:t>
      </w:r>
      <w:r w:rsidRPr="00F55D20">
        <w:t xml:space="preserve"> </w:t>
      </w:r>
      <w:r w:rsidR="00090C53" w:rsidRPr="00F55D20">
        <w:t>1</w:t>
      </w:r>
      <w:r w:rsidRPr="00F55D20">
        <w:t xml:space="preserve">. </w:t>
      </w:r>
      <w:r w:rsidR="006D206E">
        <w:t>septembra</w:t>
      </w:r>
      <w:r w:rsidR="006D206E" w:rsidRPr="00F55D20">
        <w:t xml:space="preserve"> </w:t>
      </w:r>
      <w:r w:rsidRPr="00F55D20">
        <w:t>202</w:t>
      </w:r>
      <w:r w:rsidR="006D206E">
        <w:t>3</w:t>
      </w:r>
      <w:r w:rsidRPr="00F55D20">
        <w:t>.</w:t>
      </w:r>
    </w:p>
    <w:sectPr w:rsidR="00CF2DB7" w:rsidRPr="00F55D2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22C7" w14:textId="77777777" w:rsidR="00245E91" w:rsidRDefault="00245E91" w:rsidP="006839E0">
      <w:pPr>
        <w:spacing w:before="0" w:line="240" w:lineRule="auto"/>
      </w:pPr>
      <w:r>
        <w:separator/>
      </w:r>
    </w:p>
  </w:endnote>
  <w:endnote w:type="continuationSeparator" w:id="0">
    <w:p w14:paraId="0B980AD2" w14:textId="77777777" w:rsidR="00245E91" w:rsidRDefault="00245E91" w:rsidP="006839E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398482"/>
      <w:docPartObj>
        <w:docPartGallery w:val="Page Numbers (Bottom of Page)"/>
        <w:docPartUnique/>
      </w:docPartObj>
    </w:sdtPr>
    <w:sdtContent>
      <w:p w14:paraId="4EB40379" w14:textId="614E01D1" w:rsidR="006839E0" w:rsidRDefault="006839E0">
        <w:pPr>
          <w:pStyle w:val="Pta"/>
          <w:jc w:val="center"/>
        </w:pPr>
        <w:r>
          <w:fldChar w:fldCharType="begin"/>
        </w:r>
        <w:r>
          <w:instrText>PAGE   \* MERGEFORMAT</w:instrText>
        </w:r>
        <w:r>
          <w:fldChar w:fldCharType="separate"/>
        </w:r>
        <w:r w:rsidR="0025164D">
          <w:rPr>
            <w:noProof/>
          </w:rPr>
          <w:t>1</w:t>
        </w:r>
        <w:r>
          <w:fldChar w:fldCharType="end"/>
        </w:r>
      </w:p>
    </w:sdtContent>
  </w:sdt>
  <w:p w14:paraId="6AF60BFA" w14:textId="77777777" w:rsidR="006839E0" w:rsidRDefault="006839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6F11" w14:textId="77777777" w:rsidR="00245E91" w:rsidRDefault="00245E91" w:rsidP="006839E0">
      <w:pPr>
        <w:spacing w:before="0" w:line="240" w:lineRule="auto"/>
      </w:pPr>
      <w:r>
        <w:separator/>
      </w:r>
    </w:p>
  </w:footnote>
  <w:footnote w:type="continuationSeparator" w:id="0">
    <w:p w14:paraId="654E2E17" w14:textId="77777777" w:rsidR="00245E91" w:rsidRDefault="00245E91" w:rsidP="006839E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1017FC0"/>
    <w:multiLevelType w:val="hybridMultilevel"/>
    <w:tmpl w:val="8B9442C0"/>
    <w:lvl w:ilvl="0" w:tplc="DFD0BF56">
      <w:start w:val="1"/>
      <w:numFmt w:val="bullet"/>
      <w:lvlText w:val=""/>
      <w:lvlJc w:val="left"/>
      <w:pPr>
        <w:ind w:left="720" w:hanging="360"/>
      </w:pPr>
      <w:rPr>
        <w:rFonts w:ascii="Symbol" w:hAnsi="Symbol" w:hint="default"/>
      </w:rPr>
    </w:lvl>
    <w:lvl w:ilvl="1" w:tplc="014E8DE2">
      <w:start w:val="1"/>
      <w:numFmt w:val="bullet"/>
      <w:lvlText w:val="o"/>
      <w:lvlJc w:val="left"/>
      <w:pPr>
        <w:ind w:left="1440" w:hanging="360"/>
      </w:pPr>
      <w:rPr>
        <w:rFonts w:ascii="Courier New" w:hAnsi="Courier New" w:hint="default"/>
      </w:rPr>
    </w:lvl>
    <w:lvl w:ilvl="2" w:tplc="97E838F4">
      <w:start w:val="1"/>
      <w:numFmt w:val="bullet"/>
      <w:lvlText w:val=""/>
      <w:lvlJc w:val="left"/>
      <w:pPr>
        <w:ind w:left="2160" w:hanging="360"/>
      </w:pPr>
      <w:rPr>
        <w:rFonts w:ascii="Wingdings" w:hAnsi="Wingdings" w:hint="default"/>
      </w:rPr>
    </w:lvl>
    <w:lvl w:ilvl="3" w:tplc="67A8274C">
      <w:start w:val="1"/>
      <w:numFmt w:val="bullet"/>
      <w:lvlText w:val=""/>
      <w:lvlJc w:val="left"/>
      <w:pPr>
        <w:ind w:left="2880" w:hanging="360"/>
      </w:pPr>
      <w:rPr>
        <w:rFonts w:ascii="Symbol" w:hAnsi="Symbol" w:hint="default"/>
      </w:rPr>
    </w:lvl>
    <w:lvl w:ilvl="4" w:tplc="EC6CA298">
      <w:start w:val="1"/>
      <w:numFmt w:val="bullet"/>
      <w:lvlText w:val="o"/>
      <w:lvlJc w:val="left"/>
      <w:pPr>
        <w:ind w:left="3600" w:hanging="360"/>
      </w:pPr>
      <w:rPr>
        <w:rFonts w:ascii="Courier New" w:hAnsi="Courier New" w:hint="default"/>
      </w:rPr>
    </w:lvl>
    <w:lvl w:ilvl="5" w:tplc="1836571A">
      <w:start w:val="1"/>
      <w:numFmt w:val="bullet"/>
      <w:lvlText w:val=""/>
      <w:lvlJc w:val="left"/>
      <w:pPr>
        <w:ind w:left="4320" w:hanging="360"/>
      </w:pPr>
      <w:rPr>
        <w:rFonts w:ascii="Wingdings" w:hAnsi="Wingdings" w:hint="default"/>
      </w:rPr>
    </w:lvl>
    <w:lvl w:ilvl="6" w:tplc="E98E8DDE">
      <w:start w:val="1"/>
      <w:numFmt w:val="bullet"/>
      <w:lvlText w:val=""/>
      <w:lvlJc w:val="left"/>
      <w:pPr>
        <w:ind w:left="5040" w:hanging="360"/>
      </w:pPr>
      <w:rPr>
        <w:rFonts w:ascii="Symbol" w:hAnsi="Symbol" w:hint="default"/>
      </w:rPr>
    </w:lvl>
    <w:lvl w:ilvl="7" w:tplc="FAF6552C">
      <w:start w:val="1"/>
      <w:numFmt w:val="bullet"/>
      <w:lvlText w:val="o"/>
      <w:lvlJc w:val="left"/>
      <w:pPr>
        <w:ind w:left="5760" w:hanging="360"/>
      </w:pPr>
      <w:rPr>
        <w:rFonts w:ascii="Courier New" w:hAnsi="Courier New" w:hint="default"/>
      </w:rPr>
    </w:lvl>
    <w:lvl w:ilvl="8" w:tplc="0784ACF6">
      <w:start w:val="1"/>
      <w:numFmt w:val="bullet"/>
      <w:lvlText w:val=""/>
      <w:lvlJc w:val="left"/>
      <w:pPr>
        <w:ind w:left="6480" w:hanging="360"/>
      </w:pPr>
      <w:rPr>
        <w:rFonts w:ascii="Wingdings" w:hAnsi="Wingdings" w:hint="default"/>
      </w:rPr>
    </w:lvl>
  </w:abstractNum>
  <w:abstractNum w:abstractNumId="2" w15:restartNumberingAfterBreak="0">
    <w:nsid w:val="4D811DC9"/>
    <w:multiLevelType w:val="hybridMultilevel"/>
    <w:tmpl w:val="AD6EEB8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20787566">
    <w:abstractNumId w:val="1"/>
  </w:num>
  <w:num w:numId="2" w16cid:durableId="1368287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1834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D9"/>
    <w:rsid w:val="00000CB9"/>
    <w:rsid w:val="0001059D"/>
    <w:rsid w:val="00034BD2"/>
    <w:rsid w:val="00040441"/>
    <w:rsid w:val="0004190D"/>
    <w:rsid w:val="00051545"/>
    <w:rsid w:val="00053D32"/>
    <w:rsid w:val="00087C77"/>
    <w:rsid w:val="00090C53"/>
    <w:rsid w:val="000B6D3D"/>
    <w:rsid w:val="000C5D6E"/>
    <w:rsid w:val="00100285"/>
    <w:rsid w:val="00104E50"/>
    <w:rsid w:val="001333A0"/>
    <w:rsid w:val="00171646"/>
    <w:rsid w:val="001A021E"/>
    <w:rsid w:val="001C2EB3"/>
    <w:rsid w:val="001C3305"/>
    <w:rsid w:val="001D044B"/>
    <w:rsid w:val="001E23E3"/>
    <w:rsid w:val="00245E91"/>
    <w:rsid w:val="0025164D"/>
    <w:rsid w:val="00276A84"/>
    <w:rsid w:val="00280262"/>
    <w:rsid w:val="00291E1C"/>
    <w:rsid w:val="00293064"/>
    <w:rsid w:val="002C5615"/>
    <w:rsid w:val="002E43D1"/>
    <w:rsid w:val="003038F6"/>
    <w:rsid w:val="00306099"/>
    <w:rsid w:val="00331052"/>
    <w:rsid w:val="003529F6"/>
    <w:rsid w:val="00356EFD"/>
    <w:rsid w:val="00366C01"/>
    <w:rsid w:val="003A1986"/>
    <w:rsid w:val="003A5436"/>
    <w:rsid w:val="003A6C26"/>
    <w:rsid w:val="003B179A"/>
    <w:rsid w:val="003B1A3C"/>
    <w:rsid w:val="003C2339"/>
    <w:rsid w:val="003D1FBE"/>
    <w:rsid w:val="003D3138"/>
    <w:rsid w:val="003D778E"/>
    <w:rsid w:val="00414D09"/>
    <w:rsid w:val="004309FF"/>
    <w:rsid w:val="004653AD"/>
    <w:rsid w:val="00492C76"/>
    <w:rsid w:val="00496384"/>
    <w:rsid w:val="004C3DB0"/>
    <w:rsid w:val="004D3CE1"/>
    <w:rsid w:val="004E05E2"/>
    <w:rsid w:val="00501F3F"/>
    <w:rsid w:val="00523287"/>
    <w:rsid w:val="005240E2"/>
    <w:rsid w:val="005324A1"/>
    <w:rsid w:val="00543E06"/>
    <w:rsid w:val="00547D21"/>
    <w:rsid w:val="00563333"/>
    <w:rsid w:val="0056427C"/>
    <w:rsid w:val="00567855"/>
    <w:rsid w:val="0057492A"/>
    <w:rsid w:val="00582B13"/>
    <w:rsid w:val="005863DD"/>
    <w:rsid w:val="00597DAA"/>
    <w:rsid w:val="005A0F36"/>
    <w:rsid w:val="005B63B1"/>
    <w:rsid w:val="005C4B67"/>
    <w:rsid w:val="005F788E"/>
    <w:rsid w:val="00603E2E"/>
    <w:rsid w:val="00624A93"/>
    <w:rsid w:val="00633360"/>
    <w:rsid w:val="00654327"/>
    <w:rsid w:val="006548DC"/>
    <w:rsid w:val="00664508"/>
    <w:rsid w:val="00666F9C"/>
    <w:rsid w:val="006839E0"/>
    <w:rsid w:val="006B71D9"/>
    <w:rsid w:val="006D0EAB"/>
    <w:rsid w:val="006D206E"/>
    <w:rsid w:val="006D2EED"/>
    <w:rsid w:val="006E0F4D"/>
    <w:rsid w:val="006E5516"/>
    <w:rsid w:val="00701BE9"/>
    <w:rsid w:val="007039E5"/>
    <w:rsid w:val="00723462"/>
    <w:rsid w:val="00726BAE"/>
    <w:rsid w:val="00727644"/>
    <w:rsid w:val="00772946"/>
    <w:rsid w:val="00773B91"/>
    <w:rsid w:val="0079522E"/>
    <w:rsid w:val="007A4707"/>
    <w:rsid w:val="007B44FD"/>
    <w:rsid w:val="007B52B5"/>
    <w:rsid w:val="007D12C8"/>
    <w:rsid w:val="007E0903"/>
    <w:rsid w:val="007F347B"/>
    <w:rsid w:val="00847937"/>
    <w:rsid w:val="00852F88"/>
    <w:rsid w:val="00866715"/>
    <w:rsid w:val="0088609C"/>
    <w:rsid w:val="00893516"/>
    <w:rsid w:val="008D418B"/>
    <w:rsid w:val="008F242E"/>
    <w:rsid w:val="008F44FF"/>
    <w:rsid w:val="00907B13"/>
    <w:rsid w:val="009129EC"/>
    <w:rsid w:val="00931F1C"/>
    <w:rsid w:val="00941E6D"/>
    <w:rsid w:val="00944C58"/>
    <w:rsid w:val="009662CD"/>
    <w:rsid w:val="009C58CF"/>
    <w:rsid w:val="009E0F1B"/>
    <w:rsid w:val="009E4966"/>
    <w:rsid w:val="00A2320F"/>
    <w:rsid w:val="00A358E0"/>
    <w:rsid w:val="00A53A93"/>
    <w:rsid w:val="00A60AB7"/>
    <w:rsid w:val="00A6684A"/>
    <w:rsid w:val="00AB1332"/>
    <w:rsid w:val="00AD7AD1"/>
    <w:rsid w:val="00AE4756"/>
    <w:rsid w:val="00B01704"/>
    <w:rsid w:val="00B10D78"/>
    <w:rsid w:val="00B40940"/>
    <w:rsid w:val="00B52959"/>
    <w:rsid w:val="00C148D6"/>
    <w:rsid w:val="00C24525"/>
    <w:rsid w:val="00C31876"/>
    <w:rsid w:val="00C370B0"/>
    <w:rsid w:val="00C658F6"/>
    <w:rsid w:val="00C719B9"/>
    <w:rsid w:val="00C74885"/>
    <w:rsid w:val="00C91374"/>
    <w:rsid w:val="00CA1BBF"/>
    <w:rsid w:val="00CA73A4"/>
    <w:rsid w:val="00CD57C2"/>
    <w:rsid w:val="00CF2DB7"/>
    <w:rsid w:val="00D029B2"/>
    <w:rsid w:val="00D14EF0"/>
    <w:rsid w:val="00D32D64"/>
    <w:rsid w:val="00D47329"/>
    <w:rsid w:val="00D503BE"/>
    <w:rsid w:val="00D56C01"/>
    <w:rsid w:val="00D6557C"/>
    <w:rsid w:val="00D707CA"/>
    <w:rsid w:val="00D719A4"/>
    <w:rsid w:val="00D73299"/>
    <w:rsid w:val="00D8372A"/>
    <w:rsid w:val="00D97B6F"/>
    <w:rsid w:val="00DB6BA3"/>
    <w:rsid w:val="00DF05BD"/>
    <w:rsid w:val="00E06F28"/>
    <w:rsid w:val="00E13347"/>
    <w:rsid w:val="00E21FC5"/>
    <w:rsid w:val="00E44E46"/>
    <w:rsid w:val="00E62BEC"/>
    <w:rsid w:val="00F11725"/>
    <w:rsid w:val="00F33795"/>
    <w:rsid w:val="00F55D20"/>
    <w:rsid w:val="00F91354"/>
    <w:rsid w:val="00F97498"/>
    <w:rsid w:val="00FB7F1A"/>
    <w:rsid w:val="00FC14EC"/>
    <w:rsid w:val="00FE36D0"/>
    <w:rsid w:val="00FF61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A0A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71D9"/>
    <w:pPr>
      <w:spacing w:before="120" w:after="0" w:line="276"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6B71D9"/>
    <w:pPr>
      <w:keepNext/>
      <w:autoSpaceDE w:val="0"/>
      <w:autoSpaceDN w:val="0"/>
      <w:adjustRightInd w:val="0"/>
      <w:jc w:val="center"/>
      <w:outlineLvl w:val="0"/>
    </w:pPr>
    <w:rPr>
      <w:rFonts w:ascii="Cambria" w:hAnsi="Cambria"/>
      <w:b/>
      <w:kern w:val="32"/>
      <w:sz w:val="3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B71D9"/>
    <w:rPr>
      <w:rFonts w:ascii="Cambria" w:eastAsia="Times New Roman" w:hAnsi="Cambria" w:cs="Times New Roman"/>
      <w:b/>
      <w:kern w:val="32"/>
      <w:sz w:val="32"/>
      <w:szCs w:val="20"/>
      <w:lang w:eastAsia="sk-SK"/>
    </w:rPr>
  </w:style>
  <w:style w:type="paragraph" w:styleId="Normlnywebov">
    <w:name w:val="Normal (Web)"/>
    <w:aliases w:val="webb"/>
    <w:basedOn w:val="Normlny"/>
    <w:qFormat/>
    <w:rsid w:val="006B71D9"/>
    <w:pPr>
      <w:spacing w:before="100" w:beforeAutospacing="1" w:after="100" w:afterAutospacing="1"/>
    </w:pPr>
  </w:style>
  <w:style w:type="paragraph" w:styleId="Hlavika">
    <w:name w:val="header"/>
    <w:basedOn w:val="Normlny"/>
    <w:link w:val="HlavikaChar"/>
    <w:uiPriority w:val="99"/>
    <w:unhideWhenUsed/>
    <w:rsid w:val="006839E0"/>
    <w:pPr>
      <w:tabs>
        <w:tab w:val="center" w:pos="4513"/>
        <w:tab w:val="right" w:pos="9026"/>
      </w:tabs>
      <w:spacing w:before="0" w:line="240" w:lineRule="auto"/>
    </w:pPr>
  </w:style>
  <w:style w:type="character" w:customStyle="1" w:styleId="HlavikaChar">
    <w:name w:val="Hlavička Char"/>
    <w:basedOn w:val="Predvolenpsmoodseku"/>
    <w:link w:val="Hlavika"/>
    <w:uiPriority w:val="99"/>
    <w:rsid w:val="006839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839E0"/>
    <w:pPr>
      <w:tabs>
        <w:tab w:val="center" w:pos="4513"/>
        <w:tab w:val="right" w:pos="9026"/>
      </w:tabs>
      <w:spacing w:before="0" w:line="240" w:lineRule="auto"/>
    </w:pPr>
  </w:style>
  <w:style w:type="character" w:customStyle="1" w:styleId="PtaChar">
    <w:name w:val="Päta Char"/>
    <w:basedOn w:val="Predvolenpsmoodseku"/>
    <w:link w:val="Pta"/>
    <w:uiPriority w:val="99"/>
    <w:rsid w:val="006839E0"/>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99"/>
    <w:unhideWhenUsed/>
    <w:rsid w:val="00CF2DB7"/>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F2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webov1">
    <w:name w:val="Normálny (webový)1"/>
    <w:basedOn w:val="Normlny"/>
    <w:qFormat/>
    <w:rsid w:val="00CF2DB7"/>
    <w:pPr>
      <w:suppressAutoHyphens/>
      <w:spacing w:before="280" w:after="280" w:line="240" w:lineRule="auto"/>
    </w:pPr>
    <w:rPr>
      <w:lang w:eastAsia="ar-SA"/>
    </w:rPr>
  </w:style>
  <w:style w:type="paragraph" w:customStyle="1" w:styleId="Vchodzie">
    <w:name w:val="Vchodzie"/>
    <w:qFormat/>
    <w:rsid w:val="00CF2DB7"/>
    <w:pPr>
      <w:widowControl w:val="0"/>
      <w:spacing w:after="0" w:line="240" w:lineRule="auto"/>
    </w:pPr>
    <w:rPr>
      <w:rFonts w:ascii="Times New Roman" w:eastAsia="Times New Roman" w:hAnsi="Times New Roman" w:cs="Times New Roman"/>
      <w:kern w:val="2"/>
      <w:sz w:val="24"/>
      <w:szCs w:val="24"/>
      <w:lang w:eastAsia="sk-SK"/>
    </w:rPr>
  </w:style>
  <w:style w:type="character" w:customStyle="1" w:styleId="awspan">
    <w:name w:val="awspan"/>
    <w:basedOn w:val="Predvolenpsmoodseku"/>
    <w:rsid w:val="00CF2DB7"/>
  </w:style>
  <w:style w:type="paragraph" w:styleId="Textbubliny">
    <w:name w:val="Balloon Text"/>
    <w:basedOn w:val="Normlny"/>
    <w:link w:val="TextbublinyChar"/>
    <w:uiPriority w:val="99"/>
    <w:semiHidden/>
    <w:unhideWhenUsed/>
    <w:rsid w:val="009E0F1B"/>
    <w:pPr>
      <w:spacing w:before="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E0F1B"/>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9E4966"/>
    <w:rPr>
      <w:sz w:val="16"/>
      <w:szCs w:val="16"/>
    </w:rPr>
  </w:style>
  <w:style w:type="paragraph" w:styleId="Textkomentra">
    <w:name w:val="annotation text"/>
    <w:basedOn w:val="Normlny"/>
    <w:link w:val="TextkomentraChar"/>
    <w:uiPriority w:val="99"/>
    <w:unhideWhenUsed/>
    <w:rsid w:val="009E4966"/>
    <w:pPr>
      <w:spacing w:line="240" w:lineRule="auto"/>
    </w:pPr>
    <w:rPr>
      <w:sz w:val="20"/>
      <w:szCs w:val="20"/>
    </w:rPr>
  </w:style>
  <w:style w:type="character" w:customStyle="1" w:styleId="TextkomentraChar">
    <w:name w:val="Text komentára Char"/>
    <w:basedOn w:val="Predvolenpsmoodseku"/>
    <w:link w:val="Textkomentra"/>
    <w:uiPriority w:val="99"/>
    <w:rsid w:val="009E496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E4966"/>
    <w:rPr>
      <w:b/>
      <w:bCs/>
    </w:rPr>
  </w:style>
  <w:style w:type="character" w:customStyle="1" w:styleId="PredmetkomentraChar">
    <w:name w:val="Predmet komentára Char"/>
    <w:basedOn w:val="TextkomentraChar"/>
    <w:link w:val="Predmetkomentra"/>
    <w:uiPriority w:val="99"/>
    <w:semiHidden/>
    <w:rsid w:val="009E4966"/>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01059D"/>
    <w:rPr>
      <w:color w:val="0563C1" w:themeColor="hyperlink"/>
      <w:u w:val="single"/>
    </w:rPr>
  </w:style>
  <w:style w:type="paragraph" w:styleId="Textpoznmkypodiarou">
    <w:name w:val="footnote text"/>
    <w:basedOn w:val="Normlny"/>
    <w:link w:val="TextpoznmkypodiarouChar"/>
    <w:uiPriority w:val="99"/>
    <w:semiHidden/>
    <w:unhideWhenUsed/>
    <w:rsid w:val="0001059D"/>
    <w:pPr>
      <w:spacing w:before="0" w:line="240" w:lineRule="auto"/>
    </w:pPr>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01059D"/>
    <w:rPr>
      <w:sz w:val="20"/>
      <w:szCs w:val="20"/>
    </w:rPr>
  </w:style>
  <w:style w:type="character" w:styleId="Odkaznapoznmkupodiarou">
    <w:name w:val="footnote reference"/>
    <w:basedOn w:val="Predvolenpsmoodseku"/>
    <w:uiPriority w:val="99"/>
    <w:semiHidden/>
    <w:unhideWhenUsed/>
    <w:rsid w:val="0001059D"/>
    <w:rPr>
      <w:vertAlign w:val="superscript"/>
    </w:rPr>
  </w:style>
  <w:style w:type="character" w:styleId="PouitHypertextovPrepojenie">
    <w:name w:val="FollowedHyperlink"/>
    <w:basedOn w:val="Predvolenpsmoodseku"/>
    <w:uiPriority w:val="99"/>
    <w:semiHidden/>
    <w:unhideWhenUsed/>
    <w:rsid w:val="0001059D"/>
    <w:rPr>
      <w:color w:val="954F72" w:themeColor="followedHyperlink"/>
      <w:u w:val="single"/>
    </w:rPr>
  </w:style>
  <w:style w:type="paragraph" w:styleId="Revzia">
    <w:name w:val="Revision"/>
    <w:hidden/>
    <w:uiPriority w:val="99"/>
    <w:semiHidden/>
    <w:rsid w:val="00D707CA"/>
    <w:pPr>
      <w:spacing w:after="0" w:line="240" w:lineRule="auto"/>
    </w:pPr>
    <w:rPr>
      <w:rFonts w:ascii="Times New Roman" w:eastAsia="Times New Roman" w:hAnsi="Times New Roman" w:cs="Times New Roman"/>
      <w:sz w:val="24"/>
      <w:szCs w:val="24"/>
      <w:lang w:eastAsia="sk-SK"/>
    </w:rPr>
  </w:style>
  <w:style w:type="paragraph" w:customStyle="1" w:styleId="title-doc-oj-reference">
    <w:name w:val="title-doc-oj-reference"/>
    <w:basedOn w:val="Normlny"/>
    <w:rsid w:val="00847937"/>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4329">
      <w:bodyDiv w:val="1"/>
      <w:marLeft w:val="0"/>
      <w:marRight w:val="0"/>
      <w:marTop w:val="0"/>
      <w:marBottom w:val="0"/>
      <w:divBdr>
        <w:top w:val="none" w:sz="0" w:space="0" w:color="auto"/>
        <w:left w:val="none" w:sz="0" w:space="0" w:color="auto"/>
        <w:bottom w:val="none" w:sz="0" w:space="0" w:color="auto"/>
        <w:right w:val="none" w:sz="0" w:space="0" w:color="auto"/>
      </w:divBdr>
    </w:div>
    <w:div w:id="967399080">
      <w:bodyDiv w:val="1"/>
      <w:marLeft w:val="0"/>
      <w:marRight w:val="0"/>
      <w:marTop w:val="0"/>
      <w:marBottom w:val="0"/>
      <w:divBdr>
        <w:top w:val="none" w:sz="0" w:space="0" w:color="auto"/>
        <w:left w:val="none" w:sz="0" w:space="0" w:color="auto"/>
        <w:bottom w:val="none" w:sz="0" w:space="0" w:color="auto"/>
        <w:right w:val="none" w:sz="0" w:space="0" w:color="auto"/>
      </w:divBdr>
    </w:div>
    <w:div w:id="14283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5818</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2023-04-14T10:35:00Z</dcterms:created>
  <dcterms:modified xsi:type="dcterms:W3CDTF">2023-04-14T10:37:00Z</dcterms:modified>
</cp:coreProperties>
</file>