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176DE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mallCaps/>
          <w:sz w:val="24"/>
          <w:szCs w:val="24"/>
        </w:rPr>
        <w:t>DOLOŽKA ZLUČITEĽNOSTI</w:t>
      </w:r>
    </w:p>
    <w:p w14:paraId="52A176DF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  <w:szCs w:val="24"/>
        </w:rPr>
        <w:t>návrhu zákona s právom Európskej únie </w:t>
      </w:r>
    </w:p>
    <w:p w14:paraId="52A176E0" w14:textId="77777777" w:rsidR="006D7CCB" w:rsidRDefault="006D7CCB">
      <w:pPr>
        <w:spacing w:after="0"/>
        <w:rPr>
          <w:rFonts w:ascii="Book Antiqua" w:eastAsia="Book Antiqua" w:hAnsi="Book Antiqua" w:cs="Book Antiqua"/>
          <w:sz w:val="24"/>
          <w:szCs w:val="24"/>
        </w:rPr>
      </w:pPr>
    </w:p>
    <w:p w14:paraId="52A176E1" w14:textId="77777777" w:rsidR="006D7CCB" w:rsidRDefault="006D7CCB">
      <w:pPr>
        <w:spacing w:after="0"/>
        <w:rPr>
          <w:rFonts w:ascii="Book Antiqua" w:eastAsia="Book Antiqua" w:hAnsi="Book Antiqua" w:cs="Book Antiqua"/>
        </w:rPr>
      </w:pPr>
    </w:p>
    <w:p w14:paraId="52A176E2" w14:textId="77777777"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1.</w:t>
      </w:r>
      <w:r>
        <w:rPr>
          <w:rFonts w:ascii="Book Antiqua" w:eastAsia="Book Antiqua" w:hAnsi="Book Antiqua" w:cs="Book Antiqua"/>
          <w:b/>
        </w:rPr>
        <w:tab/>
        <w:t>Predkladateľ právneho predpisu:</w:t>
      </w:r>
      <w:r>
        <w:rPr>
          <w:rFonts w:ascii="Book Antiqua" w:eastAsia="Book Antiqua" w:hAnsi="Book Antiqua" w:cs="Book Antiqua"/>
        </w:rPr>
        <w:t xml:space="preserve"> </w:t>
      </w:r>
    </w:p>
    <w:p w14:paraId="52A176E3" w14:textId="79247E50" w:rsidR="006D7CCB" w:rsidRDefault="00532DC3" w:rsidP="00CA0A72">
      <w:pPr>
        <w:spacing w:after="0"/>
        <w:jc w:val="both"/>
      </w:pPr>
      <w:r>
        <w:rPr>
          <w:rFonts w:ascii="Book Antiqua" w:eastAsia="Book Antiqua" w:hAnsi="Book Antiqua" w:cs="Book Antiqua"/>
        </w:rPr>
        <w:t>Poslan</w:t>
      </w:r>
      <w:r w:rsidR="00FE58A4">
        <w:rPr>
          <w:rFonts w:ascii="Book Antiqua" w:eastAsia="Book Antiqua" w:hAnsi="Book Antiqua" w:cs="Book Antiqua"/>
        </w:rPr>
        <w:t>ec</w:t>
      </w:r>
      <w:r>
        <w:rPr>
          <w:rFonts w:ascii="Book Antiqua" w:eastAsia="Book Antiqua" w:hAnsi="Book Antiqua" w:cs="Book Antiqua"/>
        </w:rPr>
        <w:t xml:space="preserve"> Národnej rady Slovenskej republiky </w:t>
      </w:r>
      <w:r w:rsidR="00D36F96">
        <w:rPr>
          <w:rFonts w:ascii="Book Antiqua" w:eastAsia="Book Antiqua" w:hAnsi="Book Antiqua" w:cs="Book Antiqua"/>
        </w:rPr>
        <w:t>Miroslav Suja</w:t>
      </w:r>
      <w:r>
        <w:rPr>
          <w:rFonts w:ascii="Book Antiqua" w:eastAsia="Book Antiqua" w:hAnsi="Book Antiqua" w:cs="Book Antiqua"/>
        </w:rPr>
        <w:t>.</w:t>
      </w:r>
    </w:p>
    <w:p w14:paraId="52A176E4" w14:textId="77777777" w:rsidR="006D7CCB" w:rsidRDefault="00532DC3">
      <w:pPr>
        <w:tabs>
          <w:tab w:val="left" w:pos="720"/>
        </w:tabs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 </w:t>
      </w:r>
    </w:p>
    <w:p w14:paraId="52A176E5" w14:textId="77777777"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2.</w:t>
      </w:r>
      <w:r>
        <w:rPr>
          <w:rFonts w:ascii="Book Antiqua" w:eastAsia="Book Antiqua" w:hAnsi="Book Antiqua" w:cs="Book Antiqua"/>
          <w:b/>
        </w:rPr>
        <w:tab/>
        <w:t>Názov návrhu právneho predpisu:</w:t>
      </w:r>
      <w:r>
        <w:rPr>
          <w:rFonts w:ascii="Book Antiqua" w:eastAsia="Book Antiqua" w:hAnsi="Book Antiqua" w:cs="Book Antiqua"/>
        </w:rPr>
        <w:t xml:space="preserve"> </w:t>
      </w:r>
    </w:p>
    <w:p w14:paraId="52A176E6" w14:textId="440A9F0D" w:rsidR="006D7CCB" w:rsidRPr="00460F6B" w:rsidRDefault="00532DC3" w:rsidP="00460F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 w:rsidRPr="00460F6B">
        <w:rPr>
          <w:rFonts w:ascii="Book Antiqua" w:eastAsia="Book Antiqua" w:hAnsi="Book Antiqua" w:cs="Book Antiqua"/>
        </w:rPr>
        <w:t>Návrh zákona</w:t>
      </w:r>
      <w:r w:rsidR="00CA0A72">
        <w:rPr>
          <w:rFonts w:ascii="Book Antiqua" w:eastAsia="Book Antiqua" w:hAnsi="Book Antiqua" w:cs="Book Antiqua"/>
        </w:rPr>
        <w:t>,</w:t>
      </w:r>
      <w:r w:rsidR="0036126F" w:rsidRPr="00460F6B">
        <w:rPr>
          <w:rFonts w:ascii="Book Antiqua" w:hAnsi="Book Antiqua" w:cs="Times New Roman"/>
          <w:color w:val="000000"/>
        </w:rPr>
        <w:t xml:space="preserve"> </w:t>
      </w:r>
      <w:r w:rsidR="00460F6B" w:rsidRPr="00460F6B">
        <w:rPr>
          <w:rFonts w:ascii="Book Antiqua" w:eastAsia="Book Antiqua" w:hAnsi="Book Antiqua" w:cs="Book Antiqua"/>
          <w:color w:val="000000"/>
        </w:rPr>
        <w:t xml:space="preserve">ktorým sa mení a dopĺňa zákon Národnej rady Slovenskej republiky č. 91/2019 </w:t>
      </w:r>
      <w:r w:rsidR="00460F6B" w:rsidRPr="00460F6B">
        <w:rPr>
          <w:rFonts w:ascii="Book Antiqua" w:eastAsia="Book Antiqua" w:hAnsi="Book Antiqua" w:cs="Book Antiqua"/>
          <w:color w:val="000000"/>
        </w:rPr>
        <w:br/>
        <w:t>o neprimeraných podmienkach v obchode s potravinami a o zmene a doplnení niektorých zákonov v znení neskorších predpisov a ktorým sa mení a dopĺňa zákon č. 222/2004 Z. z. o dani z pridanej hodnoty v znení neskorších predpisov</w:t>
      </w:r>
      <w:r w:rsidR="005D0C26" w:rsidRPr="00460F6B">
        <w:rPr>
          <w:rFonts w:ascii="Book Antiqua" w:eastAsia="Book Antiqua" w:hAnsi="Book Antiqua" w:cs="Book Antiqua"/>
        </w:rPr>
        <w:t>.</w:t>
      </w:r>
    </w:p>
    <w:p w14:paraId="52A176E7" w14:textId="77777777" w:rsidR="006D7CCB" w:rsidRDefault="006D7CCB">
      <w:pPr>
        <w:spacing w:after="0"/>
        <w:jc w:val="both"/>
        <w:rPr>
          <w:rFonts w:ascii="Book Antiqua" w:eastAsia="Book Antiqua" w:hAnsi="Book Antiqua" w:cs="Book Antiqua"/>
        </w:rPr>
      </w:pPr>
    </w:p>
    <w:p w14:paraId="52A176E8" w14:textId="77777777" w:rsidR="006D7CCB" w:rsidRDefault="00532DC3">
      <w:pPr>
        <w:spacing w:after="60"/>
        <w:ind w:left="360" w:hanging="360"/>
      </w:pPr>
      <w:r>
        <w:rPr>
          <w:rFonts w:ascii="Book Antiqua" w:eastAsia="Book Antiqua" w:hAnsi="Book Antiqua" w:cs="Book Antiqua"/>
          <w:b/>
        </w:rPr>
        <w:t>3.</w:t>
      </w:r>
      <w:r>
        <w:rPr>
          <w:rFonts w:ascii="Book Antiqua" w:eastAsia="Book Antiqua" w:hAnsi="Book Antiqua" w:cs="Book Antiqua"/>
          <w:b/>
        </w:rPr>
        <w:tab/>
        <w:t>Predmet návrhu právneho predpisu:</w:t>
      </w:r>
    </w:p>
    <w:p w14:paraId="52A176E9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a) nie je upravený v primárnom práve Európskej únie</w:t>
      </w:r>
    </w:p>
    <w:p w14:paraId="52A176EA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b) nie je upravený v sekundárnom práve Európskej únie</w:t>
      </w:r>
    </w:p>
    <w:p w14:paraId="52A176EB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c) nie je obsiahnutý v judikatúre Súdneho dvora Európskej únie</w:t>
      </w:r>
    </w:p>
    <w:p w14:paraId="52A176EC" w14:textId="77777777" w:rsidR="006D7CCB" w:rsidRDefault="006D7CCB">
      <w:pPr>
        <w:jc w:val="both"/>
        <w:rPr>
          <w:rFonts w:ascii="Book Antiqua" w:eastAsia="Book Antiqua" w:hAnsi="Book Antiqua" w:cs="Book Antiqua"/>
        </w:rPr>
      </w:pPr>
    </w:p>
    <w:p w14:paraId="52A176ED" w14:textId="77777777" w:rsidR="006D7CCB" w:rsidRDefault="00532DC3">
      <w:pPr>
        <w:jc w:val="both"/>
      </w:pPr>
      <w:r>
        <w:rPr>
          <w:rFonts w:ascii="Book Antiqua" w:eastAsia="Book Antiqua" w:hAnsi="Book Antiqua" w:cs="Book Antiqua"/>
        </w:rPr>
        <w:t>Vyjadrenie k bodom 4. a 5. je irelevantné, keďže predmet návrhu zákona nie je upravený v práve Európskej únie.</w:t>
      </w:r>
    </w:p>
    <w:p w14:paraId="52A176EE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14:paraId="52A176E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14:paraId="52A176F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14:paraId="52A176F1" w14:textId="74F0824F" w:rsidR="006D7CCB" w:rsidRDefault="00532DC3" w:rsidP="00AF1D96">
      <w:pPr>
        <w:spacing w:after="0"/>
        <w:jc w:val="both"/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 w:rsidR="00460F6B" w:rsidRPr="00460F6B">
        <w:rPr>
          <w:rFonts w:ascii="Book Antiqua" w:eastAsia="Book Antiqua" w:hAnsi="Book Antiqua" w:cs="Book Antiqua"/>
        </w:rPr>
        <w:t>Návrh zákona</w:t>
      </w:r>
      <w:r w:rsidR="00CA0A72">
        <w:rPr>
          <w:rFonts w:ascii="Book Antiqua" w:eastAsia="Book Antiqua" w:hAnsi="Book Antiqua" w:cs="Book Antiqua"/>
        </w:rPr>
        <w:t>,</w:t>
      </w:r>
      <w:r w:rsidR="00460F6B" w:rsidRPr="00460F6B">
        <w:rPr>
          <w:rFonts w:ascii="Book Antiqua" w:hAnsi="Book Antiqua" w:cs="Times New Roman"/>
          <w:color w:val="000000"/>
        </w:rPr>
        <w:t xml:space="preserve"> </w:t>
      </w:r>
      <w:r w:rsidR="00460F6B" w:rsidRPr="00460F6B">
        <w:rPr>
          <w:rFonts w:ascii="Book Antiqua" w:eastAsia="Book Antiqua" w:hAnsi="Book Antiqua" w:cs="Book Antiqua"/>
          <w:color w:val="000000"/>
        </w:rPr>
        <w:t>ktorým sa mení a dopĺňa zákon Národnej rady Slovenskej republiky č. 91/2019</w:t>
      </w:r>
      <w:r w:rsidR="00460F6B">
        <w:rPr>
          <w:rFonts w:ascii="Book Antiqua" w:eastAsia="Book Antiqua" w:hAnsi="Book Antiqua" w:cs="Book Antiqua"/>
          <w:color w:val="000000"/>
        </w:rPr>
        <w:t xml:space="preserve"> </w:t>
      </w:r>
      <w:r w:rsidR="00460F6B" w:rsidRPr="00460F6B">
        <w:rPr>
          <w:rFonts w:ascii="Book Antiqua" w:eastAsia="Book Antiqua" w:hAnsi="Book Antiqua" w:cs="Book Antiqua"/>
          <w:color w:val="000000"/>
        </w:rPr>
        <w:t xml:space="preserve">o neprimeraných </w:t>
      </w:r>
      <w:bookmarkStart w:id="0" w:name="_GoBack"/>
      <w:bookmarkEnd w:id="0"/>
      <w:r w:rsidR="00460F6B" w:rsidRPr="00460F6B">
        <w:rPr>
          <w:rFonts w:ascii="Book Antiqua" w:eastAsia="Book Antiqua" w:hAnsi="Book Antiqua" w:cs="Book Antiqua"/>
          <w:color w:val="000000"/>
        </w:rPr>
        <w:t xml:space="preserve">podmienkach v obchode s potravinami a o zmene a doplnení niektorých zákonov v znení neskorších predpisov a ktorým sa mení a dopĺňa zákon č. 222/2004 </w:t>
      </w:r>
      <w:r w:rsidR="00460F6B">
        <w:rPr>
          <w:rFonts w:ascii="Book Antiqua" w:eastAsia="Book Antiqua" w:hAnsi="Book Antiqua" w:cs="Book Antiqua"/>
          <w:color w:val="000000"/>
        </w:rPr>
        <w:br/>
      </w:r>
      <w:r w:rsidR="00460F6B" w:rsidRPr="00460F6B">
        <w:rPr>
          <w:rFonts w:ascii="Book Antiqua" w:eastAsia="Book Antiqua" w:hAnsi="Book Antiqua" w:cs="Book Antiqua"/>
          <w:color w:val="000000"/>
        </w:rPr>
        <w:t>Z. z. o dani z pridanej hodnoty v znení neskorších predpisov</w:t>
      </w:r>
      <w:r w:rsidR="00AF1D96" w:rsidRPr="00AF1D96">
        <w:rPr>
          <w:rFonts w:ascii="Book Antiqua" w:eastAsia="Book Antiqua" w:hAnsi="Book Antiqua" w:cs="Book Antiqua"/>
        </w:rPr>
        <w:t>.</w:t>
      </w:r>
    </w:p>
    <w:p w14:paraId="52A176F2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color w:val="000000"/>
        </w:rPr>
      </w:pPr>
    </w:p>
    <w:p w14:paraId="52A176F3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       Termín začatia a ukončenia PPK: bezpredmetné</w:t>
      </w:r>
    </w:p>
    <w:p w14:paraId="52A176F4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52A176F5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52A176F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14:paraId="52A176F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a"/>
        <w:tblW w:w="963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D7CCB" w14:paraId="52A176FC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6F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6F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6D7CCB" w14:paraId="52A17701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6FD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E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F" w14:textId="03D3B431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00" w14:textId="1AE97AB9" w:rsidR="006D7CCB" w:rsidRDefault="0046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</w:tr>
      <w:tr w:rsidR="006D7CCB" w14:paraId="52A17706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02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3" w14:textId="7848116D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4" w14:textId="663B0AD3" w:rsidR="006D7CCB" w:rsidRDefault="00460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05" w14:textId="58AA4C98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0E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07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14:paraId="52A1770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14:paraId="52A1770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sociálnu exklúziu,</w:t>
            </w:r>
          </w:p>
          <w:p w14:paraId="52A1770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B" w14:textId="3A7545FD" w:rsidR="006D7CCB" w:rsidRDefault="00AF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C" w14:textId="400ACF94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0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13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0F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0" w14:textId="2B221923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1" w14:textId="6A17B906" w:rsidR="006D7CCB" w:rsidRDefault="00766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12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18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14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5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6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17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1D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1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A" w14:textId="047AB26E" w:rsidR="006D7CCB" w:rsidRDefault="00FE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B" w14:textId="32265AEB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1C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52A1771E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14:paraId="52A1771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A1772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14:paraId="52A1772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14:paraId="52A17722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</w:p>
    <w:p w14:paraId="52A17723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52A17725" w14:textId="2094BBDC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</w:p>
    <w:p w14:paraId="52A1772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14:paraId="52A17727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52A17728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Na dosiahnutie cieľa sledovaného touto právnou úpravou nie je možné použiť iné riešenie, než je predložené.</w:t>
      </w:r>
    </w:p>
    <w:p w14:paraId="52A17729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52A1772A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14:paraId="52A1772B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14:paraId="52A1772C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Návrh zákona bol zaslaný na posúdenie Ministerstvu financií SR. Stanovisko ministerstva tvorí prílohu predkladaného návrhu zákona.</w:t>
      </w:r>
      <w:r>
        <w:rPr>
          <w:rFonts w:ascii="Book Antiqua" w:eastAsia="Book Antiqua" w:hAnsi="Book Antiqua" w:cs="Book Antiqua"/>
          <w:color w:val="000000"/>
        </w:rPr>
        <w:t> </w:t>
      </w:r>
    </w:p>
    <w:p w14:paraId="52A1772D" w14:textId="77777777" w:rsidR="006D7CCB" w:rsidRDefault="006D7CCB"/>
    <w:sectPr w:rsidR="006D7CCB" w:rsidSect="004056B4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CB"/>
    <w:rsid w:val="003469D1"/>
    <w:rsid w:val="0036126F"/>
    <w:rsid w:val="004056B4"/>
    <w:rsid w:val="00460F6B"/>
    <w:rsid w:val="00532DC3"/>
    <w:rsid w:val="00583EBC"/>
    <w:rsid w:val="005D0C26"/>
    <w:rsid w:val="006D7CCB"/>
    <w:rsid w:val="00766238"/>
    <w:rsid w:val="0081625C"/>
    <w:rsid w:val="00AF1D96"/>
    <w:rsid w:val="00B12374"/>
    <w:rsid w:val="00CA0A72"/>
    <w:rsid w:val="00D36F96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76DE"/>
  <w15:docId w15:val="{DA7BD191-0CC6-47A1-B5E0-F28B593B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y"/>
    <w:next w:val="Normlny"/>
    <w:uiPriority w:val="9"/>
    <w:qFormat/>
    <w:rsid w:val="004056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4056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4056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4056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4056B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4056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4056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4056B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e1kladnfdtextChar">
    <w:name w:val="Záe1kladnýfd text Char"/>
    <w:basedOn w:val="Predvolenpsmoodseku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Predvolenpsmoodseku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rsid w:val="00A20400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  <w:rsid w:val="00A20400"/>
  </w:style>
  <w:style w:type="paragraph" w:styleId="Popis">
    <w:name w:val="caption"/>
    <w:basedOn w:val="Normlny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ekzoznamu">
    <w:name w:val="List Paragraph"/>
    <w:basedOn w:val="Normlny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riekatabuky">
    <w:name w:val="Table Grid"/>
    <w:basedOn w:val="Normlnatabuka"/>
    <w:uiPriority w:val="39"/>
    <w:rsid w:val="00A2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titul">
    <w:name w:val="Subtitle"/>
    <w:basedOn w:val="Normlny"/>
    <w:next w:val="Normlny"/>
    <w:uiPriority w:val="11"/>
    <w:qFormat/>
    <w:rsid w:val="004056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56B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8ip029mKlpWuYX95L1d0is1+dQ==">AMUW2mW+r4R1/Uv5WFMHAna+0Sx+BFX/yDjU6PWJcwTq9uuylXih8ZZU8z/9Lzv4wBIo+xhLWpjN8exwHR25zvwta8/K7YYwJOkV2lFNSHoYtcl0F7LrALk=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jan.kecskes</dc:creator>
  <cp:lastModifiedBy>Ján Kecskés</cp:lastModifiedBy>
  <cp:revision>8</cp:revision>
  <dcterms:created xsi:type="dcterms:W3CDTF">2021-09-21T09:03:00Z</dcterms:created>
  <dcterms:modified xsi:type="dcterms:W3CDTF">2023-04-13T11:43:00Z</dcterms:modified>
</cp:coreProperties>
</file>