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3344A" w:rsidRDefault="0003344A">
      <w:pPr>
        <w:pBdr>
          <w:top w:val="nil"/>
          <w:left w:val="nil"/>
          <w:bottom w:val="nil"/>
          <w:right w:val="nil"/>
          <w:between w:val="nil"/>
        </w:pBdr>
        <w:spacing w:line="276" w:lineRule="auto"/>
      </w:pPr>
    </w:p>
    <w:p w:rsidR="0003344A" w:rsidRDefault="00801E0D">
      <w:pPr>
        <w:widowControl/>
        <w:spacing w:after="200" w:line="276" w:lineRule="auto"/>
        <w:jc w:val="center"/>
        <w:rPr>
          <w:rFonts w:ascii="Book Antiqua" w:eastAsia="Book Antiqua" w:hAnsi="Book Antiqua" w:cs="Book Antiqua"/>
          <w:b/>
          <w:color w:val="000000"/>
          <w:sz w:val="22"/>
          <w:szCs w:val="22"/>
        </w:rPr>
      </w:pPr>
      <w:r>
        <w:rPr>
          <w:rFonts w:ascii="Book Antiqua" w:eastAsia="Book Antiqua" w:hAnsi="Book Antiqua" w:cs="Book Antiqua"/>
          <w:b/>
          <w:color w:val="000000"/>
          <w:sz w:val="22"/>
          <w:szCs w:val="22"/>
        </w:rPr>
        <w:t>Dôvodová správa</w:t>
      </w:r>
    </w:p>
    <w:p w:rsidR="0003344A" w:rsidRDefault="00801E0D">
      <w:pPr>
        <w:widowControl/>
        <w:numPr>
          <w:ilvl w:val="0"/>
          <w:numId w:val="1"/>
        </w:numPr>
        <w:spacing w:after="200" w:line="276" w:lineRule="auto"/>
        <w:ind w:left="270" w:hanging="270"/>
        <w:rPr>
          <w:rFonts w:ascii="Book Antiqua" w:eastAsia="Book Antiqua" w:hAnsi="Book Antiqua" w:cs="Book Antiqua"/>
          <w:b/>
          <w:i/>
          <w:color w:val="000000"/>
          <w:sz w:val="22"/>
          <w:szCs w:val="22"/>
        </w:rPr>
      </w:pPr>
      <w:r>
        <w:rPr>
          <w:rFonts w:ascii="Book Antiqua" w:eastAsia="Book Antiqua" w:hAnsi="Book Antiqua" w:cs="Book Antiqua"/>
          <w:b/>
          <w:i/>
          <w:color w:val="000000"/>
          <w:sz w:val="22"/>
          <w:szCs w:val="22"/>
        </w:rPr>
        <w:t>Všeobecná časť</w:t>
      </w:r>
    </w:p>
    <w:p w:rsidR="0003344A" w:rsidRDefault="00801E0D" w:rsidP="00551EF8">
      <w:pPr>
        <w:widowControl/>
        <w:spacing w:after="200" w:line="276" w:lineRule="auto"/>
        <w:ind w:firstLine="270"/>
        <w:jc w:val="both"/>
        <w:rPr>
          <w:rFonts w:ascii="Book Antiqua" w:eastAsia="Book Antiqua" w:hAnsi="Book Antiqua" w:cs="Book Antiqua"/>
          <w:sz w:val="22"/>
          <w:szCs w:val="22"/>
        </w:rPr>
      </w:pPr>
      <ve:AlternateContent>
        <mc:Choice xmlns:w15="http://schemas.microsoft.com/office/word/2012/wordml" xmlns:w14="http://schemas.microsoft.com/office/word/2010/wordml" xmlns:wpg="http://schemas.microsoft.com/office/word/2010/wordprocessingGroup" xmlns:wps="http://schemas.microsoft.com/office/word/2010/wordprocessingShape" xmlns:dgm="http://schemas.openxmlformats.org/drawingml/2006/diagram" xmlns:lc="http://schemas.openxmlformats.org/drawingml/2006/lockedCanvas" xmlns:c="http://schemas.openxmlformats.org/drawingml/2006/chart" xmlns:pic="http://schemas.openxmlformats.org/drawingml/2006/picture" xmlns:a="http://schemas.openxmlformats.org/drawingml/2006/main" xmlns:sl="http://schemas.openxmlformats.org/schemaLibrary/2006/main" xmlns:mc="http://schemas.openxmlformats.org/markup-compatibility/2006" Requires="wps">
          <w:drawing>
            <wp:anchor allowOverlap="1" behindDoc="0" distB="0" distT="0" distL="114300" distR="114300" hidden="0" layoutInCell="1" locked="0" relativeHeight="0" simplePos="0">
              <wp:simplePos x="0" y="0"/>
              <wp:positionH relativeFrom="column">
                <wp:posOffset>114300</wp:posOffset>
              </wp:positionH>
              <wp:positionV relativeFrom="paragraph">
                <wp:posOffset>25400</wp:posOffset>
              </wp:positionV>
              <wp:extent cx="0" cy="12700"/>
              <wp:effectExtent b="0" l="0" r="0" t="0"/>
              <wp:wrapNone/>
              <wp:docPr id="2" name=""/>
              <a:graphic>
                <a:graphicData uri="http://schemas.microsoft.com/office/word/2010/wordprocessingShape">
                  <wps:wsp>
                    <wps:cNvSpPr/>
                    <wps:cNvPr id="3" name="Shape 3"/>
                    <wps:spPr>
                      <a:xfrm>
                        <a:off x="2456750" y="3780000"/>
                        <a:ext cx="5778500" cy="0"/>
                      </a:xfrm>
                      <a:custGeom>
                        <a:rect b="b" l="l" r="r" t="t"/>
                        <a:pathLst>
                          <a:path extrusionOk="0" h="1" w="5778500">
                            <a:moveTo>
                              <a:pt x="0" y="0"/>
                            </a:moveTo>
                            <a:lnTo>
                              <a:pt x="5778500" y="0"/>
                            </a:lnTo>
                          </a:path>
                        </a:pathLst>
                      </a:custGeom>
                      <a:solidFill>
                        <a:srgbClr val="FFFFFF"/>
                      </a:solidFill>
                      <a:ln cap="flat" cmpd="sng" w="12700">
                        <a:solidFill>
                          <a:srgbClr val="000000"/>
                        </a:solidFill>
                        <a:prstDash val="solid"/>
                        <a:round/>
                        <a:headEnd len="sm" w="sm" type="none"/>
                        <a:tailEnd len="sm" w="sm" type="none"/>
                      </a:ln>
                    </wps:spPr>
                    <wps:bodyPr anchorCtr="0" anchor="ctr" bIns="91425" lIns="91425" spcFirstLastPara="1" rIns="91425" wrap="square" tIns="91425">
                      <a:noAutofit/>
                    </wps:bodyPr>
                  </wps:wsp>
                </a:graphicData>
              </a:graphic>
            </wp:anchor>
          </w:drawing>
        </mc:Choice>
        <ve:Fallback>
          <w:r>
            <w:rPr>
              <w:noProof/>
              <w:lang w:eastAsia="sk-SK" w:bidi="ar-SA"/>
            </w:rPr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114300</wp:posOffset>
                </wp:positionH>
                <wp:positionV relativeFrom="paragraph">
                  <wp:posOffset>25400</wp:posOffset>
                </wp:positionV>
                <wp:extent cx="0" cy="12700"/>
                <wp:effectExtent l="0" t="0" r="0" b="0"/>
                <wp:wrapNone/>
                <wp:docPr id="2" name="image2.png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2.png"/>
                        <pic:cNvPicPr preferRelativeResize="0"/>
                      </pic:nvPicPr>
                      <pic:blipFill>
                        <a:blip r:embed="rId6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0" cy="12700"/>
                        </a:xfrm>
                        <a:prstGeom prst="rect">
                          <a:avLst/>
                        </a:prstGeom>
                        <a:ln/>
                      </pic:spPr>
                    </pic:pic>
                  </a:graphicData>
                </a:graphic>
              </wp:anchor>
            </w:drawing>
          </w:r>
        </ve:Fallback>
      </ve:AlternateContent>
      <w:r>
        <w:rPr>
          <w:rFonts w:ascii="Book Antiqua" w:eastAsia="Book Antiqua" w:hAnsi="Book Antiqua" w:cs="Book Antiqua"/>
          <w:sz w:val="22"/>
          <w:szCs w:val="22"/>
        </w:rPr>
        <w:t xml:space="preserve">Nezaradený poslanec a člen hnutia REPUBLIKA Miroslav </w:t>
      </w:r>
      <w:proofErr w:type="spellStart"/>
      <w:r>
        <w:rPr>
          <w:rFonts w:ascii="Book Antiqua" w:eastAsia="Book Antiqua" w:hAnsi="Book Antiqua" w:cs="Book Antiqua"/>
          <w:sz w:val="22"/>
          <w:szCs w:val="22"/>
        </w:rPr>
        <w:t>Suja</w:t>
      </w:r>
      <w:proofErr w:type="spellEnd"/>
      <w:r>
        <w:rPr>
          <w:rFonts w:ascii="Book Antiqua" w:eastAsia="Book Antiqua" w:hAnsi="Book Antiqua" w:cs="Book Antiqua"/>
          <w:sz w:val="22"/>
          <w:szCs w:val="22"/>
        </w:rPr>
        <w:t xml:space="preserve"> predkladá do Národnej rady Slovenskej republiky návrh zákona, ktorým sa mení a dopĺňa zákon </w:t>
      </w:r>
      <w:r>
        <w:rPr>
          <w:rFonts w:ascii="Book Antiqua" w:eastAsia="Book Antiqua" w:hAnsi="Book Antiqua" w:cs="Book Antiqua"/>
          <w:sz w:val="22"/>
          <w:szCs w:val="22"/>
        </w:rPr>
        <w:t xml:space="preserve">č. 91/2019 o neprimeraných podmienkach v obchode s potravinami </w:t>
      </w:r>
      <w:r w:rsidR="009F228A">
        <w:rPr>
          <w:rFonts w:ascii="Book Antiqua" w:eastAsia="Book Antiqua" w:hAnsi="Book Antiqua" w:cs="Book Antiqua"/>
          <w:sz w:val="22"/>
          <w:szCs w:val="22"/>
        </w:rPr>
        <w:t>a</w:t>
      </w:r>
      <w:r w:rsidR="00A708DE">
        <w:rPr>
          <w:rFonts w:ascii="Book Antiqua" w:eastAsia="Book Antiqua" w:hAnsi="Book Antiqua" w:cs="Book Antiqua"/>
          <w:sz w:val="22"/>
          <w:szCs w:val="22"/>
        </w:rPr>
        <w:t xml:space="preserve"> zákon </w:t>
      </w:r>
      <w:r>
        <w:rPr>
          <w:rFonts w:ascii="Book Antiqua" w:eastAsia="Book Antiqua" w:hAnsi="Book Antiqua" w:cs="Book Antiqua"/>
          <w:sz w:val="22"/>
          <w:szCs w:val="22"/>
        </w:rPr>
        <w:t>č. 222/2004 Z. z. o dani z pridanej hodnoty v znení neskorších predpisov.</w:t>
      </w:r>
    </w:p>
    <w:p w:rsidR="0003344A" w:rsidRDefault="00801E0D">
      <w:pPr>
        <w:widowControl/>
        <w:spacing w:after="200" w:line="276" w:lineRule="auto"/>
        <w:ind w:firstLine="270"/>
        <w:jc w:val="both"/>
        <w:rPr>
          <w:rFonts w:ascii="Book Antiqua" w:eastAsia="Book Antiqua" w:hAnsi="Book Antiqua" w:cs="Book Antiqua"/>
          <w:b/>
          <w:sz w:val="22"/>
          <w:szCs w:val="22"/>
        </w:rPr>
      </w:pPr>
      <w:r>
        <w:rPr>
          <w:rFonts w:ascii="Book Antiqua" w:eastAsia="Book Antiqua" w:hAnsi="Book Antiqua" w:cs="Book Antiqua"/>
          <w:b/>
          <w:sz w:val="22"/>
          <w:szCs w:val="22"/>
        </w:rPr>
        <w:t>Cieľom predloženej novely zákona je zastaviť neúmerný a neudržateľný nárast</w:t>
      </w:r>
      <w:r w:rsidR="00051493">
        <w:rPr>
          <w:rFonts w:ascii="Book Antiqua" w:eastAsia="Book Antiqua" w:hAnsi="Book Antiqua" w:cs="Book Antiqua"/>
          <w:b/>
          <w:sz w:val="22"/>
          <w:szCs w:val="22"/>
        </w:rPr>
        <w:t xml:space="preserve"> koncových</w:t>
      </w:r>
      <w:r>
        <w:rPr>
          <w:rFonts w:ascii="Book Antiqua" w:eastAsia="Book Antiqua" w:hAnsi="Book Antiqua" w:cs="Book Antiqua"/>
          <w:b/>
          <w:sz w:val="22"/>
          <w:szCs w:val="22"/>
        </w:rPr>
        <w:t xml:space="preserve"> cien základ</w:t>
      </w:r>
      <w:r w:rsidR="00C734B6">
        <w:rPr>
          <w:rFonts w:ascii="Book Antiqua" w:eastAsia="Book Antiqua" w:hAnsi="Book Antiqua" w:cs="Book Antiqua"/>
          <w:b/>
          <w:sz w:val="22"/>
          <w:szCs w:val="22"/>
        </w:rPr>
        <w:t>ných potravín</w:t>
      </w:r>
      <w:r>
        <w:rPr>
          <w:rFonts w:ascii="Book Antiqua" w:eastAsia="Book Antiqua" w:hAnsi="Book Antiqua" w:cs="Book Antiqua"/>
          <w:b/>
          <w:sz w:val="22"/>
          <w:szCs w:val="22"/>
        </w:rPr>
        <w:t xml:space="preserve"> prostredníctvom </w:t>
      </w:r>
      <w:r w:rsidR="00580646">
        <w:rPr>
          <w:rFonts w:ascii="Book Antiqua" w:eastAsia="Book Antiqua" w:hAnsi="Book Antiqua" w:cs="Book Antiqua"/>
          <w:b/>
          <w:sz w:val="22"/>
          <w:szCs w:val="22"/>
        </w:rPr>
        <w:t>zníženia sadzby DPH pre tieto potraviny na úroveň 5 %</w:t>
      </w:r>
      <w:r>
        <w:rPr>
          <w:rFonts w:ascii="Book Antiqua" w:eastAsia="Book Antiqua" w:hAnsi="Book Antiqua" w:cs="Book Antiqua"/>
          <w:b/>
          <w:sz w:val="22"/>
          <w:szCs w:val="22"/>
        </w:rPr>
        <w:t xml:space="preserve"> a určenia maximálnej obchodnej prirážky u týchto potravín na úrov</w:t>
      </w:r>
      <w:r w:rsidR="00051493">
        <w:rPr>
          <w:rFonts w:ascii="Book Antiqua" w:eastAsia="Book Antiqua" w:hAnsi="Book Antiqua" w:cs="Book Antiqua"/>
          <w:b/>
          <w:sz w:val="22"/>
          <w:szCs w:val="22"/>
        </w:rPr>
        <w:t>eň</w:t>
      </w:r>
      <w:r>
        <w:rPr>
          <w:rFonts w:ascii="Book Antiqua" w:eastAsia="Book Antiqua" w:hAnsi="Book Antiqua" w:cs="Book Antiqua"/>
          <w:b/>
          <w:sz w:val="22"/>
          <w:szCs w:val="22"/>
        </w:rPr>
        <w:t xml:space="preserve"> 40 %. </w:t>
      </w:r>
    </w:p>
    <w:p w:rsidR="0003344A" w:rsidRDefault="00801E0D">
      <w:pPr>
        <w:widowControl/>
        <w:spacing w:after="200" w:line="276" w:lineRule="auto"/>
        <w:ind w:firstLine="270"/>
        <w:jc w:val="both"/>
        <w:rPr>
          <w:rFonts w:ascii="Book Antiqua" w:eastAsia="Book Antiqua" w:hAnsi="Book Antiqua" w:cs="Book Antiqua"/>
          <w:sz w:val="22"/>
          <w:szCs w:val="22"/>
        </w:rPr>
      </w:pPr>
      <w:r>
        <w:rPr>
          <w:rFonts w:ascii="Book Antiqua" w:eastAsia="Book Antiqua" w:hAnsi="Book Antiqua" w:cs="Book Antiqua"/>
          <w:sz w:val="22"/>
          <w:szCs w:val="22"/>
        </w:rPr>
        <w:t>Návrh zákona definuje obchodnú prirážku ako vyčíslenie percentuálneho podielu rozdielu medzi predajnou ceno</w:t>
      </w:r>
      <w:r>
        <w:rPr>
          <w:rFonts w:ascii="Book Antiqua" w:eastAsia="Book Antiqua" w:hAnsi="Book Antiqua" w:cs="Book Antiqua"/>
          <w:sz w:val="22"/>
          <w:szCs w:val="22"/>
        </w:rPr>
        <w:t>u a nákupnou cenou voči nákupnej cene. V prípade, ak je táto obchodná prirážka u predajcu potravín (s výnimkou samotného prvovýrobcu</w:t>
      </w:r>
      <w:r w:rsidR="00B01D29">
        <w:rPr>
          <w:rFonts w:ascii="Book Antiqua" w:eastAsia="Book Antiqua" w:hAnsi="Book Antiqua" w:cs="Book Antiqua"/>
          <w:sz w:val="22"/>
          <w:szCs w:val="22"/>
        </w:rPr>
        <w:t xml:space="preserve"> alebo spracovateľa potravín</w:t>
      </w:r>
      <w:r>
        <w:rPr>
          <w:rFonts w:ascii="Book Antiqua" w:eastAsia="Book Antiqua" w:hAnsi="Book Antiqua" w:cs="Book Antiqua"/>
          <w:sz w:val="22"/>
          <w:szCs w:val="22"/>
        </w:rPr>
        <w:t>) vyššia ako 40 %, tak je považovaná za neprimeranú obchodnú podmienku. V</w:t>
      </w:r>
      <w:r w:rsidR="00B01D29">
        <w:rPr>
          <w:rFonts w:ascii="Book Antiqua" w:eastAsia="Book Antiqua" w:hAnsi="Book Antiqua" w:cs="Book Antiqua"/>
          <w:sz w:val="22"/>
          <w:szCs w:val="22"/>
        </w:rPr>
        <w:t xml:space="preserve"> </w:t>
      </w:r>
      <w:r>
        <w:rPr>
          <w:rFonts w:ascii="Book Antiqua" w:eastAsia="Book Antiqua" w:hAnsi="Book Antiqua" w:cs="Book Antiqua"/>
          <w:sz w:val="22"/>
          <w:szCs w:val="22"/>
        </w:rPr>
        <w:t xml:space="preserve">súčasnej maloobchodnej praxi </w:t>
      </w:r>
      <w:r>
        <w:rPr>
          <w:rFonts w:ascii="Book Antiqua" w:eastAsia="Book Antiqua" w:hAnsi="Book Antiqua" w:cs="Book Antiqua"/>
          <w:b/>
          <w:sz w:val="22"/>
          <w:szCs w:val="22"/>
        </w:rPr>
        <w:t xml:space="preserve">je totiž </w:t>
      </w:r>
      <w:r w:rsidR="00B01D29">
        <w:rPr>
          <w:rFonts w:ascii="Book Antiqua" w:eastAsia="Book Antiqua" w:hAnsi="Book Antiqua" w:cs="Book Antiqua"/>
          <w:b/>
          <w:sz w:val="22"/>
          <w:szCs w:val="22"/>
        </w:rPr>
        <w:t>bežným javom</w:t>
      </w:r>
      <w:r>
        <w:rPr>
          <w:rFonts w:ascii="Book Antiqua" w:eastAsia="Book Antiqua" w:hAnsi="Book Antiqua" w:cs="Book Antiqua"/>
          <w:b/>
          <w:sz w:val="22"/>
          <w:szCs w:val="22"/>
        </w:rPr>
        <w:t>, ž</w:t>
      </w:r>
      <w:r>
        <w:rPr>
          <w:rFonts w:ascii="Book Antiqua" w:eastAsia="Book Antiqua" w:hAnsi="Book Antiqua" w:cs="Book Antiqua"/>
          <w:b/>
          <w:sz w:val="22"/>
          <w:szCs w:val="22"/>
        </w:rPr>
        <w:t>e najmä veľké obchodné reťazce pracujú pri základných potra</w:t>
      </w:r>
      <w:r w:rsidR="00B01D29">
        <w:rPr>
          <w:rFonts w:ascii="Book Antiqua" w:eastAsia="Book Antiqua" w:hAnsi="Book Antiqua" w:cs="Book Antiqua"/>
          <w:b/>
          <w:sz w:val="22"/>
          <w:szCs w:val="22"/>
        </w:rPr>
        <w:t>vinách s obchodnými prirážkami na úrovni 80</w:t>
      </w:r>
      <w:r>
        <w:rPr>
          <w:rFonts w:ascii="Book Antiqua" w:eastAsia="Book Antiqua" w:hAnsi="Book Antiqua" w:cs="Book Antiqua"/>
          <w:b/>
          <w:sz w:val="22"/>
          <w:szCs w:val="22"/>
        </w:rPr>
        <w:t xml:space="preserve"> a viac </w:t>
      </w:r>
      <w:r w:rsidR="00B01D29">
        <w:rPr>
          <w:rFonts w:ascii="Book Antiqua" w:eastAsia="Book Antiqua" w:hAnsi="Book Antiqua" w:cs="Book Antiqua"/>
          <w:b/>
          <w:sz w:val="22"/>
          <w:szCs w:val="22"/>
        </w:rPr>
        <w:t>percent</w:t>
      </w:r>
      <w:r>
        <w:rPr>
          <w:rFonts w:ascii="Book Antiqua" w:eastAsia="Book Antiqua" w:hAnsi="Book Antiqua" w:cs="Book Antiqua"/>
          <w:b/>
          <w:sz w:val="22"/>
          <w:szCs w:val="22"/>
        </w:rPr>
        <w:t>, čo považuje predkladateľ za neakceptovateľné</w:t>
      </w:r>
      <w:r>
        <w:rPr>
          <w:rFonts w:ascii="Book Antiqua" w:eastAsia="Book Antiqua" w:hAnsi="Book Antiqua" w:cs="Book Antiqua"/>
          <w:sz w:val="22"/>
          <w:szCs w:val="22"/>
        </w:rPr>
        <w:t>, a práve tu vidí priestor na zníženie rastu cien základných potravín.</w:t>
      </w:r>
    </w:p>
    <w:p w:rsidR="0003344A" w:rsidRDefault="00801E0D">
      <w:pPr>
        <w:widowControl/>
        <w:spacing w:after="200" w:line="276" w:lineRule="auto"/>
        <w:ind w:firstLine="270"/>
        <w:jc w:val="both"/>
        <w:rPr>
          <w:rFonts w:ascii="Book Antiqua" w:eastAsia="Book Antiqua" w:hAnsi="Book Antiqua" w:cs="Book Antiqua"/>
          <w:sz w:val="22"/>
          <w:szCs w:val="22"/>
        </w:rPr>
      </w:pPr>
      <w:r>
        <w:rPr>
          <w:rFonts w:ascii="Book Antiqua" w:eastAsia="Book Antiqua" w:hAnsi="Book Antiqua" w:cs="Book Antiqua"/>
          <w:sz w:val="22"/>
          <w:szCs w:val="22"/>
        </w:rPr>
        <w:t>Ceny potravín v dôs</w:t>
      </w:r>
      <w:r>
        <w:rPr>
          <w:rFonts w:ascii="Book Antiqua" w:eastAsia="Book Antiqua" w:hAnsi="Book Antiqua" w:cs="Book Antiqua"/>
          <w:sz w:val="22"/>
          <w:szCs w:val="22"/>
        </w:rPr>
        <w:t xml:space="preserve">ledku vysokej inflácie dosahujú svoje historické maximá. Zdražovanie, ktoré bude podľa odborníkov pokračovať aj v nasledujúcich mesiacoch, existenčne ohrozuje mnohé slovenské rodiny. Naopak, veľké obchodné reťazce zaznamenali počas obmedzení </w:t>
      </w:r>
      <w:r>
        <w:rPr>
          <w:rFonts w:ascii="Book Antiqua" w:eastAsia="Book Antiqua" w:hAnsi="Book Antiqua" w:cs="Book Antiqua"/>
          <w:sz w:val="22"/>
          <w:szCs w:val="22"/>
        </w:rPr>
        <w:br/>
        <w:t>súvisiacich s</w:t>
      </w:r>
      <w:r>
        <w:rPr>
          <w:rFonts w:ascii="Book Antiqua" w:eastAsia="Book Antiqua" w:hAnsi="Book Antiqua" w:cs="Book Antiqua"/>
          <w:sz w:val="22"/>
          <w:szCs w:val="22"/>
        </w:rPr>
        <w:t xml:space="preserve"> ochorením Covid-19 nadpriemerné zisky, a to najmä na úkor malých a stredných podnikateľov, ktorí mali z epidemických dôvodov nariadené, aby </w:t>
      </w:r>
      <w:r w:rsidR="003C3413">
        <w:rPr>
          <w:rFonts w:ascii="Book Antiqua" w:eastAsia="Book Antiqua" w:hAnsi="Book Antiqua" w:cs="Book Antiqua"/>
          <w:sz w:val="22"/>
          <w:szCs w:val="22"/>
        </w:rPr>
        <w:t>svoje</w:t>
      </w:r>
      <w:r>
        <w:rPr>
          <w:rFonts w:ascii="Book Antiqua" w:eastAsia="Book Antiqua" w:hAnsi="Book Antiqua" w:cs="Book Antiqua"/>
          <w:sz w:val="22"/>
          <w:szCs w:val="22"/>
        </w:rPr>
        <w:t xml:space="preserve"> prevádzky zatvorili alebo výrazne obmedzili.</w:t>
      </w:r>
    </w:p>
    <w:p w:rsidR="0003344A" w:rsidRDefault="00801E0D">
      <w:pPr>
        <w:widowControl/>
        <w:spacing w:after="200" w:line="276" w:lineRule="auto"/>
        <w:ind w:firstLine="270"/>
        <w:jc w:val="both"/>
        <w:rPr>
          <w:rFonts w:ascii="Book Antiqua" w:eastAsia="Book Antiqua" w:hAnsi="Book Antiqua" w:cs="Book Antiqua"/>
          <w:sz w:val="22"/>
          <w:szCs w:val="22"/>
        </w:rPr>
      </w:pPr>
      <w:r>
        <w:rPr>
          <w:rFonts w:ascii="Book Antiqua" w:eastAsia="Book Antiqua" w:hAnsi="Book Antiqua" w:cs="Book Antiqua"/>
          <w:sz w:val="22"/>
          <w:szCs w:val="22"/>
        </w:rPr>
        <w:t>Stanovením maximálnej obchodnej prirážky pri základných potravinác</w:t>
      </w:r>
      <w:r w:rsidR="006507F3">
        <w:rPr>
          <w:rFonts w:ascii="Book Antiqua" w:eastAsia="Book Antiqua" w:hAnsi="Book Antiqua" w:cs="Book Antiqua"/>
          <w:sz w:val="22"/>
          <w:szCs w:val="22"/>
        </w:rPr>
        <w:t>h budú</w:t>
      </w:r>
      <w:r>
        <w:rPr>
          <w:rFonts w:ascii="Book Antiqua" w:eastAsia="Book Antiqua" w:hAnsi="Book Antiqua" w:cs="Book Antiqua"/>
          <w:sz w:val="22"/>
          <w:szCs w:val="22"/>
        </w:rPr>
        <w:t xml:space="preserve"> obchodné reťazce </w:t>
      </w:r>
      <w:r>
        <w:rPr>
          <w:rFonts w:ascii="Book Antiqua" w:eastAsia="Book Antiqua" w:hAnsi="Book Antiqua" w:cs="Book Antiqua"/>
          <w:sz w:val="22"/>
          <w:szCs w:val="22"/>
        </w:rPr>
        <w:t xml:space="preserve">aj naďalej schopné dosahovať </w:t>
      </w:r>
      <w:r w:rsidR="00C35F25">
        <w:rPr>
          <w:rFonts w:ascii="Book Antiqua" w:eastAsia="Book Antiqua" w:hAnsi="Book Antiqua" w:cs="Book Antiqua"/>
          <w:sz w:val="22"/>
          <w:szCs w:val="22"/>
        </w:rPr>
        <w:t>adekvátne</w:t>
      </w:r>
      <w:r>
        <w:rPr>
          <w:rFonts w:ascii="Book Antiqua" w:eastAsia="Book Antiqua" w:hAnsi="Book Antiqua" w:cs="Book Antiqua"/>
          <w:sz w:val="22"/>
          <w:szCs w:val="22"/>
        </w:rPr>
        <w:t xml:space="preserve"> zisky </w:t>
      </w:r>
      <w:r>
        <w:rPr>
          <w:rFonts w:ascii="Book Antiqua" w:eastAsia="Book Antiqua" w:hAnsi="Book Antiqua" w:cs="Book Antiqua"/>
          <w:sz w:val="22"/>
          <w:szCs w:val="22"/>
        </w:rPr>
        <w:t xml:space="preserve">a </w:t>
      </w:r>
      <w:r w:rsidR="006507F3">
        <w:rPr>
          <w:rFonts w:ascii="Book Antiqua" w:eastAsia="Book Antiqua" w:hAnsi="Book Antiqua" w:cs="Book Antiqua"/>
          <w:sz w:val="22"/>
          <w:szCs w:val="22"/>
        </w:rPr>
        <w:t>nebude</w:t>
      </w:r>
      <w:r>
        <w:rPr>
          <w:rFonts w:ascii="Book Antiqua" w:eastAsia="Book Antiqua" w:hAnsi="Book Antiqua" w:cs="Book Antiqua"/>
          <w:sz w:val="22"/>
          <w:szCs w:val="22"/>
        </w:rPr>
        <w:t xml:space="preserve"> </w:t>
      </w:r>
      <w:r w:rsidR="00C35F25">
        <w:rPr>
          <w:rFonts w:ascii="Book Antiqua" w:eastAsia="Book Antiqua" w:hAnsi="Book Antiqua" w:cs="Book Antiqua"/>
          <w:sz w:val="22"/>
          <w:szCs w:val="22"/>
        </w:rPr>
        <w:t>nijakým spôsobom obmedzená</w:t>
      </w:r>
      <w:r>
        <w:rPr>
          <w:rFonts w:ascii="Book Antiqua" w:eastAsia="Book Antiqua" w:hAnsi="Book Antiqua" w:cs="Book Antiqua"/>
          <w:sz w:val="22"/>
          <w:szCs w:val="22"/>
        </w:rPr>
        <w:t xml:space="preserve"> ich schopnosť ďalej </w:t>
      </w:r>
      <w:r>
        <w:rPr>
          <w:rFonts w:ascii="Book Antiqua" w:eastAsia="Book Antiqua" w:hAnsi="Book Antiqua" w:cs="Book Antiqua"/>
          <w:sz w:val="22"/>
          <w:szCs w:val="22"/>
        </w:rPr>
        <w:t xml:space="preserve">investovať. Po nadmerných ziskoch, najmä za posledné dva roky, </w:t>
      </w:r>
      <w:r>
        <w:rPr>
          <w:rFonts w:ascii="Book Antiqua" w:eastAsia="Book Antiqua" w:hAnsi="Book Antiqua" w:cs="Book Antiqua"/>
          <w:sz w:val="22"/>
          <w:szCs w:val="22"/>
        </w:rPr>
        <w:br/>
      </w:r>
      <w:r w:rsidR="006507F3">
        <w:rPr>
          <w:rFonts w:ascii="Book Antiqua" w:eastAsia="Book Antiqua" w:hAnsi="Book Antiqua" w:cs="Book Antiqua"/>
          <w:sz w:val="22"/>
          <w:szCs w:val="22"/>
        </w:rPr>
        <w:t xml:space="preserve">to predkladateľ považuje </w:t>
      </w:r>
      <w:r>
        <w:rPr>
          <w:rFonts w:ascii="Book Antiqua" w:eastAsia="Book Antiqua" w:hAnsi="Book Antiqua" w:cs="Book Antiqua"/>
          <w:sz w:val="22"/>
          <w:szCs w:val="22"/>
        </w:rPr>
        <w:t>zo strany reťazco</w:t>
      </w:r>
      <w:r w:rsidR="006507F3">
        <w:rPr>
          <w:rFonts w:ascii="Book Antiqua" w:eastAsia="Book Antiqua" w:hAnsi="Book Antiqua" w:cs="Book Antiqua"/>
          <w:sz w:val="22"/>
          <w:szCs w:val="22"/>
        </w:rPr>
        <w:t>v aj za správny</w:t>
      </w:r>
      <w:r>
        <w:rPr>
          <w:rFonts w:ascii="Book Antiqua" w:eastAsia="Book Antiqua" w:hAnsi="Book Antiqua" w:cs="Book Antiqua"/>
          <w:sz w:val="22"/>
          <w:szCs w:val="22"/>
        </w:rPr>
        <w:t xml:space="preserve">, </w:t>
      </w:r>
      <w:r w:rsidR="006507F3">
        <w:rPr>
          <w:rFonts w:ascii="Book Antiqua" w:eastAsia="Book Antiqua" w:hAnsi="Book Antiqua" w:cs="Book Antiqua"/>
          <w:sz w:val="22"/>
          <w:szCs w:val="22"/>
        </w:rPr>
        <w:t>žiaduc</w:t>
      </w:r>
      <w:r w:rsidR="002C0A92">
        <w:rPr>
          <w:rFonts w:ascii="Book Antiqua" w:eastAsia="Book Antiqua" w:hAnsi="Book Antiqua" w:cs="Book Antiqua"/>
          <w:sz w:val="22"/>
          <w:szCs w:val="22"/>
        </w:rPr>
        <w:t>i</w:t>
      </w:r>
      <w:r>
        <w:rPr>
          <w:rFonts w:ascii="Book Antiqua" w:eastAsia="Book Antiqua" w:hAnsi="Book Antiqua" w:cs="Book Antiqua"/>
          <w:sz w:val="22"/>
          <w:szCs w:val="22"/>
        </w:rPr>
        <w:t xml:space="preserve"> a spoločensky </w:t>
      </w:r>
      <w:r w:rsidR="006507F3">
        <w:rPr>
          <w:rFonts w:ascii="Book Antiqua" w:eastAsia="Book Antiqua" w:hAnsi="Book Antiqua" w:cs="Book Antiqua"/>
          <w:sz w:val="22"/>
          <w:szCs w:val="22"/>
        </w:rPr>
        <w:t>očakávaný</w:t>
      </w:r>
      <w:r>
        <w:rPr>
          <w:rFonts w:ascii="Book Antiqua" w:eastAsia="Book Antiqua" w:hAnsi="Book Antiqua" w:cs="Book Antiqua"/>
          <w:sz w:val="22"/>
          <w:szCs w:val="22"/>
        </w:rPr>
        <w:t xml:space="preserve"> </w:t>
      </w:r>
      <w:r w:rsidR="006507F3">
        <w:rPr>
          <w:rFonts w:ascii="Book Antiqua" w:eastAsia="Book Antiqua" w:hAnsi="Book Antiqua" w:cs="Book Antiqua"/>
          <w:sz w:val="22"/>
          <w:szCs w:val="22"/>
        </w:rPr>
        <w:t>prínos k</w:t>
      </w:r>
      <w:r w:rsidR="002C0A92">
        <w:rPr>
          <w:rFonts w:ascii="Book Antiqua" w:eastAsia="Book Antiqua" w:hAnsi="Book Antiqua" w:cs="Book Antiqua"/>
          <w:sz w:val="22"/>
          <w:szCs w:val="22"/>
        </w:rPr>
        <w:t xml:space="preserve"> </w:t>
      </w:r>
      <w:r w:rsidR="006507F3">
        <w:rPr>
          <w:rFonts w:ascii="Book Antiqua" w:eastAsia="Book Antiqua" w:hAnsi="Book Antiqua" w:cs="Book Antiqua"/>
          <w:sz w:val="22"/>
          <w:szCs w:val="22"/>
        </w:rPr>
        <w:t>riešeniu vysokej inflácie.</w:t>
      </w:r>
      <w:r>
        <w:rPr>
          <w:rFonts w:ascii="Book Antiqua" w:eastAsia="Book Antiqua" w:hAnsi="Book Antiqua" w:cs="Book Antiqua"/>
          <w:sz w:val="22"/>
          <w:szCs w:val="22"/>
        </w:rPr>
        <w:t xml:space="preserve"> </w:t>
      </w:r>
      <w:r w:rsidR="006507F3">
        <w:rPr>
          <w:rFonts w:ascii="Book Antiqua" w:eastAsia="Book Antiqua" w:hAnsi="Book Antiqua" w:cs="Book Antiqua"/>
          <w:sz w:val="22"/>
          <w:szCs w:val="22"/>
        </w:rPr>
        <w:t xml:space="preserve">Vďaka </w:t>
      </w:r>
      <w:r w:rsidR="002C0A92">
        <w:rPr>
          <w:rFonts w:ascii="Book Antiqua" w:eastAsia="Book Antiqua" w:hAnsi="Book Antiqua" w:cs="Book Antiqua"/>
          <w:sz w:val="22"/>
          <w:szCs w:val="22"/>
        </w:rPr>
        <w:t xml:space="preserve">navrhovanému </w:t>
      </w:r>
      <w:proofErr w:type="spellStart"/>
      <w:r w:rsidR="006507F3">
        <w:rPr>
          <w:rFonts w:ascii="Book Antiqua" w:eastAsia="Book Antiqua" w:hAnsi="Book Antiqua" w:cs="Book Antiqua"/>
          <w:sz w:val="22"/>
          <w:szCs w:val="22"/>
        </w:rPr>
        <w:t>zastropovaniu</w:t>
      </w:r>
      <w:proofErr w:type="spellEnd"/>
      <w:r w:rsidR="006507F3">
        <w:rPr>
          <w:rFonts w:ascii="Book Antiqua" w:eastAsia="Book Antiqua" w:hAnsi="Book Antiqua" w:cs="Book Antiqua"/>
          <w:sz w:val="22"/>
          <w:szCs w:val="22"/>
        </w:rPr>
        <w:t xml:space="preserve"> obchodných prirážok </w:t>
      </w:r>
      <w:r>
        <w:rPr>
          <w:rFonts w:ascii="Book Antiqua" w:eastAsia="Book Antiqua" w:hAnsi="Book Antiqua" w:cs="Book Antiqua"/>
          <w:sz w:val="22"/>
          <w:szCs w:val="22"/>
        </w:rPr>
        <w:br/>
      </w:r>
      <w:r w:rsidR="006507F3">
        <w:rPr>
          <w:rFonts w:ascii="Book Antiqua" w:eastAsia="Book Antiqua" w:hAnsi="Book Antiqua" w:cs="Book Antiqua"/>
          <w:sz w:val="22"/>
          <w:szCs w:val="22"/>
        </w:rPr>
        <w:t xml:space="preserve">by sa </w:t>
      </w:r>
      <w:r>
        <w:rPr>
          <w:rFonts w:ascii="Book Antiqua" w:eastAsia="Book Antiqua" w:hAnsi="Book Antiqua" w:cs="Book Antiqua"/>
          <w:sz w:val="22"/>
          <w:szCs w:val="22"/>
        </w:rPr>
        <w:t>ceny základných  potravín</w:t>
      </w:r>
      <w:r w:rsidR="006507F3">
        <w:rPr>
          <w:rFonts w:ascii="Book Antiqua" w:eastAsia="Book Antiqua" w:hAnsi="Book Antiqua" w:cs="Book Antiqua"/>
          <w:sz w:val="22"/>
          <w:szCs w:val="22"/>
        </w:rPr>
        <w:t xml:space="preserve"> pre spotrebiteľov</w:t>
      </w:r>
      <w:r>
        <w:rPr>
          <w:rFonts w:ascii="Book Antiqua" w:eastAsia="Book Antiqua" w:hAnsi="Book Antiqua" w:cs="Book Antiqua"/>
          <w:sz w:val="22"/>
          <w:szCs w:val="22"/>
        </w:rPr>
        <w:t xml:space="preserve"> </w:t>
      </w:r>
      <w:r w:rsidR="006507F3">
        <w:rPr>
          <w:rFonts w:ascii="Book Antiqua" w:eastAsia="Book Antiqua" w:hAnsi="Book Antiqua" w:cs="Book Antiqua"/>
          <w:sz w:val="22"/>
          <w:szCs w:val="22"/>
        </w:rPr>
        <w:t>mali</w:t>
      </w:r>
      <w:r>
        <w:rPr>
          <w:rFonts w:ascii="Book Antiqua" w:eastAsia="Book Antiqua" w:hAnsi="Book Antiqua" w:cs="Book Antiqua"/>
          <w:sz w:val="22"/>
          <w:szCs w:val="22"/>
        </w:rPr>
        <w:t xml:space="preserve"> znížiť minimálne o 25 %.</w:t>
      </w:r>
    </w:p>
    <w:p w:rsidR="0003344A" w:rsidRDefault="00801E0D">
      <w:pPr>
        <w:widowControl/>
        <w:spacing w:after="200" w:line="276" w:lineRule="auto"/>
        <w:ind w:firstLine="270"/>
        <w:jc w:val="both"/>
        <w:rPr>
          <w:rFonts w:ascii="Book Antiqua" w:eastAsia="Book Antiqua" w:hAnsi="Book Antiqua" w:cs="Book Antiqua"/>
          <w:sz w:val="22"/>
          <w:szCs w:val="22"/>
        </w:rPr>
      </w:pPr>
      <w:r>
        <w:rPr>
          <w:rFonts w:ascii="Book Antiqua" w:eastAsia="Book Antiqua" w:hAnsi="Book Antiqua" w:cs="Book Antiqua"/>
          <w:sz w:val="22"/>
          <w:szCs w:val="22"/>
        </w:rPr>
        <w:t xml:space="preserve">  Predkladateľ taktiež navrhuje </w:t>
      </w:r>
      <w:r w:rsidR="008752C1">
        <w:rPr>
          <w:rFonts w:ascii="Book Antiqua" w:eastAsia="Book Antiqua" w:hAnsi="Book Antiqua" w:cs="Book Antiqua"/>
          <w:sz w:val="22"/>
          <w:szCs w:val="22"/>
        </w:rPr>
        <w:t xml:space="preserve">zníženie sadzby DPH aplikovanej na základné potraviny </w:t>
      </w:r>
      <w:r>
        <w:rPr>
          <w:rFonts w:ascii="Book Antiqua" w:eastAsia="Book Antiqua" w:hAnsi="Book Antiqua" w:cs="Book Antiqua"/>
          <w:sz w:val="22"/>
          <w:szCs w:val="22"/>
        </w:rPr>
        <w:br/>
      </w:r>
      <w:r w:rsidR="008752C1">
        <w:rPr>
          <w:rFonts w:ascii="Book Antiqua" w:eastAsia="Book Antiqua" w:hAnsi="Book Antiqua" w:cs="Book Antiqua"/>
          <w:sz w:val="22"/>
          <w:szCs w:val="22"/>
        </w:rPr>
        <w:t>na úroveň 5 %</w:t>
      </w:r>
      <w:r>
        <w:rPr>
          <w:rFonts w:ascii="Book Antiqua" w:eastAsia="Book Antiqua" w:hAnsi="Book Antiqua" w:cs="Book Antiqua"/>
          <w:sz w:val="22"/>
          <w:szCs w:val="22"/>
        </w:rPr>
        <w:t>.</w:t>
      </w:r>
      <w:r w:rsidR="008752C1">
        <w:rPr>
          <w:rFonts w:ascii="Book Antiqua" w:eastAsia="Book Antiqua" w:hAnsi="Book Antiqua" w:cs="Book Antiqua"/>
          <w:sz w:val="22"/>
          <w:szCs w:val="22"/>
        </w:rPr>
        <w:t xml:space="preserve"> V súčasnosti sadzba DPH pre tento typ potravín pohybuje zväčša na úrovni 10 %.</w:t>
      </w:r>
      <w:r>
        <w:rPr>
          <w:rFonts w:ascii="Book Antiqua" w:eastAsia="Book Antiqua" w:hAnsi="Book Antiqua" w:cs="Book Antiqua"/>
          <w:sz w:val="22"/>
          <w:szCs w:val="22"/>
        </w:rPr>
        <w:t xml:space="preserve"> </w:t>
      </w:r>
      <w:r>
        <w:rPr>
          <w:rFonts w:ascii="Book Antiqua" w:eastAsia="Book Antiqua" w:hAnsi="Book Antiqua" w:cs="Book Antiqua"/>
          <w:b/>
          <w:sz w:val="22"/>
          <w:szCs w:val="22"/>
        </w:rPr>
        <w:t>Náklady na tlmenie rastu koncových cien potravín sa tak primerane rozložia medzi obchodníkov a štát, v prospech občanov a zabezpečenia ich základných životných potrieb.</w:t>
      </w:r>
    </w:p>
    <w:p w:rsidR="0003344A" w:rsidRDefault="0003344A">
      <w:pPr>
        <w:widowControl/>
        <w:spacing w:after="200" w:line="276" w:lineRule="auto"/>
        <w:ind w:firstLine="270"/>
        <w:jc w:val="both"/>
        <w:rPr>
          <w:rFonts w:ascii="Book Antiqua" w:eastAsia="Book Antiqua" w:hAnsi="Book Antiqua" w:cs="Book Antiqua"/>
          <w:sz w:val="22"/>
          <w:szCs w:val="22"/>
        </w:rPr>
      </w:pPr>
    </w:p>
    <w:p w:rsidR="0003344A" w:rsidRDefault="00801E0D">
      <w:pPr>
        <w:widowControl/>
        <w:spacing w:after="200" w:line="276" w:lineRule="auto"/>
        <w:rPr>
          <w:rFonts w:ascii="Book Antiqua" w:eastAsia="Book Antiqua" w:hAnsi="Book Antiqua" w:cs="Book Antiqua"/>
          <w:sz w:val="22"/>
          <w:szCs w:val="22"/>
        </w:rPr>
      </w:pPr>
      <w:r>
        <w:br w:type="page"/>
      </w:r>
    </w:p>
    <w:p w:rsidR="0003344A" w:rsidRDefault="00801E0D">
      <w:pPr>
        <w:widowControl/>
        <w:numPr>
          <w:ilvl w:val="0"/>
          <w:numId w:val="1"/>
        </w:numPr>
        <w:spacing w:after="200" w:line="276" w:lineRule="auto"/>
        <w:ind w:left="270" w:hanging="270"/>
        <w:rPr>
          <w:rFonts w:ascii="Book Antiqua" w:eastAsia="Book Antiqua" w:hAnsi="Book Antiqua" w:cs="Book Antiqua"/>
          <w:b/>
          <w:i/>
          <w:color w:val="000000"/>
          <w:sz w:val="22"/>
          <w:szCs w:val="22"/>
        </w:rPr>
      </w:pPr>
      <w:r>
        <w:rPr>
          <w:rFonts w:ascii="Book Antiqua" w:eastAsia="Book Antiqua" w:hAnsi="Book Antiqua" w:cs="Book Antiqua"/>
          <w:b/>
          <w:i/>
          <w:color w:val="000000"/>
          <w:sz w:val="22"/>
          <w:szCs w:val="22"/>
        </w:rPr>
        <w:lastRenderedPageBreak/>
        <w:t>Osobitná časť</w:t>
      </w:r>
    </w:p>
    <w:p w:rsidR="0003344A" w:rsidRDefault="00801E0D">
      <w:pPr>
        <w:widowControl/>
        <w:spacing w:after="200" w:line="276" w:lineRule="auto"/>
        <w:ind w:left="360"/>
        <w:jc w:val="both"/>
        <w:rPr>
          <w:rFonts w:ascii="Book Antiqua" w:eastAsia="Book Antiqua" w:hAnsi="Book Antiqua" w:cs="Book Antiqua"/>
          <w:color w:val="000000"/>
          <w:sz w:val="22"/>
          <w:szCs w:val="22"/>
        </w:rPr>
      </w:pPr>
      <ve:AlternateContent>
        <mc:Choice xmlns:w15="http://schemas.microsoft.com/office/word/2012/wordml" xmlns:w14="http://schemas.microsoft.com/office/word/2010/wordml" xmlns:wpg="http://schemas.microsoft.com/office/word/2010/wordprocessingGroup" xmlns:wps="http://schemas.microsoft.com/office/word/2010/wordprocessingShape" xmlns:dgm="http://schemas.openxmlformats.org/drawingml/2006/diagram" xmlns:lc="http://schemas.openxmlformats.org/drawingml/2006/lockedCanvas" xmlns:c="http://schemas.openxmlformats.org/drawingml/2006/chart" xmlns:pic="http://schemas.openxmlformats.org/drawingml/2006/picture" xmlns:a="http://schemas.openxmlformats.org/drawingml/2006/main" xmlns:sl="http://schemas.openxmlformats.org/schemaLibrary/2006/main" xmlns:mc="http://schemas.openxmlformats.org/markup-compatibility/2006" Requires="wps">
          <w:drawing>
            <wp:anchor allowOverlap="1" behindDoc="0" distB="0" distT="0" distL="114300" distR="114300" hidden="0" layoutInCell="1" locked="0" relativeHeight="0" simplePos="0">
              <wp:simplePos x="0" y="0"/>
              <wp:positionH relativeFrom="column">
                <wp:posOffset>114300</wp:posOffset>
              </wp:positionH>
              <wp:positionV relativeFrom="paragraph">
                <wp:posOffset>25400</wp:posOffset>
              </wp:positionV>
              <wp:extent cx="0" cy="12700"/>
              <wp:effectExtent b="0" l="0" r="0" t="0"/>
              <wp:wrapNone/>
              <wp:docPr id="1" name=""/>
              <a:graphic>
                <a:graphicData uri="http://schemas.microsoft.com/office/word/2010/wordprocessingShape">
                  <wps:wsp>
                    <wps:cNvSpPr/>
                    <wps:cNvPr id="2" name="Shape 2"/>
                    <wps:spPr>
                      <a:xfrm>
                        <a:off x="2456750" y="3780000"/>
                        <a:ext cx="5778500" cy="0"/>
                      </a:xfrm>
                      <a:custGeom>
                        <a:rect b="b" l="l" r="r" t="t"/>
                        <a:pathLst>
                          <a:path extrusionOk="0" h="1" w="5778500">
                            <a:moveTo>
                              <a:pt x="0" y="0"/>
                            </a:moveTo>
                            <a:lnTo>
                              <a:pt x="5778500" y="0"/>
                            </a:lnTo>
                          </a:path>
                        </a:pathLst>
                      </a:custGeom>
                      <a:solidFill>
                        <a:srgbClr val="FFFFFF"/>
                      </a:solidFill>
                      <a:ln cap="flat" cmpd="sng" w="12700">
                        <a:solidFill>
                          <a:srgbClr val="000000"/>
                        </a:solidFill>
                        <a:prstDash val="solid"/>
                        <a:round/>
                        <a:headEnd len="sm" w="sm" type="none"/>
                        <a:tailEnd len="sm" w="sm" type="none"/>
                      </a:ln>
                    </wps:spPr>
                    <wps:bodyPr anchorCtr="0" anchor="ctr" bIns="91425" lIns="91425" spcFirstLastPara="1" rIns="91425" wrap="square" tIns="91425">
                      <a:noAutofit/>
                    </wps:bodyPr>
                  </wps:wsp>
                </a:graphicData>
              </a:graphic>
            </wp:anchor>
          </w:drawing>
        </mc:Choice>
        <ve:Fallback>
          <w:r>
            <w:rPr>
              <w:noProof/>
              <w:lang w:eastAsia="sk-SK" w:bidi="ar-SA"/>
            </w:rPr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114300</wp:posOffset>
                </wp:positionH>
                <wp:positionV relativeFrom="paragraph">
                  <wp:posOffset>25400</wp:posOffset>
                </wp:positionV>
                <wp:extent cx="0" cy="12700"/>
                <wp:effectExtent l="0" t="0" r="0" b="0"/>
                <wp:wrapNone/>
                <wp:docPr id="1" name="image1.png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1.png"/>
                        <pic:cNvPicPr preferRelativeResize="0"/>
                      </pic:nvPicPr>
                      <pic:blipFill>
                        <a:blip r:embed="rId7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0" cy="12700"/>
                        </a:xfrm>
                        <a:prstGeom prst="rect">
                          <a:avLst/>
                        </a:prstGeom>
                        <a:ln/>
                      </pic:spPr>
                    </pic:pic>
                  </a:graphicData>
                </a:graphic>
              </wp:anchor>
            </w:drawing>
          </w:r>
        </ve:Fallback>
      </ve:AlternateContent>
    </w:p>
    <w:p w:rsidR="0003344A" w:rsidRDefault="00801E0D">
      <w:pPr>
        <w:widowControl/>
        <w:spacing w:after="200" w:line="276" w:lineRule="auto"/>
        <w:jc w:val="both"/>
        <w:rPr>
          <w:rFonts w:ascii="Book Antiqua" w:eastAsia="Book Antiqua" w:hAnsi="Book Antiqua" w:cs="Book Antiqua"/>
          <w:b/>
          <w:color w:val="000000"/>
          <w:sz w:val="22"/>
          <w:szCs w:val="22"/>
        </w:rPr>
      </w:pPr>
      <w:r>
        <w:rPr>
          <w:rFonts w:ascii="Book Antiqua" w:eastAsia="Book Antiqua" w:hAnsi="Book Antiqua" w:cs="Book Antiqua"/>
          <w:b/>
          <w:color w:val="000000"/>
          <w:sz w:val="22"/>
          <w:szCs w:val="22"/>
        </w:rPr>
        <w:t>Článok I</w:t>
      </w:r>
    </w:p>
    <w:p w:rsidR="0003344A" w:rsidRDefault="00801E0D">
      <w:pPr>
        <w:widowControl/>
        <w:pBdr>
          <w:top w:val="nil"/>
          <w:left w:val="nil"/>
          <w:bottom w:val="nil"/>
          <w:right w:val="nil"/>
          <w:between w:val="nil"/>
        </w:pBdr>
        <w:spacing w:after="200"/>
        <w:jc w:val="both"/>
        <w:rPr>
          <w:color w:val="000000"/>
        </w:rPr>
      </w:pPr>
      <w:r>
        <w:rPr>
          <w:rFonts w:ascii="Book Antiqua" w:eastAsia="Book Antiqua" w:hAnsi="Book Antiqua" w:cs="Book Antiqua"/>
          <w:color w:val="000000"/>
          <w:sz w:val="22"/>
          <w:szCs w:val="22"/>
          <w:u w:val="single"/>
        </w:rPr>
        <w:t>K bodu 1</w:t>
      </w:r>
    </w:p>
    <w:p w:rsidR="0003344A" w:rsidRDefault="00801E0D">
      <w:pPr>
        <w:widowControl/>
        <w:pBdr>
          <w:top w:val="nil"/>
          <w:left w:val="nil"/>
          <w:bottom w:val="nil"/>
          <w:right w:val="nil"/>
          <w:between w:val="nil"/>
        </w:pBdr>
        <w:spacing w:after="200"/>
        <w:jc w:val="both"/>
        <w:rPr>
          <w:rFonts w:ascii="Book Antiqua" w:eastAsia="Book Antiqua" w:hAnsi="Book Antiqua" w:cs="Book Antiqua"/>
          <w:color w:val="070707"/>
          <w:sz w:val="22"/>
          <w:szCs w:val="22"/>
        </w:rPr>
      </w:pPr>
      <w:r>
        <w:rPr>
          <w:rFonts w:ascii="Book Antiqua" w:eastAsia="Book Antiqua" w:hAnsi="Book Antiqua" w:cs="Book Antiqua"/>
          <w:color w:val="070707"/>
          <w:sz w:val="22"/>
          <w:szCs w:val="22"/>
        </w:rPr>
        <w:t xml:space="preserve">Definujú sa základné pojmy nevyhnutné pre definovanie neprimeranej podmienky podľa § 3a. </w:t>
      </w:r>
    </w:p>
    <w:p w:rsidR="0003344A" w:rsidRDefault="00801E0D">
      <w:pPr>
        <w:widowControl/>
        <w:pBdr>
          <w:top w:val="nil"/>
          <w:left w:val="nil"/>
          <w:bottom w:val="nil"/>
          <w:right w:val="nil"/>
          <w:between w:val="nil"/>
        </w:pBdr>
        <w:spacing w:after="200"/>
        <w:jc w:val="both"/>
        <w:rPr>
          <w:rFonts w:ascii="Book Antiqua" w:eastAsia="Book Antiqua" w:hAnsi="Book Antiqua" w:cs="Book Antiqua"/>
          <w:color w:val="070707"/>
          <w:sz w:val="22"/>
          <w:szCs w:val="22"/>
        </w:rPr>
      </w:pPr>
      <w:r>
        <w:rPr>
          <w:rFonts w:ascii="Book Antiqua" w:eastAsia="Book Antiqua" w:hAnsi="Book Antiqua" w:cs="Book Antiqua"/>
          <w:color w:val="070707"/>
          <w:sz w:val="22"/>
          <w:szCs w:val="22"/>
        </w:rPr>
        <w:t>Definícia prvovýrobcu vychádza z čl. 3 Nariadenia EP a Rady (ES) č. 178/2002 z 28. januára 2002, ktorým sa ustanovujú všeobecné zásady a požiadavky potravinového poľa</w:t>
      </w:r>
      <w:r>
        <w:rPr>
          <w:rFonts w:ascii="Book Antiqua" w:eastAsia="Book Antiqua" w:hAnsi="Book Antiqua" w:cs="Book Antiqua"/>
          <w:color w:val="070707"/>
          <w:sz w:val="22"/>
          <w:szCs w:val="22"/>
        </w:rPr>
        <w:t>.</w:t>
      </w:r>
    </w:p>
    <w:p w:rsidR="0003344A" w:rsidRDefault="00801E0D">
      <w:pPr>
        <w:widowControl/>
        <w:pBdr>
          <w:top w:val="nil"/>
          <w:left w:val="nil"/>
          <w:bottom w:val="nil"/>
          <w:right w:val="nil"/>
          <w:between w:val="nil"/>
        </w:pBdr>
        <w:spacing w:after="200"/>
        <w:jc w:val="both"/>
        <w:rPr>
          <w:rFonts w:ascii="Book Antiqua" w:eastAsia="Book Antiqua" w:hAnsi="Book Antiqua" w:cs="Book Antiqua"/>
          <w:color w:val="070707"/>
          <w:sz w:val="22"/>
          <w:szCs w:val="22"/>
        </w:rPr>
      </w:pPr>
      <w:bookmarkStart w:id="0" w:name="_heading=h.gjdgxs" w:colFirst="0" w:colLast="0"/>
      <w:bookmarkEnd w:id="0"/>
      <w:r>
        <w:rPr>
          <w:rFonts w:ascii="Book Antiqua" w:eastAsia="Book Antiqua" w:hAnsi="Book Antiqua" w:cs="Book Antiqua"/>
          <w:color w:val="070707"/>
          <w:sz w:val="22"/>
          <w:szCs w:val="22"/>
        </w:rPr>
        <w:t xml:space="preserve">Zoznam základných potravín vychádza z platnej a účinnej Prílohy č. 7 k zákonu č. 222/2004 Z. z. </w:t>
      </w:r>
      <w:r>
        <w:rPr>
          <w:rFonts w:ascii="Book Antiqua" w:eastAsia="Book Antiqua" w:hAnsi="Book Antiqua" w:cs="Book Antiqua"/>
          <w:color w:val="070707"/>
          <w:sz w:val="22"/>
          <w:szCs w:val="22"/>
        </w:rPr>
        <w:br/>
        <w:t>o dani z pridanej hodnoty v znení neskorších predpisov a z aplikačnej praxe.</w:t>
      </w:r>
    </w:p>
    <w:p w:rsidR="0003344A" w:rsidRDefault="00801E0D">
      <w:pPr>
        <w:widowControl/>
        <w:pBdr>
          <w:top w:val="nil"/>
          <w:left w:val="nil"/>
          <w:bottom w:val="nil"/>
          <w:right w:val="nil"/>
          <w:between w:val="nil"/>
        </w:pBdr>
        <w:spacing w:after="200"/>
        <w:jc w:val="both"/>
        <w:rPr>
          <w:rFonts w:ascii="Book Antiqua" w:eastAsia="Book Antiqua" w:hAnsi="Book Antiqua" w:cs="Book Antiqua"/>
          <w:color w:val="070707"/>
          <w:sz w:val="22"/>
          <w:szCs w:val="22"/>
          <w:u w:val="single"/>
        </w:rPr>
      </w:pPr>
      <w:r>
        <w:rPr>
          <w:rFonts w:ascii="Book Antiqua" w:eastAsia="Book Antiqua" w:hAnsi="Book Antiqua" w:cs="Book Antiqua"/>
          <w:color w:val="070707"/>
          <w:sz w:val="22"/>
          <w:szCs w:val="22"/>
          <w:u w:val="single"/>
        </w:rPr>
        <w:t>K bodu 2</w:t>
      </w:r>
    </w:p>
    <w:p w:rsidR="0003344A" w:rsidRDefault="00801E0D">
      <w:pPr>
        <w:widowControl/>
        <w:pBdr>
          <w:top w:val="nil"/>
          <w:left w:val="nil"/>
          <w:bottom w:val="nil"/>
          <w:right w:val="nil"/>
          <w:between w:val="nil"/>
        </w:pBdr>
        <w:spacing w:after="200"/>
        <w:jc w:val="both"/>
        <w:rPr>
          <w:rFonts w:ascii="Book Antiqua" w:eastAsia="Book Antiqua" w:hAnsi="Book Antiqua" w:cs="Book Antiqua"/>
          <w:color w:val="070707"/>
          <w:sz w:val="22"/>
          <w:szCs w:val="22"/>
        </w:rPr>
      </w:pPr>
      <w:r>
        <w:rPr>
          <w:rFonts w:ascii="Book Antiqua" w:eastAsia="Book Antiqua" w:hAnsi="Book Antiqua" w:cs="Book Antiqua"/>
          <w:color w:val="070707"/>
          <w:sz w:val="22"/>
          <w:szCs w:val="22"/>
        </w:rPr>
        <w:t>Zavádza sa nová neprimeraná podmienka v obchode s potravinami, ktorou j</w:t>
      </w:r>
      <w:r>
        <w:rPr>
          <w:rFonts w:ascii="Book Antiqua" w:eastAsia="Book Antiqua" w:hAnsi="Book Antiqua" w:cs="Book Antiqua"/>
          <w:color w:val="070707"/>
          <w:sz w:val="22"/>
          <w:szCs w:val="22"/>
        </w:rPr>
        <w:t>e obchodná prirážka odberateľa, ktorý nie je prvovýrobcom alebo spracovateľom potravín a ktorá pri základnej potravine predstavuje viac ako 40</w:t>
      </w:r>
      <w:r w:rsidR="00CC5A60">
        <w:rPr>
          <w:rFonts w:ascii="Book Antiqua" w:eastAsia="Book Antiqua" w:hAnsi="Book Antiqua" w:cs="Book Antiqua"/>
          <w:color w:val="070707"/>
          <w:sz w:val="22"/>
          <w:szCs w:val="22"/>
        </w:rPr>
        <w:t xml:space="preserve"> </w:t>
      </w:r>
      <w:r>
        <w:rPr>
          <w:rFonts w:ascii="Book Antiqua" w:eastAsia="Book Antiqua" w:hAnsi="Book Antiqua" w:cs="Book Antiqua"/>
          <w:color w:val="070707"/>
          <w:sz w:val="22"/>
          <w:szCs w:val="22"/>
        </w:rPr>
        <w:t xml:space="preserve">%. </w:t>
      </w:r>
    </w:p>
    <w:p w:rsidR="0003344A" w:rsidRDefault="00801E0D">
      <w:pPr>
        <w:widowControl/>
        <w:pBdr>
          <w:top w:val="nil"/>
          <w:left w:val="nil"/>
          <w:bottom w:val="nil"/>
          <w:right w:val="nil"/>
          <w:between w:val="nil"/>
        </w:pBdr>
        <w:spacing w:after="200"/>
        <w:jc w:val="both"/>
        <w:rPr>
          <w:rFonts w:ascii="Book Antiqua" w:eastAsia="Book Antiqua" w:hAnsi="Book Antiqua" w:cs="Book Antiqua"/>
          <w:color w:val="070707"/>
          <w:sz w:val="22"/>
          <w:szCs w:val="22"/>
          <w:u w:val="single"/>
        </w:rPr>
      </w:pPr>
      <w:r>
        <w:rPr>
          <w:rFonts w:ascii="Book Antiqua" w:eastAsia="Book Antiqua" w:hAnsi="Book Antiqua" w:cs="Book Antiqua"/>
          <w:color w:val="070707"/>
          <w:sz w:val="22"/>
          <w:szCs w:val="22"/>
          <w:u w:val="single"/>
        </w:rPr>
        <w:t>K bodu 3</w:t>
      </w:r>
    </w:p>
    <w:p w:rsidR="0003344A" w:rsidRDefault="00801E0D">
      <w:pPr>
        <w:widowControl/>
        <w:pBdr>
          <w:top w:val="nil"/>
          <w:left w:val="nil"/>
          <w:bottom w:val="nil"/>
          <w:right w:val="nil"/>
          <w:between w:val="nil"/>
        </w:pBdr>
        <w:spacing w:after="200"/>
        <w:jc w:val="both"/>
        <w:rPr>
          <w:rFonts w:ascii="Book Antiqua" w:eastAsia="Book Antiqua" w:hAnsi="Book Antiqua" w:cs="Book Antiqua"/>
          <w:color w:val="070707"/>
          <w:sz w:val="22"/>
          <w:szCs w:val="22"/>
        </w:rPr>
      </w:pPr>
      <w:r>
        <w:rPr>
          <w:rFonts w:ascii="Book Antiqua" w:eastAsia="Book Antiqua" w:hAnsi="Book Antiqua" w:cs="Book Antiqua"/>
          <w:color w:val="070707"/>
          <w:sz w:val="22"/>
          <w:szCs w:val="22"/>
        </w:rPr>
        <w:t xml:space="preserve">Za porušenie § 3a zákona je ministerstvo oprávnené uložiť podnikateľovi pokutu do výšky 500 000 eur. </w:t>
      </w:r>
    </w:p>
    <w:p w:rsidR="0003344A" w:rsidRDefault="0003344A">
      <w:pPr>
        <w:widowControl/>
        <w:pBdr>
          <w:top w:val="nil"/>
          <w:left w:val="nil"/>
          <w:bottom w:val="nil"/>
          <w:right w:val="nil"/>
          <w:between w:val="nil"/>
        </w:pBdr>
        <w:spacing w:after="200"/>
        <w:jc w:val="both"/>
        <w:rPr>
          <w:rFonts w:ascii="Book Antiqua" w:eastAsia="Book Antiqua" w:hAnsi="Book Antiqua" w:cs="Book Antiqua"/>
          <w:color w:val="070707"/>
          <w:sz w:val="22"/>
          <w:szCs w:val="22"/>
        </w:rPr>
      </w:pPr>
    </w:p>
    <w:p w:rsidR="0003344A" w:rsidRDefault="00801E0D">
      <w:pPr>
        <w:widowControl/>
        <w:spacing w:after="200" w:line="276" w:lineRule="auto"/>
        <w:jc w:val="both"/>
        <w:rPr>
          <w:rFonts w:ascii="Book Antiqua" w:eastAsia="Book Antiqua" w:hAnsi="Book Antiqua" w:cs="Book Antiqua"/>
          <w:b/>
          <w:color w:val="000000"/>
          <w:sz w:val="22"/>
          <w:szCs w:val="22"/>
        </w:rPr>
      </w:pPr>
      <w:r>
        <w:rPr>
          <w:rFonts w:ascii="Book Antiqua" w:eastAsia="Book Antiqua" w:hAnsi="Book Antiqua" w:cs="Book Antiqua"/>
          <w:b/>
          <w:color w:val="000000"/>
          <w:sz w:val="22"/>
          <w:szCs w:val="22"/>
        </w:rPr>
        <w:t>Článok II</w:t>
      </w:r>
    </w:p>
    <w:p w:rsidR="0003344A" w:rsidRDefault="00801E0D">
      <w:pPr>
        <w:widowControl/>
        <w:spacing w:after="200" w:line="276" w:lineRule="auto"/>
        <w:jc w:val="both"/>
        <w:rPr>
          <w:rFonts w:ascii="Book Antiqua" w:eastAsia="Book Antiqua" w:hAnsi="Book Antiqua" w:cs="Book Antiqua"/>
          <w:sz w:val="22"/>
          <w:szCs w:val="22"/>
          <w:u w:val="single"/>
        </w:rPr>
      </w:pPr>
      <w:r>
        <w:rPr>
          <w:rFonts w:ascii="Book Antiqua" w:eastAsia="Book Antiqua" w:hAnsi="Book Antiqua" w:cs="Book Antiqua"/>
          <w:sz w:val="22"/>
          <w:szCs w:val="22"/>
          <w:u w:val="single"/>
        </w:rPr>
        <w:t>K bodu 1</w:t>
      </w:r>
    </w:p>
    <w:p w:rsidR="0003344A" w:rsidRDefault="00801E0D">
      <w:pPr>
        <w:widowControl/>
        <w:spacing w:after="200" w:line="276" w:lineRule="auto"/>
        <w:jc w:val="both"/>
        <w:rPr>
          <w:rFonts w:ascii="Book Antiqua" w:eastAsia="Book Antiqua" w:hAnsi="Book Antiqua" w:cs="Book Antiqua"/>
          <w:sz w:val="22"/>
          <w:szCs w:val="22"/>
        </w:rPr>
      </w:pPr>
      <w:r>
        <w:rPr>
          <w:rFonts w:ascii="Book Antiqua" w:eastAsia="Book Antiqua" w:hAnsi="Book Antiqua" w:cs="Book Antiqua"/>
          <w:sz w:val="22"/>
          <w:szCs w:val="22"/>
        </w:rPr>
        <w:t xml:space="preserve">Základné potraviny definované v prílohe 7b k zákonu sú predmetom zníženej sadzby dane 5 % zo základu dane. </w:t>
      </w:r>
    </w:p>
    <w:p w:rsidR="0003344A" w:rsidRDefault="00801E0D">
      <w:pPr>
        <w:widowControl/>
        <w:spacing w:after="200" w:line="276" w:lineRule="auto"/>
        <w:jc w:val="both"/>
        <w:rPr>
          <w:rFonts w:ascii="Book Antiqua" w:eastAsia="Book Antiqua" w:hAnsi="Book Antiqua" w:cs="Book Antiqua"/>
          <w:sz w:val="22"/>
          <w:szCs w:val="22"/>
          <w:u w:val="single"/>
        </w:rPr>
      </w:pPr>
      <w:r>
        <w:rPr>
          <w:rFonts w:ascii="Book Antiqua" w:eastAsia="Book Antiqua" w:hAnsi="Book Antiqua" w:cs="Book Antiqua"/>
          <w:sz w:val="22"/>
          <w:szCs w:val="22"/>
          <w:u w:val="single"/>
        </w:rPr>
        <w:t>K bodu 2</w:t>
      </w:r>
    </w:p>
    <w:p w:rsidR="0003344A" w:rsidRDefault="00801E0D">
      <w:pPr>
        <w:widowControl/>
        <w:spacing w:after="200" w:line="276" w:lineRule="auto"/>
        <w:jc w:val="both"/>
        <w:rPr>
          <w:rFonts w:ascii="Book Antiqua" w:eastAsia="Book Antiqua" w:hAnsi="Book Antiqua" w:cs="Book Antiqua"/>
          <w:sz w:val="22"/>
          <w:szCs w:val="22"/>
        </w:rPr>
      </w:pPr>
      <w:r>
        <w:rPr>
          <w:rFonts w:ascii="Book Antiqua" w:eastAsia="Book Antiqua" w:hAnsi="Book Antiqua" w:cs="Book Antiqua"/>
          <w:sz w:val="22"/>
          <w:szCs w:val="22"/>
        </w:rPr>
        <w:t xml:space="preserve">Dochádza k zmene prílohy č. 7 k zákonu, nakoľko základné potraviny uvedené v prílohe č. 7b </w:t>
      </w:r>
      <w:r>
        <w:rPr>
          <w:rFonts w:ascii="Book Antiqua" w:eastAsia="Book Antiqua" w:hAnsi="Book Antiqua" w:cs="Book Antiqua"/>
          <w:sz w:val="22"/>
          <w:szCs w:val="22"/>
        </w:rPr>
        <w:br/>
      </w:r>
      <w:r>
        <w:rPr>
          <w:rFonts w:ascii="Book Antiqua" w:eastAsia="Book Antiqua" w:hAnsi="Book Antiqua" w:cs="Book Antiqua"/>
          <w:sz w:val="22"/>
          <w:szCs w:val="22"/>
        </w:rPr>
        <w:t xml:space="preserve">sú predmetom zníženej sadzby dane 5 % zo základu dane a teda nepodliehajú zníženej sadzbe dane 10 % zo základu dane tak, ako tomu bolo vo väčšine prípadov doteraz. </w:t>
      </w:r>
    </w:p>
    <w:p w:rsidR="0003344A" w:rsidRDefault="0003344A">
      <w:pPr>
        <w:widowControl/>
        <w:spacing w:after="200" w:line="276" w:lineRule="auto"/>
        <w:jc w:val="both"/>
        <w:rPr>
          <w:rFonts w:ascii="Book Antiqua" w:eastAsia="Book Antiqua" w:hAnsi="Book Antiqua" w:cs="Book Antiqua"/>
          <w:b/>
          <w:sz w:val="22"/>
          <w:szCs w:val="22"/>
        </w:rPr>
      </w:pPr>
    </w:p>
    <w:p w:rsidR="0003344A" w:rsidRDefault="00801E0D">
      <w:pPr>
        <w:widowControl/>
        <w:spacing w:after="200" w:line="276" w:lineRule="auto"/>
        <w:jc w:val="both"/>
        <w:rPr>
          <w:rFonts w:ascii="Book Antiqua" w:eastAsia="Book Antiqua" w:hAnsi="Book Antiqua" w:cs="Book Antiqua"/>
          <w:b/>
          <w:sz w:val="22"/>
          <w:szCs w:val="22"/>
        </w:rPr>
      </w:pPr>
      <w:r>
        <w:rPr>
          <w:rFonts w:ascii="Book Antiqua" w:eastAsia="Book Antiqua" w:hAnsi="Book Antiqua" w:cs="Book Antiqua"/>
          <w:b/>
          <w:sz w:val="22"/>
          <w:szCs w:val="22"/>
        </w:rPr>
        <w:t>Článok III</w:t>
      </w:r>
    </w:p>
    <w:p w:rsidR="0003344A" w:rsidRDefault="00801E0D">
      <w:pPr>
        <w:widowControl/>
        <w:spacing w:after="200" w:line="276" w:lineRule="auto"/>
        <w:jc w:val="both"/>
        <w:rPr>
          <w:rFonts w:ascii="Book Antiqua" w:eastAsia="Book Antiqua" w:hAnsi="Book Antiqua" w:cs="Book Antiqua"/>
          <w:color w:val="000000"/>
          <w:sz w:val="22"/>
          <w:szCs w:val="22"/>
        </w:rPr>
      </w:pPr>
      <w:r>
        <w:rPr>
          <w:rFonts w:ascii="Book Antiqua" w:eastAsia="Book Antiqua" w:hAnsi="Book Antiqua" w:cs="Book Antiqua"/>
          <w:color w:val="000000"/>
          <w:sz w:val="22"/>
          <w:szCs w:val="22"/>
        </w:rPr>
        <w:t>Navrhuje sa účinnosť zákona pätnástym dňom po jeho vyhlásení v Zbierke zákonov.</w:t>
      </w:r>
    </w:p>
    <w:p w:rsidR="0003344A" w:rsidRDefault="0003344A">
      <w:pPr>
        <w:widowControl/>
        <w:spacing w:after="200" w:line="276" w:lineRule="auto"/>
        <w:jc w:val="both"/>
        <w:rPr>
          <w:rFonts w:ascii="Book Antiqua" w:eastAsia="Book Antiqua" w:hAnsi="Book Antiqua" w:cs="Book Antiqua"/>
          <w:color w:val="000000"/>
          <w:sz w:val="22"/>
          <w:szCs w:val="22"/>
        </w:rPr>
      </w:pPr>
    </w:p>
    <w:sectPr w:rsidR="0003344A" w:rsidSect="0003344A">
      <w:pgSz w:w="11906" w:h="16838"/>
      <w:pgMar w:top="1134" w:right="1134" w:bottom="1134" w:left="1134" w:header="709" w:footer="709" w:gutter="0"/>
      <w:pgNumType w:start="1"/>
      <w:cols w:space="708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, Symbol"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Symbol, 'Times New Roman'"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Liberation Serif"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Book Antiqua">
    <w:panose1 w:val="02040602050305030304"/>
    <w:charset w:val="EE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3E50968"/>
    <w:multiLevelType w:val="multilevel"/>
    <w:tmpl w:val="3BA23058"/>
    <w:lvl w:ilvl="0">
      <w:start w:val="1"/>
      <w:numFmt w:val="upperRoman"/>
      <w:lvlText w:val="%1."/>
      <w:lvlJc w:val="left"/>
      <w:pPr>
        <w:ind w:left="720" w:hanging="720"/>
      </w:pPr>
    </w:lvl>
    <w:lvl w:ilvl="1">
      <w:start w:val="1"/>
      <w:numFmt w:val="lowerLetter"/>
      <w:lvlText w:val="%2."/>
      <w:lvlJc w:val="left"/>
      <w:pPr>
        <w:ind w:left="1980" w:hanging="360"/>
      </w:pPr>
    </w:lvl>
    <w:lvl w:ilvl="2">
      <w:start w:val="1"/>
      <w:numFmt w:val="lowerRoman"/>
      <w:lvlText w:val="%3."/>
      <w:lvlJc w:val="right"/>
      <w:pPr>
        <w:ind w:left="2700" w:hanging="180"/>
      </w:pPr>
    </w:lvl>
    <w:lvl w:ilvl="3">
      <w:start w:val="1"/>
      <w:numFmt w:val="decimal"/>
      <w:lvlText w:val="%4."/>
      <w:lvlJc w:val="left"/>
      <w:pPr>
        <w:ind w:left="3420" w:hanging="360"/>
      </w:pPr>
    </w:lvl>
    <w:lvl w:ilvl="4">
      <w:start w:val="1"/>
      <w:numFmt w:val="lowerLetter"/>
      <w:lvlText w:val="%5."/>
      <w:lvlJc w:val="left"/>
      <w:pPr>
        <w:ind w:left="4140" w:hanging="360"/>
      </w:pPr>
    </w:lvl>
    <w:lvl w:ilvl="5">
      <w:start w:val="1"/>
      <w:numFmt w:val="lowerRoman"/>
      <w:lvlText w:val="%6."/>
      <w:lvlJc w:val="right"/>
      <w:pPr>
        <w:ind w:left="4860" w:hanging="180"/>
      </w:pPr>
    </w:lvl>
    <w:lvl w:ilvl="6">
      <w:start w:val="1"/>
      <w:numFmt w:val="decimal"/>
      <w:lvlText w:val="%7."/>
      <w:lvlJc w:val="left"/>
      <w:pPr>
        <w:ind w:left="5580" w:hanging="360"/>
      </w:pPr>
    </w:lvl>
    <w:lvl w:ilvl="7">
      <w:start w:val="1"/>
      <w:numFmt w:val="lowerLetter"/>
      <w:lvlText w:val="%8."/>
      <w:lvlJc w:val="left"/>
      <w:pPr>
        <w:ind w:left="6300" w:hanging="360"/>
      </w:pPr>
    </w:lvl>
    <w:lvl w:ilvl="8">
      <w:start w:val="1"/>
      <w:numFmt w:val="lowerRoman"/>
      <w:lvlText w:val="%9."/>
      <w:lvlJc w:val="right"/>
      <w:pPr>
        <w:ind w:left="702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hyphenationZone w:val="425"/>
  <w:characterSpacingControl w:val="doNotCompress"/>
  <w:compat/>
  <w:rsids>
    <w:rsidRoot w:val="0003344A"/>
    <w:rsid w:val="0003344A"/>
    <w:rsid w:val="00051493"/>
    <w:rsid w:val="002C0A92"/>
    <w:rsid w:val="003C3413"/>
    <w:rsid w:val="00525863"/>
    <w:rsid w:val="00551EF8"/>
    <w:rsid w:val="00580646"/>
    <w:rsid w:val="0062447C"/>
    <w:rsid w:val="006507F3"/>
    <w:rsid w:val="00801E0D"/>
    <w:rsid w:val="00825921"/>
    <w:rsid w:val="008752C1"/>
    <w:rsid w:val="009C661C"/>
    <w:rsid w:val="009F228A"/>
    <w:rsid w:val="00A708DE"/>
    <w:rsid w:val="00B01D29"/>
    <w:rsid w:val="00C35F25"/>
    <w:rsid w:val="00C734B6"/>
    <w:rsid w:val="00CC5A6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4"/>
        <w:szCs w:val="24"/>
        <w:lang w:val="sk-SK" w:eastAsia="sk-SK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575E70"/>
    <w:pPr>
      <w:suppressAutoHyphens/>
      <w:autoSpaceDE w:val="0"/>
      <w:autoSpaceDN w:val="0"/>
      <w:textAlignment w:val="baseline"/>
    </w:pPr>
    <w:rPr>
      <w:kern w:val="3"/>
      <w:lang w:eastAsia="zh-CN" w:bidi="hi-IN"/>
    </w:rPr>
  </w:style>
  <w:style w:type="paragraph" w:styleId="Nadpis1">
    <w:name w:val="heading 1"/>
    <w:basedOn w:val="normal"/>
    <w:next w:val="normal"/>
    <w:rsid w:val="0003344A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Nadpis2">
    <w:name w:val="heading 2"/>
    <w:basedOn w:val="normal"/>
    <w:next w:val="normal"/>
    <w:rsid w:val="0003344A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Nadpis3">
    <w:name w:val="heading 3"/>
    <w:basedOn w:val="normal"/>
    <w:next w:val="normal"/>
    <w:rsid w:val="0003344A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Nadpis4">
    <w:name w:val="heading 4"/>
    <w:basedOn w:val="normal"/>
    <w:next w:val="normal"/>
    <w:rsid w:val="0003344A"/>
    <w:pPr>
      <w:keepNext/>
      <w:keepLines/>
      <w:spacing w:before="240" w:after="40"/>
      <w:outlineLvl w:val="3"/>
    </w:pPr>
    <w:rPr>
      <w:b/>
    </w:rPr>
  </w:style>
  <w:style w:type="paragraph" w:styleId="Nadpis5">
    <w:name w:val="heading 5"/>
    <w:basedOn w:val="normal"/>
    <w:next w:val="normal"/>
    <w:rsid w:val="0003344A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Nadpis6">
    <w:name w:val="heading 6"/>
    <w:basedOn w:val="normal"/>
    <w:next w:val="normal"/>
    <w:rsid w:val="0003344A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normal">
    <w:name w:val="normal"/>
    <w:rsid w:val="0003344A"/>
  </w:style>
  <w:style w:type="table" w:customStyle="1" w:styleId="TableNormal">
    <w:name w:val="Table Normal"/>
    <w:rsid w:val="0003344A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Nzev">
    <w:name w:val="Title"/>
    <w:basedOn w:val="Standard"/>
    <w:next w:val="Textbody"/>
    <w:link w:val="NzevChar"/>
    <w:uiPriority w:val="99"/>
    <w:qFormat/>
    <w:rsid w:val="008738D6"/>
    <w:pPr>
      <w:keepNext/>
      <w:spacing w:before="240" w:after="120"/>
    </w:pPr>
    <w:rPr>
      <w:rFonts w:ascii="Arial" w:hAnsi="Arial" w:cs="Microsoft YaHei"/>
      <w:sz w:val="28"/>
      <w:lang w:eastAsia="zh-CN"/>
    </w:rPr>
  </w:style>
  <w:style w:type="paragraph" w:customStyle="1" w:styleId="Standard">
    <w:name w:val="Standard"/>
    <w:uiPriority w:val="99"/>
    <w:rsid w:val="008738D6"/>
    <w:pPr>
      <w:suppressAutoHyphens/>
      <w:autoSpaceDE w:val="0"/>
      <w:autoSpaceDN w:val="0"/>
      <w:textAlignment w:val="baseline"/>
    </w:pPr>
    <w:rPr>
      <w:kern w:val="3"/>
      <w:lang w:bidi="hi-IN"/>
    </w:rPr>
  </w:style>
  <w:style w:type="character" w:customStyle="1" w:styleId="NzevChar">
    <w:name w:val="Název Char"/>
    <w:basedOn w:val="Standardnpsmoodstavce"/>
    <w:link w:val="Nzev"/>
    <w:uiPriority w:val="10"/>
    <w:locked/>
    <w:rsid w:val="008738D6"/>
    <w:rPr>
      <w:rFonts w:asciiTheme="majorHAnsi" w:eastAsiaTheme="majorEastAsia" w:hAnsiTheme="majorHAnsi" w:cs="Mangal"/>
      <w:b/>
      <w:bCs/>
      <w:kern w:val="28"/>
      <w:sz w:val="29"/>
      <w:szCs w:val="29"/>
      <w:lang w:eastAsia="zh-CN" w:bidi="hi-IN"/>
    </w:rPr>
  </w:style>
  <w:style w:type="paragraph" w:customStyle="1" w:styleId="Textbody">
    <w:name w:val="Text body"/>
    <w:basedOn w:val="Standard"/>
    <w:uiPriority w:val="99"/>
    <w:rsid w:val="008738D6"/>
    <w:pPr>
      <w:spacing w:after="120"/>
    </w:pPr>
    <w:rPr>
      <w:lang w:eastAsia="zh-CN"/>
    </w:rPr>
  </w:style>
  <w:style w:type="paragraph" w:styleId="Seznam">
    <w:name w:val="List"/>
    <w:basedOn w:val="Textbody"/>
    <w:uiPriority w:val="99"/>
    <w:rsid w:val="008738D6"/>
  </w:style>
  <w:style w:type="paragraph" w:styleId="Titulek">
    <w:name w:val="caption"/>
    <w:basedOn w:val="Standard"/>
    <w:uiPriority w:val="99"/>
    <w:qFormat/>
    <w:rsid w:val="008738D6"/>
    <w:pPr>
      <w:spacing w:before="120" w:after="120"/>
    </w:pPr>
    <w:rPr>
      <w:i/>
      <w:iCs/>
      <w:lang w:eastAsia="zh-CN"/>
    </w:rPr>
  </w:style>
  <w:style w:type="paragraph" w:customStyle="1" w:styleId="Index">
    <w:name w:val="Index"/>
    <w:basedOn w:val="Standard"/>
    <w:uiPriority w:val="99"/>
    <w:rsid w:val="008738D6"/>
    <w:rPr>
      <w:lang w:eastAsia="zh-CN"/>
    </w:rPr>
  </w:style>
  <w:style w:type="character" w:customStyle="1" w:styleId="RTFNum21">
    <w:name w:val="RTF_Num 2 1"/>
    <w:uiPriority w:val="99"/>
    <w:rsid w:val="008738D6"/>
    <w:rPr>
      <w:rFonts w:eastAsia="Times New Roman"/>
    </w:rPr>
  </w:style>
  <w:style w:type="character" w:customStyle="1" w:styleId="RTFNum22">
    <w:name w:val="RTF_Num 2 2"/>
    <w:uiPriority w:val="99"/>
    <w:rsid w:val="008738D6"/>
    <w:rPr>
      <w:rFonts w:eastAsia="Times New Roman"/>
    </w:rPr>
  </w:style>
  <w:style w:type="character" w:customStyle="1" w:styleId="RTFNum23">
    <w:name w:val="RTF_Num 2 3"/>
    <w:uiPriority w:val="99"/>
    <w:rsid w:val="008738D6"/>
    <w:rPr>
      <w:rFonts w:eastAsia="Times New Roman"/>
    </w:rPr>
  </w:style>
  <w:style w:type="character" w:customStyle="1" w:styleId="RTFNum24">
    <w:name w:val="RTF_Num 2 4"/>
    <w:uiPriority w:val="99"/>
    <w:rsid w:val="008738D6"/>
    <w:rPr>
      <w:rFonts w:eastAsia="Times New Roman"/>
    </w:rPr>
  </w:style>
  <w:style w:type="character" w:customStyle="1" w:styleId="RTFNum25">
    <w:name w:val="RTF_Num 2 5"/>
    <w:uiPriority w:val="99"/>
    <w:rsid w:val="008738D6"/>
    <w:rPr>
      <w:rFonts w:eastAsia="Times New Roman"/>
    </w:rPr>
  </w:style>
  <w:style w:type="character" w:customStyle="1" w:styleId="RTFNum26">
    <w:name w:val="RTF_Num 2 6"/>
    <w:uiPriority w:val="99"/>
    <w:rsid w:val="008738D6"/>
    <w:rPr>
      <w:rFonts w:eastAsia="Times New Roman"/>
    </w:rPr>
  </w:style>
  <w:style w:type="character" w:customStyle="1" w:styleId="RTFNum27">
    <w:name w:val="RTF_Num 2 7"/>
    <w:uiPriority w:val="99"/>
    <w:rsid w:val="008738D6"/>
    <w:rPr>
      <w:rFonts w:eastAsia="Times New Roman"/>
    </w:rPr>
  </w:style>
  <w:style w:type="character" w:customStyle="1" w:styleId="RTFNum28">
    <w:name w:val="RTF_Num 2 8"/>
    <w:uiPriority w:val="99"/>
    <w:rsid w:val="008738D6"/>
    <w:rPr>
      <w:rFonts w:eastAsia="Times New Roman"/>
    </w:rPr>
  </w:style>
  <w:style w:type="character" w:customStyle="1" w:styleId="RTFNum29">
    <w:name w:val="RTF_Num 2 9"/>
    <w:uiPriority w:val="99"/>
    <w:rsid w:val="008738D6"/>
    <w:rPr>
      <w:rFonts w:eastAsia="Times New Roman"/>
    </w:rPr>
  </w:style>
  <w:style w:type="character" w:customStyle="1" w:styleId="RTFNum31">
    <w:name w:val="RTF_Num 3 1"/>
    <w:uiPriority w:val="99"/>
    <w:rsid w:val="008738D6"/>
    <w:rPr>
      <w:rFonts w:eastAsia="Times New Roman"/>
    </w:rPr>
  </w:style>
  <w:style w:type="character" w:customStyle="1" w:styleId="RTFNum32">
    <w:name w:val="RTF_Num 3 2"/>
    <w:uiPriority w:val="99"/>
    <w:rsid w:val="008738D6"/>
    <w:rPr>
      <w:rFonts w:eastAsia="Times New Roman"/>
    </w:rPr>
  </w:style>
  <w:style w:type="character" w:customStyle="1" w:styleId="RTFNum33">
    <w:name w:val="RTF_Num 3 3"/>
    <w:uiPriority w:val="99"/>
    <w:rsid w:val="008738D6"/>
    <w:rPr>
      <w:rFonts w:eastAsia="Times New Roman"/>
    </w:rPr>
  </w:style>
  <w:style w:type="character" w:customStyle="1" w:styleId="RTFNum34">
    <w:name w:val="RTF_Num 3 4"/>
    <w:uiPriority w:val="99"/>
    <w:rsid w:val="008738D6"/>
    <w:rPr>
      <w:rFonts w:eastAsia="Times New Roman"/>
    </w:rPr>
  </w:style>
  <w:style w:type="character" w:customStyle="1" w:styleId="RTFNum35">
    <w:name w:val="RTF_Num 3 5"/>
    <w:uiPriority w:val="99"/>
    <w:rsid w:val="008738D6"/>
    <w:rPr>
      <w:rFonts w:eastAsia="Times New Roman"/>
    </w:rPr>
  </w:style>
  <w:style w:type="character" w:customStyle="1" w:styleId="RTFNum36">
    <w:name w:val="RTF_Num 3 6"/>
    <w:uiPriority w:val="99"/>
    <w:rsid w:val="008738D6"/>
    <w:rPr>
      <w:rFonts w:eastAsia="Times New Roman"/>
    </w:rPr>
  </w:style>
  <w:style w:type="character" w:customStyle="1" w:styleId="RTFNum37">
    <w:name w:val="RTF_Num 3 7"/>
    <w:uiPriority w:val="99"/>
    <w:rsid w:val="008738D6"/>
    <w:rPr>
      <w:rFonts w:eastAsia="Times New Roman"/>
    </w:rPr>
  </w:style>
  <w:style w:type="character" w:customStyle="1" w:styleId="RTFNum38">
    <w:name w:val="RTF_Num 3 8"/>
    <w:uiPriority w:val="99"/>
    <w:rsid w:val="008738D6"/>
    <w:rPr>
      <w:rFonts w:eastAsia="Times New Roman"/>
    </w:rPr>
  </w:style>
  <w:style w:type="character" w:customStyle="1" w:styleId="RTFNum39">
    <w:name w:val="RTF_Num 3 9"/>
    <w:uiPriority w:val="99"/>
    <w:rsid w:val="008738D6"/>
    <w:rPr>
      <w:rFonts w:eastAsia="Times New Roman"/>
    </w:rPr>
  </w:style>
  <w:style w:type="character" w:customStyle="1" w:styleId="RTFNum41">
    <w:name w:val="RTF_Num 4 1"/>
    <w:uiPriority w:val="99"/>
    <w:rsid w:val="008738D6"/>
    <w:rPr>
      <w:rFonts w:eastAsia="Times New Roman"/>
    </w:rPr>
  </w:style>
  <w:style w:type="character" w:customStyle="1" w:styleId="RTFNum42">
    <w:name w:val="RTF_Num 4 2"/>
    <w:uiPriority w:val="99"/>
    <w:rsid w:val="008738D6"/>
    <w:rPr>
      <w:rFonts w:eastAsia="Times New Roman"/>
    </w:rPr>
  </w:style>
  <w:style w:type="character" w:customStyle="1" w:styleId="RTFNum43">
    <w:name w:val="RTF_Num 4 3"/>
    <w:uiPriority w:val="99"/>
    <w:rsid w:val="008738D6"/>
    <w:rPr>
      <w:rFonts w:eastAsia="Times New Roman"/>
    </w:rPr>
  </w:style>
  <w:style w:type="character" w:customStyle="1" w:styleId="RTFNum44">
    <w:name w:val="RTF_Num 4 4"/>
    <w:uiPriority w:val="99"/>
    <w:rsid w:val="008738D6"/>
    <w:rPr>
      <w:rFonts w:eastAsia="Times New Roman"/>
    </w:rPr>
  </w:style>
  <w:style w:type="character" w:customStyle="1" w:styleId="RTFNum45">
    <w:name w:val="RTF_Num 4 5"/>
    <w:uiPriority w:val="99"/>
    <w:rsid w:val="008738D6"/>
    <w:rPr>
      <w:rFonts w:eastAsia="Times New Roman"/>
    </w:rPr>
  </w:style>
  <w:style w:type="character" w:customStyle="1" w:styleId="RTFNum46">
    <w:name w:val="RTF_Num 4 6"/>
    <w:uiPriority w:val="99"/>
    <w:rsid w:val="008738D6"/>
    <w:rPr>
      <w:rFonts w:eastAsia="Times New Roman"/>
    </w:rPr>
  </w:style>
  <w:style w:type="character" w:customStyle="1" w:styleId="RTFNum47">
    <w:name w:val="RTF_Num 4 7"/>
    <w:uiPriority w:val="99"/>
    <w:rsid w:val="008738D6"/>
    <w:rPr>
      <w:rFonts w:eastAsia="Times New Roman"/>
    </w:rPr>
  </w:style>
  <w:style w:type="character" w:customStyle="1" w:styleId="RTFNum48">
    <w:name w:val="RTF_Num 4 8"/>
    <w:uiPriority w:val="99"/>
    <w:rsid w:val="008738D6"/>
    <w:rPr>
      <w:rFonts w:eastAsia="Times New Roman"/>
    </w:rPr>
  </w:style>
  <w:style w:type="character" w:customStyle="1" w:styleId="RTFNum49">
    <w:name w:val="RTF_Num 4 9"/>
    <w:uiPriority w:val="99"/>
    <w:rsid w:val="008738D6"/>
    <w:rPr>
      <w:rFonts w:eastAsia="Times New Roman"/>
    </w:rPr>
  </w:style>
  <w:style w:type="character" w:customStyle="1" w:styleId="RTFNum51">
    <w:name w:val="RTF_Num 5 1"/>
    <w:uiPriority w:val="99"/>
    <w:rsid w:val="008738D6"/>
    <w:rPr>
      <w:rFonts w:ascii="Times New Roman" w:hAnsi="Times New Roman"/>
    </w:rPr>
  </w:style>
  <w:style w:type="character" w:customStyle="1" w:styleId="RTFNum52">
    <w:name w:val="RTF_Num 5 2"/>
    <w:uiPriority w:val="99"/>
    <w:rsid w:val="008738D6"/>
    <w:rPr>
      <w:rFonts w:ascii="Courier New" w:hAnsi="Courier New"/>
    </w:rPr>
  </w:style>
  <w:style w:type="character" w:customStyle="1" w:styleId="RTFNum53">
    <w:name w:val="RTF_Num 5 3"/>
    <w:uiPriority w:val="99"/>
    <w:rsid w:val="008738D6"/>
    <w:rPr>
      <w:rFonts w:ascii="Wingdings, Symbol" w:hAnsi="Wingdings, Symbol"/>
    </w:rPr>
  </w:style>
  <w:style w:type="character" w:customStyle="1" w:styleId="RTFNum54">
    <w:name w:val="RTF_Num 5 4"/>
    <w:uiPriority w:val="99"/>
    <w:rsid w:val="008738D6"/>
    <w:rPr>
      <w:rFonts w:ascii="Symbol, 'Times New Roman'" w:hAnsi="Symbol, 'Times New Roman'"/>
    </w:rPr>
  </w:style>
  <w:style w:type="character" w:customStyle="1" w:styleId="RTFNum55">
    <w:name w:val="RTF_Num 5 5"/>
    <w:uiPriority w:val="99"/>
    <w:rsid w:val="008738D6"/>
    <w:rPr>
      <w:rFonts w:ascii="Courier New" w:hAnsi="Courier New"/>
    </w:rPr>
  </w:style>
  <w:style w:type="character" w:customStyle="1" w:styleId="RTFNum56">
    <w:name w:val="RTF_Num 5 6"/>
    <w:uiPriority w:val="99"/>
    <w:rsid w:val="008738D6"/>
    <w:rPr>
      <w:rFonts w:ascii="Wingdings, Symbol" w:hAnsi="Wingdings, Symbol"/>
    </w:rPr>
  </w:style>
  <w:style w:type="character" w:customStyle="1" w:styleId="RTFNum57">
    <w:name w:val="RTF_Num 5 7"/>
    <w:uiPriority w:val="99"/>
    <w:rsid w:val="008738D6"/>
    <w:rPr>
      <w:rFonts w:ascii="Symbol, 'Times New Roman'" w:hAnsi="Symbol, 'Times New Roman'"/>
    </w:rPr>
  </w:style>
  <w:style w:type="character" w:customStyle="1" w:styleId="RTFNum58">
    <w:name w:val="RTF_Num 5 8"/>
    <w:uiPriority w:val="99"/>
    <w:rsid w:val="008738D6"/>
    <w:rPr>
      <w:rFonts w:ascii="Courier New" w:hAnsi="Courier New"/>
    </w:rPr>
  </w:style>
  <w:style w:type="character" w:customStyle="1" w:styleId="RTFNum59">
    <w:name w:val="RTF_Num 5 9"/>
    <w:uiPriority w:val="99"/>
    <w:rsid w:val="008738D6"/>
    <w:rPr>
      <w:rFonts w:ascii="Wingdings, Symbol" w:hAnsi="Wingdings, Symbol"/>
    </w:rPr>
  </w:style>
  <w:style w:type="paragraph" w:customStyle="1" w:styleId="Default">
    <w:name w:val="Default"/>
    <w:uiPriority w:val="99"/>
    <w:rsid w:val="009F6924"/>
    <w:pPr>
      <w:suppressAutoHyphens/>
      <w:autoSpaceDE w:val="0"/>
    </w:pPr>
    <w:rPr>
      <w:rFonts w:ascii="Liberation Serif" w:hAnsi="Liberation Serif" w:cs="Liberation Serif"/>
      <w:color w:val="000000"/>
      <w:kern w:val="1"/>
      <w:lang w:eastAsia="zh-CN" w:bidi="hi-IN"/>
    </w:rPr>
  </w:style>
  <w:style w:type="character" w:styleId="Hypertextovodkaz">
    <w:name w:val="Hyperlink"/>
    <w:basedOn w:val="Standardnpsmoodstavce"/>
    <w:uiPriority w:val="99"/>
    <w:locked/>
    <w:rsid w:val="001E6479"/>
    <w:rPr>
      <w:rFonts w:cs="Times New Roman"/>
      <w:color w:val="0000FF" w:themeColor="hyperlink"/>
      <w:u w:val="single"/>
    </w:rPr>
  </w:style>
  <w:style w:type="paragraph" w:styleId="Textbubliny">
    <w:name w:val="Balloon Text"/>
    <w:basedOn w:val="Normln"/>
    <w:link w:val="TextbublinyChar"/>
    <w:uiPriority w:val="99"/>
    <w:locked/>
    <w:rsid w:val="00013ABE"/>
    <w:rPr>
      <w:rFonts w:ascii="Segoe UI" w:hAnsi="Segoe UI" w:cs="Mangal"/>
      <w:sz w:val="18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locked/>
    <w:rsid w:val="00013ABE"/>
    <w:rPr>
      <w:rFonts w:ascii="Segoe UI" w:hAnsi="Segoe UI" w:cs="Mangal"/>
      <w:kern w:val="3"/>
      <w:sz w:val="16"/>
      <w:szCs w:val="16"/>
      <w:lang w:eastAsia="zh-CN" w:bidi="hi-IN"/>
    </w:rPr>
  </w:style>
  <w:style w:type="table" w:styleId="Mkatabulky">
    <w:name w:val="Table Grid"/>
    <w:basedOn w:val="Normlntabulka"/>
    <w:uiPriority w:val="59"/>
    <w:locked/>
    <w:rsid w:val="00D37E72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Zhlav">
    <w:name w:val="header"/>
    <w:basedOn w:val="Normln"/>
    <w:link w:val="ZhlavChar"/>
    <w:uiPriority w:val="99"/>
    <w:locked/>
    <w:rsid w:val="0045139F"/>
    <w:pPr>
      <w:tabs>
        <w:tab w:val="center" w:pos="4536"/>
        <w:tab w:val="right" w:pos="9072"/>
      </w:tabs>
    </w:pPr>
    <w:rPr>
      <w:rFonts w:cs="Mangal"/>
      <w:szCs w:val="21"/>
    </w:rPr>
  </w:style>
  <w:style w:type="character" w:customStyle="1" w:styleId="ZhlavChar">
    <w:name w:val="Záhlaví Char"/>
    <w:basedOn w:val="Standardnpsmoodstavce"/>
    <w:link w:val="Zhlav"/>
    <w:uiPriority w:val="99"/>
    <w:locked/>
    <w:rsid w:val="0045139F"/>
    <w:rPr>
      <w:rFonts w:cs="Mangal"/>
      <w:kern w:val="3"/>
      <w:sz w:val="21"/>
      <w:szCs w:val="21"/>
      <w:lang w:eastAsia="zh-CN" w:bidi="hi-IN"/>
    </w:rPr>
  </w:style>
  <w:style w:type="paragraph" w:styleId="Zpat">
    <w:name w:val="footer"/>
    <w:basedOn w:val="Normln"/>
    <w:link w:val="ZpatChar"/>
    <w:uiPriority w:val="99"/>
    <w:locked/>
    <w:rsid w:val="0045139F"/>
    <w:pPr>
      <w:tabs>
        <w:tab w:val="center" w:pos="4536"/>
        <w:tab w:val="right" w:pos="9072"/>
      </w:tabs>
    </w:pPr>
    <w:rPr>
      <w:rFonts w:cs="Mangal"/>
      <w:szCs w:val="21"/>
    </w:rPr>
  </w:style>
  <w:style w:type="character" w:customStyle="1" w:styleId="ZpatChar">
    <w:name w:val="Zápatí Char"/>
    <w:basedOn w:val="Standardnpsmoodstavce"/>
    <w:link w:val="Zpat"/>
    <w:uiPriority w:val="99"/>
    <w:locked/>
    <w:rsid w:val="0045139F"/>
    <w:rPr>
      <w:rFonts w:cs="Mangal"/>
      <w:kern w:val="3"/>
      <w:sz w:val="21"/>
      <w:szCs w:val="21"/>
      <w:lang w:eastAsia="zh-CN" w:bidi="hi-IN"/>
    </w:rPr>
  </w:style>
  <w:style w:type="paragraph" w:styleId="Odstavecseseznamem">
    <w:name w:val="List Paragraph"/>
    <w:basedOn w:val="Normln"/>
    <w:uiPriority w:val="34"/>
    <w:qFormat/>
    <w:rsid w:val="000F7591"/>
    <w:pPr>
      <w:ind w:left="720"/>
      <w:contextualSpacing/>
    </w:pPr>
    <w:rPr>
      <w:rFonts w:cs="Mangal"/>
      <w:szCs w:val="21"/>
    </w:rPr>
  </w:style>
  <w:style w:type="paragraph" w:styleId="Normlnweb">
    <w:name w:val="Normal (Web)"/>
    <w:basedOn w:val="Normln"/>
    <w:uiPriority w:val="99"/>
    <w:unhideWhenUsed/>
    <w:locked/>
    <w:rsid w:val="0024542C"/>
    <w:pPr>
      <w:widowControl/>
      <w:suppressAutoHyphens w:val="0"/>
      <w:autoSpaceDE/>
      <w:autoSpaceDN/>
      <w:spacing w:before="100" w:beforeAutospacing="1" w:after="100" w:afterAutospacing="1"/>
      <w:textAlignment w:val="auto"/>
    </w:pPr>
    <w:rPr>
      <w:kern w:val="0"/>
      <w:lang w:eastAsia="sk-SK" w:bidi="ar-SA"/>
    </w:rPr>
  </w:style>
  <w:style w:type="paragraph" w:styleId="Podtitul">
    <w:name w:val="Subtitle"/>
    <w:basedOn w:val="normal"/>
    <w:next w:val="normal"/>
    <w:rsid w:val="0003344A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2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1">
  <go:docsCustomData xmlns:go="http://customooxmlschemas.google.com/" roundtripDataSignature="AMtx7miOrhi1CFXIfeTklVBuW8g/FJJXXg==">AMUW2mVrn5Rm2s2wFrtLCKulvghQRck6Qjxaxr7InRIzMieB00fgR4ADIJnLxjz+ZbwG3DgXsBeOTpbRtnH7odlVaWS7kBHVp7ikxtkXozL3cZEgVYbu/GqwvNGyeYRu0b2isQ9P7tnT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</TotalTime>
  <Pages>2</Pages>
  <Words>572</Words>
  <Characters>3267</Characters>
  <Application>Microsoft Office Word</Application>
  <DocSecurity>0</DocSecurity>
  <Lines>27</Lines>
  <Paragraphs>7</Paragraphs>
  <ScaleCrop>false</ScaleCrop>
  <Company/>
  <LinksUpToDate>false</LinksUpToDate>
  <CharactersWithSpaces>3832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Bc. Ján Kecskés</dc:creator>
  <cp:lastModifiedBy>HP</cp:lastModifiedBy>
  <cp:revision>23</cp:revision>
  <dcterms:created xsi:type="dcterms:W3CDTF">2022-04-03T18:04:00Z</dcterms:created>
  <dcterms:modified xsi:type="dcterms:W3CDTF">2023-04-13T11:35:00Z</dcterms:modified>
</cp:coreProperties>
</file>