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2C81F" w14:textId="1296157F" w:rsidR="0029535F" w:rsidRDefault="0029535F" w:rsidP="0029535F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535F">
        <w:rPr>
          <w:rFonts w:ascii="Times New Roman" w:hAnsi="Times New Roman" w:cs="Times New Roman"/>
          <w:b/>
          <w:bCs/>
        </w:rPr>
        <w:t>VŠEOBECNÁ ČASŤ:</w:t>
      </w:r>
    </w:p>
    <w:p w14:paraId="22C36DB3" w14:textId="2432C6CC" w:rsidR="0029535F" w:rsidRDefault="0029535F" w:rsidP="0029535F">
      <w:pPr>
        <w:jc w:val="both"/>
        <w:rPr>
          <w:rFonts w:ascii="Times New Roman" w:hAnsi="Times New Roman" w:cs="Times New Roman"/>
          <w:b/>
          <w:bCs/>
        </w:rPr>
      </w:pPr>
    </w:p>
    <w:p w14:paraId="76C245C4" w14:textId="77777777" w:rsidR="0068519F" w:rsidRDefault="0068519F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>P</w:t>
      </w:r>
      <w:r w:rsidRPr="0068519F">
        <w:rPr>
          <w:rFonts w:ascii="Times New Roman" w:hAnsi="Times New Roman" w:cs="Times New Roman"/>
          <w:color w:val="231F20"/>
          <w:shd w:val="clear" w:color="auto" w:fill="FFFFFF"/>
        </w:rPr>
        <w:t xml:space="preserve">oslanci Národnej rady Slovenskej republiky Mária Šofranko, Jana Majorová Garstková a Peter Vons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predkladajú </w:t>
      </w:r>
      <w:r w:rsidRPr="0068519F">
        <w:rPr>
          <w:rFonts w:ascii="Times New Roman" w:hAnsi="Times New Roman" w:cs="Times New Roman"/>
          <w:color w:val="231F20"/>
          <w:shd w:val="clear" w:color="auto" w:fill="FFFFFF"/>
        </w:rPr>
        <w:t>do legislatívneho procesu návrh na vydanie zákona o meste Vysoké Tatry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(ďalej len „návrh zákona“).</w:t>
      </w:r>
      <w:r w:rsidRPr="0068519F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14:paraId="694AE094" w14:textId="77777777" w:rsidR="0068519F" w:rsidRDefault="0068519F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45A1E070" w14:textId="15FB6B2A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Slovenská národná rada svojim nariadením zo dňa 15. marca 1947 č.52 vytvorila samostatnú obec a okres Vysoké Tatry. Nosnou myšlienkou tohto rozhodnutia bolo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„zjednotením tatranského územia do jedného správneho celku vytvoriť základný predpoklad pre plný rozvoj Vysokých Tatier ako jedinečného </w:t>
      </w:r>
      <w:proofErr w:type="spellStart"/>
      <w:r w:rsidRPr="00DD26D4">
        <w:rPr>
          <w:rFonts w:ascii="Times New Roman" w:hAnsi="Times New Roman" w:cs="Times New Roman"/>
          <w:color w:val="231F20"/>
          <w:shd w:val="clear" w:color="auto" w:fill="FFFFFF"/>
        </w:rPr>
        <w:t>veľhorského</w:t>
      </w:r>
      <w:proofErr w:type="spellEnd"/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liečebného a klimatického strediska nášho štátu“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 xml:space="preserve"> - 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píše sa v prvom rozvojom dokumente spracovanom Miestnou správnou komisiou po osamostatnení obce. </w:t>
      </w:r>
    </w:p>
    <w:p w14:paraId="6E2C084B" w14:textId="7777777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2A471CC2" w14:textId="3B4DE1FF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Zbor povereníkov prijal v roku 1948 uznesenie o zaistení rozvoja Vysokých Tatier, v ktorom sa píše:“ Zbor povereníkov vyhovujúc petícii Miestnej správnej komisie obce Vysoké Tatry, adresovanej Zboru povereníkov jej uznesením zo dňa 26.augusta 1948 a osvojujúc si v petícii obsiahnuté dôvody vyslovuje, že zaistenie plného rozvoja Vysokých Tatier je prvoradým záujmom Slovenska i celej ľudovodemokratickej Československej republiky“. Následne vytýčil hlavné zásady rozvoja Vysokých Tatier.</w:t>
      </w:r>
    </w:p>
    <w:p w14:paraId="05270D88" w14:textId="7777777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463EBFB8" w14:textId="7BB6BC60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Od svojho vzniku až po súčasnosť boli a sú Vysoké Tatry vysokohorským klimatickým a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 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liečebným strediskom európskeho významu. Sú symbolom Slovenska a preto si  vyžadujú aj osobitný prístup zo strany parlamentu a vlády. Taký prístup, aby bol zabezpečený trvalo udržateľný rozvoj územia a konkurencieschopnosť s obdobnými liečebnými a turistickými strediskami v Európe. </w:t>
      </w:r>
    </w:p>
    <w:p w14:paraId="704DE137" w14:textId="7777777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76C5DFFB" w14:textId="5A30CF1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Vysoké Tatry sú z pohľadu cestovného ruchu najstaršou a najvýznamnejšou turistickou destináciou na Slovensku s každoročnou návštevnosťou dva a pol milióna návštevníkov. Trvale udržateľný rozvoj cestovného ruchu a turistiky vo Vysokých Tatrách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,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spolu s uchovaním krás tatranskej prírody pre budúce generácie je v súčasnosti najaktuálnejšou úlohou tatranskej samosprávy. Súčasťou mesta Vysoké Tatry je najstarší, najväčší a najkrajší národný park na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 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Slovensku, pričom samotné pohorie Vysoké Tatry je už stáročia národným symbolom slovenského národa, z ktorého sa vždy čerpala sila, viera a nádej v lepší a šťastnejší život. Špecifickosť územia bola medzinárodne uznaná prijatím Biosférickej rezervácie Tatry, v rámci Programu UNESCO Človek a biosféra.       </w:t>
      </w:r>
    </w:p>
    <w:p w14:paraId="202E9AB2" w14:textId="7777777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36F1518B" w14:textId="2C8A791D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Naplneniu tohto cieľa pomôže prijatie zákona o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 xml:space="preserve"> meste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Vysok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é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Tatr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y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>, ktorý upravuje najmä vzťah štátu k mestu Vysoké Tatry, ktorého samospráva prevzala po decentralizácii kompetencií a financií veľkú časť zodpovednosti za rozvoj územia. Sama však vzhľadom na charakter územia a rôzne vplyvy a záujmy v území nemôže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,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v rámci súčasného systému organizácie a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 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>financovania, v plnom rozsahu zabezpečiť všetky úlohy k spokojnosti obyvateľov a hostí - návštevníkov.</w:t>
      </w:r>
    </w:p>
    <w:p w14:paraId="62D201C8" w14:textId="77777777" w:rsidR="00DD26D4" w:rsidRPr="00DD26D4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44ECFC8F" w14:textId="28FE4625" w:rsidR="00EA37AE" w:rsidRDefault="00DD26D4" w:rsidP="00DD26D4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DD26D4">
        <w:rPr>
          <w:rFonts w:ascii="Times New Roman" w:hAnsi="Times New Roman" w:cs="Times New Roman"/>
          <w:color w:val="231F20"/>
          <w:shd w:val="clear" w:color="auto" w:fill="FFFFFF"/>
        </w:rPr>
        <w:t>Lesné pozemky na území mesta Vysoké Tatry sú v zmysle platného zákona lesmi osobitného určenia a teda nepodliehajú dani z nehnuteľností. Ich plocha predstavuje cca 341 mil. m</w:t>
      </w:r>
      <w:r w:rsidRPr="00FD23F3">
        <w:rPr>
          <w:rFonts w:ascii="Times New Roman" w:hAnsi="Times New Roman" w:cs="Times New Roman"/>
          <w:color w:val="231F20"/>
          <w:shd w:val="clear" w:color="auto" w:fill="FFFFFF"/>
          <w:vertAlign w:val="superscript"/>
        </w:rPr>
        <w:t>2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>. V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 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zmysle platného 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všeobecne záväzného nariadenia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mesta Vysoké Tatry by daň z</w:t>
      </w:r>
      <w:r w:rsidR="00FD23F3">
        <w:rPr>
          <w:rFonts w:ascii="Times New Roman" w:hAnsi="Times New Roman" w:cs="Times New Roman"/>
          <w:color w:val="231F20"/>
          <w:shd w:val="clear" w:color="auto" w:fill="FFFFFF"/>
        </w:rPr>
        <w:t> 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>nehnuteľností za tieto pozemky predstavovala 849 514 €.</w:t>
      </w:r>
      <w:r w:rsidR="00C83823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>Mesto Vysoké Tatry vzhľadom k tomu, že sa nachádza na území TANAP-u</w:t>
      </w:r>
      <w:r w:rsidR="00C83823">
        <w:rPr>
          <w:rFonts w:ascii="Times New Roman" w:hAnsi="Times New Roman" w:cs="Times New Roman"/>
          <w:color w:val="231F20"/>
          <w:shd w:val="clear" w:color="auto" w:fill="FFFFFF"/>
        </w:rPr>
        <w:t xml:space="preserve"> teda</w:t>
      </w:r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 prichádza ročne o cca </w:t>
      </w:r>
      <w:bookmarkStart w:id="0" w:name="_Hlk132355912"/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850 000 </w:t>
      </w:r>
      <w:bookmarkEnd w:id="0"/>
      <w:r w:rsidRPr="00DD26D4">
        <w:rPr>
          <w:rFonts w:ascii="Times New Roman" w:hAnsi="Times New Roman" w:cs="Times New Roman"/>
          <w:color w:val="231F20"/>
          <w:shd w:val="clear" w:color="auto" w:fill="FFFFFF"/>
        </w:rPr>
        <w:t xml:space="preserve">€ v príjmovej časti rozpočtu.    </w:t>
      </w:r>
    </w:p>
    <w:p w14:paraId="2654F1E6" w14:textId="77777777" w:rsidR="00EA37AE" w:rsidRDefault="00EA37AE" w:rsidP="00EA37AE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74B1BC83" w14:textId="28E74AD5" w:rsidR="00EA37AE" w:rsidRDefault="00EA37AE" w:rsidP="00EA37AE">
      <w:pPr>
        <w:jc w:val="both"/>
        <w:rPr>
          <w:rFonts w:ascii="Times New Roman" w:hAnsi="Times New Roman" w:cs="Times New Roman"/>
          <w:color w:val="000000" w:themeColor="text1"/>
        </w:rPr>
      </w:pPr>
      <w:r w:rsidRPr="00FD23F3">
        <w:rPr>
          <w:rFonts w:ascii="Times New Roman" w:hAnsi="Times New Roman" w:cs="Times New Roman"/>
          <w:color w:val="000000" w:themeColor="text1"/>
        </w:rPr>
        <w:lastRenderedPageBreak/>
        <w:t>Návrh zákona má negatívny vplyv na rozpočet verejnej správy</w:t>
      </w:r>
      <w:r w:rsidR="00C83823">
        <w:rPr>
          <w:rFonts w:ascii="Times New Roman" w:hAnsi="Times New Roman" w:cs="Times New Roman"/>
          <w:color w:val="000000" w:themeColor="text1"/>
        </w:rPr>
        <w:t xml:space="preserve"> a má pozitívny vplyv na </w:t>
      </w:r>
      <w:r w:rsidR="00C83823" w:rsidRPr="00FD23F3">
        <w:rPr>
          <w:rFonts w:ascii="Times New Roman" w:hAnsi="Times New Roman" w:cs="Times New Roman"/>
          <w:color w:val="000000" w:themeColor="text1"/>
        </w:rPr>
        <w:t>podnikateľské prostredie, na životné prostredie</w:t>
      </w:r>
      <w:r w:rsidR="00C83823">
        <w:rPr>
          <w:rFonts w:ascii="Times New Roman" w:hAnsi="Times New Roman" w:cs="Times New Roman"/>
          <w:color w:val="000000" w:themeColor="text1"/>
        </w:rPr>
        <w:t xml:space="preserve"> a </w:t>
      </w:r>
      <w:r w:rsidR="00C83823" w:rsidRPr="00FD23F3">
        <w:rPr>
          <w:rFonts w:ascii="Times New Roman" w:hAnsi="Times New Roman" w:cs="Times New Roman"/>
          <w:color w:val="000000" w:themeColor="text1"/>
        </w:rPr>
        <w:t>na služby verejnej správy pre občana.</w:t>
      </w:r>
      <w:r w:rsidR="00C83823">
        <w:rPr>
          <w:rFonts w:ascii="Times New Roman" w:hAnsi="Times New Roman" w:cs="Times New Roman"/>
          <w:color w:val="000000" w:themeColor="text1"/>
        </w:rPr>
        <w:t xml:space="preserve"> </w:t>
      </w:r>
      <w:r w:rsidR="00C83823" w:rsidRPr="00FD23F3">
        <w:rPr>
          <w:rFonts w:ascii="Times New Roman" w:hAnsi="Times New Roman" w:cs="Times New Roman"/>
          <w:color w:val="000000" w:themeColor="text1"/>
        </w:rPr>
        <w:t xml:space="preserve">Návrh zákona </w:t>
      </w:r>
      <w:r w:rsidRPr="00FD23F3">
        <w:rPr>
          <w:rFonts w:ascii="Times New Roman" w:hAnsi="Times New Roman" w:cs="Times New Roman"/>
          <w:color w:val="000000" w:themeColor="text1"/>
        </w:rPr>
        <w:t>nemá žiadne sociálne vplyvy, vplyvy na informatizáciu spoločnosti</w:t>
      </w:r>
      <w:r w:rsidR="00C83823">
        <w:rPr>
          <w:rFonts w:ascii="Times New Roman" w:hAnsi="Times New Roman" w:cs="Times New Roman"/>
          <w:color w:val="000000" w:themeColor="text1"/>
        </w:rPr>
        <w:t xml:space="preserve"> a</w:t>
      </w:r>
      <w:r w:rsidRPr="00FD23F3">
        <w:rPr>
          <w:rFonts w:ascii="Times New Roman" w:hAnsi="Times New Roman" w:cs="Times New Roman"/>
          <w:color w:val="000000" w:themeColor="text1"/>
        </w:rPr>
        <w:t xml:space="preserve"> vplyvy na manželstvo, rodičovstvo a</w:t>
      </w:r>
      <w:r w:rsidR="00C83823">
        <w:rPr>
          <w:rFonts w:ascii="Times New Roman" w:hAnsi="Times New Roman" w:cs="Times New Roman"/>
          <w:color w:val="000000" w:themeColor="text1"/>
        </w:rPr>
        <w:t> </w:t>
      </w:r>
      <w:r w:rsidRPr="00FD23F3">
        <w:rPr>
          <w:rFonts w:ascii="Times New Roman" w:hAnsi="Times New Roman" w:cs="Times New Roman"/>
          <w:color w:val="000000" w:themeColor="text1"/>
        </w:rPr>
        <w:t>rodinu</w:t>
      </w:r>
      <w:r w:rsidR="00C83823">
        <w:rPr>
          <w:rFonts w:ascii="Times New Roman" w:hAnsi="Times New Roman" w:cs="Times New Roman"/>
          <w:color w:val="000000" w:themeColor="text1"/>
        </w:rPr>
        <w:t>.</w:t>
      </w:r>
    </w:p>
    <w:p w14:paraId="7AC0157E" w14:textId="36057484" w:rsidR="00DD26D4" w:rsidRDefault="00DD26D4" w:rsidP="00EA37A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06F560D" w14:textId="065FBAA3" w:rsidR="00EA37AE" w:rsidRDefault="00EA37AE" w:rsidP="0029535F">
      <w:pPr>
        <w:jc w:val="both"/>
        <w:rPr>
          <w:rFonts w:ascii="Times New Roman" w:hAnsi="Times New Roman" w:cs="Times New Roman"/>
          <w:color w:val="000000" w:themeColor="text1"/>
        </w:rPr>
      </w:pPr>
      <w:r w:rsidRPr="00D36DE8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</w:t>
      </w:r>
      <w:r w:rsidR="00FD23F3">
        <w:rPr>
          <w:rFonts w:ascii="Times New Roman" w:hAnsi="Times New Roman" w:cs="Times New Roman"/>
          <w:color w:val="000000" w:themeColor="text1"/>
        </w:rPr>
        <w:t> </w:t>
      </w:r>
      <w:r w:rsidRPr="00D36DE8">
        <w:rPr>
          <w:rFonts w:ascii="Times New Roman" w:hAnsi="Times New Roman" w:cs="Times New Roman"/>
          <w:color w:val="000000" w:themeColor="text1"/>
        </w:rPr>
        <w:t>inými medzinárodnými dokumentmi, ktorými je Slovenská republika viazaná, ako aj s právom Európskej únie.</w:t>
      </w:r>
    </w:p>
    <w:p w14:paraId="79AD32F4" w14:textId="072B05E1" w:rsidR="00EA37AE" w:rsidRDefault="00EA37AE" w:rsidP="0029535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5D5915" w14:textId="77777777" w:rsidR="00DD26D4" w:rsidRDefault="00DD26D4" w:rsidP="0029535F">
      <w:pPr>
        <w:jc w:val="both"/>
        <w:rPr>
          <w:rFonts w:ascii="Times New Roman" w:hAnsi="Times New Roman" w:cs="Times New Roman"/>
          <w:color w:val="000000" w:themeColor="text1"/>
        </w:rPr>
        <w:sectPr w:rsidR="00DD26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0229AF" w14:textId="6D7ED0FD" w:rsidR="00B50315" w:rsidRPr="0029535F" w:rsidRDefault="0029535F" w:rsidP="0029535F">
      <w:pPr>
        <w:jc w:val="both"/>
        <w:rPr>
          <w:rFonts w:ascii="Times New Roman" w:hAnsi="Times New Roman" w:cs="Times New Roman"/>
          <w:b/>
          <w:bCs/>
        </w:rPr>
      </w:pPr>
      <w:r w:rsidRPr="0029535F">
        <w:rPr>
          <w:rFonts w:ascii="Times New Roman" w:hAnsi="Times New Roman" w:cs="Times New Roman"/>
          <w:b/>
          <w:bCs/>
        </w:rPr>
        <w:lastRenderedPageBreak/>
        <w:t>B. OSOBITNÁ ČASŤ:</w:t>
      </w:r>
    </w:p>
    <w:p w14:paraId="20A9B7B2" w14:textId="77777777" w:rsidR="00B50315" w:rsidRPr="0029535F" w:rsidRDefault="00B50315" w:rsidP="0029535F">
      <w:pPr>
        <w:jc w:val="both"/>
        <w:rPr>
          <w:rFonts w:ascii="Times New Roman" w:hAnsi="Times New Roman" w:cs="Times New Roman"/>
        </w:rPr>
      </w:pPr>
    </w:p>
    <w:p w14:paraId="4E9C3BFA" w14:textId="77777777" w:rsidR="00B50315" w:rsidRPr="0029535F" w:rsidRDefault="00B50315" w:rsidP="0029535F">
      <w:pPr>
        <w:jc w:val="both"/>
        <w:rPr>
          <w:rFonts w:ascii="Times New Roman" w:hAnsi="Times New Roman" w:cs="Times New Roman"/>
        </w:rPr>
      </w:pPr>
    </w:p>
    <w:p w14:paraId="37ADC8D2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1</w:t>
      </w:r>
    </w:p>
    <w:p w14:paraId="20FDF868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4A2F78A2" w14:textId="40444C91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Deklaratórnymi ustanoveniami sa odlišuje postavenie a charakter mesta Vysoké Tatry a tým sa odôvodňuje potreba osobitnej právnej úpravy v rámci existujúcich predpisov upravujúcich územnú samosprávu v Slovenskej republike. Zdôrazňuje sa osobitný symbolický význam okolia, do ktorého je mesto Vysoké Tatry zasadené a tiež fakt, že celé jeho územie je pod osobitnou ochranou podľa zákona č. 543/2002 Z. z. o ochrane prírody a</w:t>
      </w:r>
      <w:r w:rsidR="00FD23F3">
        <w:rPr>
          <w:rFonts w:ascii="Times New Roman" w:hAnsi="Times New Roman" w:cs="Times New Roman"/>
        </w:rPr>
        <w:t> </w:t>
      </w:r>
      <w:r w:rsidRPr="00DD26D4">
        <w:rPr>
          <w:rFonts w:ascii="Times New Roman" w:hAnsi="Times New Roman" w:cs="Times New Roman"/>
        </w:rPr>
        <w:t>krajiny</w:t>
      </w:r>
      <w:r w:rsidR="00FD23F3">
        <w:rPr>
          <w:rFonts w:ascii="Times New Roman" w:hAnsi="Times New Roman" w:cs="Times New Roman"/>
        </w:rPr>
        <w:t xml:space="preserve"> v znení neskorších právnych predpisov</w:t>
      </w:r>
      <w:r w:rsidRPr="00DD26D4">
        <w:rPr>
          <w:rFonts w:ascii="Times New Roman" w:hAnsi="Times New Roman" w:cs="Times New Roman"/>
        </w:rPr>
        <w:t>. T</w:t>
      </w:r>
      <w:r w:rsidR="00FD23F3">
        <w:rPr>
          <w:rFonts w:ascii="Times New Roman" w:hAnsi="Times New Roman" w:cs="Times New Roman"/>
        </w:rPr>
        <w:t>akt</w:t>
      </w:r>
      <w:r w:rsidRPr="00DD26D4">
        <w:rPr>
          <w:rFonts w:ascii="Times New Roman" w:hAnsi="Times New Roman" w:cs="Times New Roman"/>
        </w:rPr>
        <w:t xml:space="preserve">iež </w:t>
      </w:r>
      <w:r w:rsidR="00FD23F3">
        <w:rPr>
          <w:rFonts w:ascii="Times New Roman" w:hAnsi="Times New Roman" w:cs="Times New Roman"/>
        </w:rPr>
        <w:t>sa</w:t>
      </w:r>
      <w:r w:rsidRPr="00DD26D4">
        <w:rPr>
          <w:rFonts w:ascii="Times New Roman" w:hAnsi="Times New Roman" w:cs="Times New Roman"/>
        </w:rPr>
        <w:t xml:space="preserve"> </w:t>
      </w:r>
      <w:r w:rsidR="00FD23F3">
        <w:rPr>
          <w:rFonts w:ascii="Times New Roman" w:hAnsi="Times New Roman" w:cs="Times New Roman"/>
        </w:rPr>
        <w:t xml:space="preserve">vymedzuje aj </w:t>
      </w:r>
      <w:r w:rsidRPr="00DD26D4">
        <w:rPr>
          <w:rFonts w:ascii="Times New Roman" w:hAnsi="Times New Roman" w:cs="Times New Roman"/>
        </w:rPr>
        <w:t>účel tohto zákona.</w:t>
      </w:r>
    </w:p>
    <w:p w14:paraId="1A33CA4D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4FE4B195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2</w:t>
      </w:r>
    </w:p>
    <w:p w14:paraId="137D7128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702301EA" w14:textId="2D2AB7B9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Vymedzuje sa územie mesta. Územie mesta je tvorené katastrálnymi územiami Štrbské Pleso, Starý Smokovec a Tatranská Lomnica. Zároveň návrh v odseku 2 taxatívne vypočítava aj 15 častí mesta, ktoré patria pod mesto Vysoké Tatry. Osobitne sa zdôrazňuje, že nejde o mestské časti s vlastnou územnou samosprávou, ako je to pri hlavnom meste SR Bratislave alebo pri meste Košice.</w:t>
      </w:r>
      <w:r w:rsidR="00FD23F3">
        <w:rPr>
          <w:rFonts w:ascii="Times New Roman" w:hAnsi="Times New Roman" w:cs="Times New Roman"/>
        </w:rPr>
        <w:t xml:space="preserve"> </w:t>
      </w:r>
      <w:r w:rsidRPr="00DD26D4">
        <w:rPr>
          <w:rFonts w:ascii="Times New Roman" w:hAnsi="Times New Roman" w:cs="Times New Roman"/>
        </w:rPr>
        <w:t>Ďalšie delenie územia mesta sa pripúšťa len spôsobom, ktorý je ustanovený v ustanovení § 2 ods. 3 zákona č. 369/1990 Zb. o obecnom zriadení v znení neskorších predpisov. Inak je územie mesta nedeliteľné.</w:t>
      </w:r>
    </w:p>
    <w:p w14:paraId="0A0D57E3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3CF145E7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3</w:t>
      </w:r>
    </w:p>
    <w:p w14:paraId="0F138FBB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7C7DA01E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 xml:space="preserve">Osobitne sa ustanovuje spolupráca s inými subjektmi územnej samosprávy, teda s inými obcami alebo so samosprávnymi krajmi. Napriek tomu, že sa deklaruje osobitné postavenie mesta, spolupráca s inými subjektmi územnej samosprávy sa riadi osobitnými predpismi platnými na území Slovenskej republiky. </w:t>
      </w:r>
    </w:p>
    <w:p w14:paraId="7A749F06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67059A65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4</w:t>
      </w:r>
    </w:p>
    <w:p w14:paraId="5D010036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73DD358A" w14:textId="77777777" w:rsidR="00C459D9" w:rsidRDefault="00DD26D4" w:rsidP="00C459D9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V ustanovení § 4 je zdôraznené osobitné postavenie mesta Vysoké Tatry v praktickej rovine, vo vzťahu štátu k mestu. Stanovuje sa povinnosť štátu poskytnúť mestu každoročne dotáciu zo štátneho rozpočtu v definovanej výške na určené účely. Toto ustanovenie je odôvodnené aj osobitným charakterom mesta Vysoké Tatry</w:t>
      </w:r>
      <w:r w:rsidR="00FD23F3">
        <w:rPr>
          <w:rFonts w:ascii="Times New Roman" w:hAnsi="Times New Roman" w:cs="Times New Roman"/>
        </w:rPr>
        <w:t xml:space="preserve"> -</w:t>
      </w:r>
      <w:r w:rsidRPr="00DD26D4">
        <w:rPr>
          <w:rFonts w:ascii="Times New Roman" w:hAnsi="Times New Roman" w:cs="Times New Roman"/>
        </w:rPr>
        <w:t xml:space="preserve"> mesta s malým počtom obyvateľov, veľkou rozlohou a osobitnými podmienkami ochrany.</w:t>
      </w:r>
      <w:r w:rsidR="00C83823">
        <w:rPr>
          <w:rFonts w:ascii="Times New Roman" w:hAnsi="Times New Roman" w:cs="Times New Roman"/>
        </w:rPr>
        <w:t xml:space="preserve"> Maximálna výška dotácie (</w:t>
      </w:r>
      <w:bookmarkStart w:id="1" w:name="_Hlk132356021"/>
      <w:r w:rsidR="007A572B" w:rsidRPr="007A572B">
        <w:rPr>
          <w:rFonts w:ascii="Times New Roman" w:hAnsi="Times New Roman" w:cs="Times New Roman"/>
        </w:rPr>
        <w:t xml:space="preserve">850 000 </w:t>
      </w:r>
      <w:bookmarkEnd w:id="1"/>
      <w:r w:rsidR="00C83823" w:rsidRPr="00C83823">
        <w:rPr>
          <w:rFonts w:ascii="Times New Roman" w:hAnsi="Times New Roman" w:cs="Times New Roman"/>
        </w:rPr>
        <w:t>eur</w:t>
      </w:r>
      <w:r w:rsidR="00C83823">
        <w:rPr>
          <w:rFonts w:ascii="Times New Roman" w:hAnsi="Times New Roman" w:cs="Times New Roman"/>
        </w:rPr>
        <w:t>)</w:t>
      </w:r>
      <w:r w:rsidR="00C83823" w:rsidRPr="00C83823">
        <w:rPr>
          <w:rFonts w:ascii="Times New Roman" w:hAnsi="Times New Roman" w:cs="Times New Roman"/>
        </w:rPr>
        <w:t xml:space="preserve"> predstavuje sum</w:t>
      </w:r>
      <w:r w:rsidR="007A572B">
        <w:rPr>
          <w:rFonts w:ascii="Times New Roman" w:hAnsi="Times New Roman" w:cs="Times New Roman"/>
        </w:rPr>
        <w:t>u</w:t>
      </w:r>
      <w:r w:rsidR="00C83823" w:rsidRPr="00C83823">
        <w:rPr>
          <w:rFonts w:ascii="Times New Roman" w:hAnsi="Times New Roman" w:cs="Times New Roman"/>
        </w:rPr>
        <w:t>, o ktorú Mesto Vysoké Tatry prichádza ročne v príjmovej časti rozpočtu vzhľadom k tomu, že sa nachádza na území TANAP-u a lesné pozemky na území mesta Vysoké Tatry sú v zmysle platného zákona lesmi osobitného určenia a teda nepodliehajú dani z nehnuteľností.</w:t>
      </w:r>
      <w:r w:rsidR="00BE63B6">
        <w:rPr>
          <w:rFonts w:ascii="Times New Roman" w:hAnsi="Times New Roman" w:cs="Times New Roman"/>
        </w:rPr>
        <w:t xml:space="preserve"> </w:t>
      </w:r>
    </w:p>
    <w:p w14:paraId="45EBD6C0" w14:textId="77777777" w:rsidR="00C459D9" w:rsidRDefault="00C459D9" w:rsidP="00C459D9">
      <w:pPr>
        <w:jc w:val="both"/>
        <w:rPr>
          <w:rFonts w:ascii="Times New Roman" w:hAnsi="Times New Roman" w:cs="Times New Roman"/>
        </w:rPr>
      </w:pPr>
    </w:p>
    <w:p w14:paraId="00755503" w14:textId="50533342" w:rsidR="00C459D9" w:rsidRPr="00C459D9" w:rsidRDefault="00BE63B6" w:rsidP="00C459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Predmetné ustanovenie zároveň upravuje procesný postup žiadosti o</w:t>
      </w:r>
      <w:r w:rsidR="00C459D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dotáciu</w:t>
      </w:r>
      <w:r w:rsidR="00C459D9">
        <w:rPr>
          <w:rFonts w:ascii="Times New Roman" w:hAnsi="Times New Roman" w:cs="Times New Roman"/>
        </w:rPr>
        <w:t xml:space="preserve"> – mesto podáva žiadosť o dotáciu </w:t>
      </w:r>
      <w:r w:rsidR="00C459D9" w:rsidRPr="00C459D9">
        <w:rPr>
          <w:rFonts w:ascii="Times New Roman" w:hAnsi="Times New Roman" w:cs="Times New Roman"/>
        </w:rPr>
        <w:t>Ministerstv</w:t>
      </w:r>
      <w:r w:rsidR="00C459D9">
        <w:rPr>
          <w:rFonts w:ascii="Times New Roman" w:hAnsi="Times New Roman" w:cs="Times New Roman"/>
        </w:rPr>
        <w:t>u</w:t>
      </w:r>
      <w:r w:rsidR="00C459D9" w:rsidRPr="00C459D9">
        <w:rPr>
          <w:rFonts w:ascii="Times New Roman" w:hAnsi="Times New Roman" w:cs="Times New Roman"/>
        </w:rPr>
        <w:t xml:space="preserve"> financií Slovenskej  republiky</w:t>
      </w:r>
      <w:r w:rsidR="00C459D9">
        <w:rPr>
          <w:rFonts w:ascii="Times New Roman" w:hAnsi="Times New Roman" w:cs="Times New Roman"/>
        </w:rPr>
        <w:t xml:space="preserve">, a to </w:t>
      </w:r>
      <w:r w:rsidR="00C459D9" w:rsidRPr="00C459D9">
        <w:rPr>
          <w:rFonts w:ascii="Times New Roman" w:hAnsi="Times New Roman" w:cs="Times New Roman"/>
        </w:rPr>
        <w:t>najneskôr do 31. januára kalendárneho roka, na ktorý má byť dotácia poskytnutá. V</w:t>
      </w:r>
      <w:r w:rsidR="00C459D9">
        <w:rPr>
          <w:rFonts w:ascii="Times New Roman" w:hAnsi="Times New Roman" w:cs="Times New Roman"/>
        </w:rPr>
        <w:t xml:space="preserve"> predmetnej </w:t>
      </w:r>
      <w:r w:rsidR="00C459D9" w:rsidRPr="00C459D9">
        <w:rPr>
          <w:rFonts w:ascii="Times New Roman" w:hAnsi="Times New Roman" w:cs="Times New Roman"/>
        </w:rPr>
        <w:t>žiadosti sa uvedie</w:t>
      </w:r>
      <w:r w:rsidR="00C459D9">
        <w:rPr>
          <w:rFonts w:ascii="Times New Roman" w:hAnsi="Times New Roman" w:cs="Times New Roman"/>
        </w:rPr>
        <w:t xml:space="preserve"> samotná</w:t>
      </w:r>
      <w:r w:rsidR="00C459D9" w:rsidRPr="00C459D9">
        <w:rPr>
          <w:rFonts w:ascii="Times New Roman" w:hAnsi="Times New Roman" w:cs="Times New Roman"/>
        </w:rPr>
        <w:t xml:space="preserve"> výška sumy, ktorú mesto požaduje</w:t>
      </w:r>
      <w:r w:rsidR="00C459D9">
        <w:rPr>
          <w:rFonts w:ascii="Times New Roman" w:hAnsi="Times New Roman" w:cs="Times New Roman"/>
        </w:rPr>
        <w:t xml:space="preserve"> (pričom táto výška nesmie presiahnuť zákonný limit). Ako kontrolný mechanizmus sa do zákona inkorporovala aj povinnosť mesta predkladať správu </w:t>
      </w:r>
      <w:r w:rsidR="00C459D9" w:rsidRPr="00C459D9">
        <w:rPr>
          <w:rFonts w:ascii="Times New Roman" w:hAnsi="Times New Roman" w:cs="Times New Roman"/>
        </w:rPr>
        <w:t>o hospodárení s</w:t>
      </w:r>
      <w:r w:rsidR="00C459D9">
        <w:rPr>
          <w:rFonts w:ascii="Times New Roman" w:hAnsi="Times New Roman" w:cs="Times New Roman"/>
        </w:rPr>
        <w:t> </w:t>
      </w:r>
      <w:r w:rsidR="00C459D9" w:rsidRPr="00C459D9">
        <w:rPr>
          <w:rFonts w:ascii="Times New Roman" w:hAnsi="Times New Roman" w:cs="Times New Roman"/>
        </w:rPr>
        <w:t>dotáciou</w:t>
      </w:r>
      <w:r w:rsidR="00C459D9">
        <w:rPr>
          <w:rFonts w:ascii="Times New Roman" w:hAnsi="Times New Roman" w:cs="Times New Roman"/>
        </w:rPr>
        <w:t>, ako aj oprávnenie štátu štandardnými postupmi kontrolovať hospodárenie s tou dotáciou.</w:t>
      </w:r>
    </w:p>
    <w:p w14:paraId="43FCF6E0" w14:textId="354DC1A6" w:rsidR="00C459D9" w:rsidRDefault="00C459D9" w:rsidP="00DD26D4">
      <w:pPr>
        <w:jc w:val="both"/>
        <w:rPr>
          <w:rFonts w:ascii="Times New Roman" w:hAnsi="Times New Roman" w:cs="Times New Roman"/>
        </w:rPr>
      </w:pPr>
    </w:p>
    <w:p w14:paraId="1BD787AF" w14:textId="77777777" w:rsidR="00C459D9" w:rsidRPr="00DD26D4" w:rsidRDefault="00C459D9" w:rsidP="00DD26D4">
      <w:pPr>
        <w:jc w:val="both"/>
        <w:rPr>
          <w:rFonts w:ascii="Times New Roman" w:hAnsi="Times New Roman" w:cs="Times New Roman"/>
        </w:rPr>
      </w:pPr>
    </w:p>
    <w:p w14:paraId="5F564ECF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0313206B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5</w:t>
      </w:r>
    </w:p>
    <w:p w14:paraId="0FCF603F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21AC0D49" w14:textId="70368DCE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Záverečné ustanovenia sa príkladmo odvolávajú na osobitné predpisy, ktoré upravujú chod a</w:t>
      </w:r>
      <w:r w:rsidR="00FD23F3">
        <w:rPr>
          <w:rFonts w:ascii="Times New Roman" w:hAnsi="Times New Roman" w:cs="Times New Roman"/>
        </w:rPr>
        <w:t> </w:t>
      </w:r>
      <w:r w:rsidRPr="00DD26D4">
        <w:rPr>
          <w:rFonts w:ascii="Times New Roman" w:hAnsi="Times New Roman" w:cs="Times New Roman"/>
        </w:rPr>
        <w:t xml:space="preserve">fungovanie územnej samosprávy v Slovenskej republike. Tam, kde tento zákon neustanovuje inak, sa všetky  ostatné záležitosti mesta Vysoké Tatry spravujú podľa osobitných predpisov. </w:t>
      </w:r>
    </w:p>
    <w:p w14:paraId="60865D12" w14:textId="77777777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</w:p>
    <w:p w14:paraId="13ACDEF1" w14:textId="77777777" w:rsidR="00C83823" w:rsidRDefault="00C83823" w:rsidP="00DD26D4">
      <w:pPr>
        <w:jc w:val="both"/>
        <w:rPr>
          <w:rFonts w:ascii="Times New Roman" w:hAnsi="Times New Roman" w:cs="Times New Roman"/>
        </w:rPr>
      </w:pPr>
    </w:p>
    <w:p w14:paraId="738395C5" w14:textId="77777777" w:rsidR="00C83823" w:rsidRDefault="00C83823" w:rsidP="00DD26D4">
      <w:pPr>
        <w:jc w:val="both"/>
        <w:rPr>
          <w:rFonts w:ascii="Times New Roman" w:hAnsi="Times New Roman" w:cs="Times New Roman"/>
        </w:rPr>
      </w:pPr>
    </w:p>
    <w:p w14:paraId="4816AE7E" w14:textId="77777777" w:rsidR="00C83823" w:rsidRDefault="00C83823" w:rsidP="00DD26D4">
      <w:pPr>
        <w:jc w:val="both"/>
        <w:rPr>
          <w:rFonts w:ascii="Times New Roman" w:hAnsi="Times New Roman" w:cs="Times New Roman"/>
        </w:rPr>
      </w:pPr>
    </w:p>
    <w:p w14:paraId="1DAD542F" w14:textId="1A158EDF" w:rsidR="00DD26D4" w:rsidRPr="00DD26D4" w:rsidRDefault="00DD26D4" w:rsidP="00DD26D4">
      <w:pPr>
        <w:jc w:val="both"/>
        <w:rPr>
          <w:rFonts w:ascii="Times New Roman" w:hAnsi="Times New Roman" w:cs="Times New Roman"/>
        </w:rPr>
      </w:pPr>
      <w:r w:rsidRPr="00DD26D4">
        <w:rPr>
          <w:rFonts w:ascii="Times New Roman" w:hAnsi="Times New Roman" w:cs="Times New Roman"/>
        </w:rPr>
        <w:t>K § 6</w:t>
      </w:r>
    </w:p>
    <w:p w14:paraId="31EF8264" w14:textId="77777777" w:rsidR="00DF42C2" w:rsidRDefault="00DF42C2" w:rsidP="0029535F">
      <w:pPr>
        <w:jc w:val="both"/>
        <w:rPr>
          <w:rFonts w:ascii="Times New Roman" w:hAnsi="Times New Roman" w:cs="Times New Roman"/>
        </w:rPr>
      </w:pPr>
    </w:p>
    <w:p w14:paraId="0B71AB41" w14:textId="5E910309" w:rsidR="00DD26D4" w:rsidRDefault="00396287" w:rsidP="0029535F">
      <w:pPr>
        <w:jc w:val="both"/>
        <w:rPr>
          <w:rFonts w:ascii="Times New Roman" w:hAnsi="Times New Roman" w:cs="Times New Roman"/>
        </w:rPr>
        <w:sectPr w:rsidR="00DD26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Dátum nadobudnutia účinnosti zákona sa n</w:t>
      </w:r>
      <w:r w:rsidR="00B50315" w:rsidRPr="0029535F">
        <w:rPr>
          <w:rFonts w:ascii="Times New Roman" w:hAnsi="Times New Roman" w:cs="Times New Roman"/>
        </w:rPr>
        <w:t xml:space="preserve">avrhuje </w:t>
      </w:r>
      <w:r>
        <w:rPr>
          <w:rFonts w:ascii="Times New Roman" w:hAnsi="Times New Roman" w:cs="Times New Roman"/>
        </w:rPr>
        <w:t xml:space="preserve">vzhľadom na dĺžku legislatívneho procesu na </w:t>
      </w:r>
      <w:r w:rsidR="002A203A">
        <w:rPr>
          <w:rFonts w:ascii="Times New Roman" w:hAnsi="Times New Roman" w:cs="Times New Roman"/>
        </w:rPr>
        <w:t>1. január 2024</w:t>
      </w:r>
      <w:bookmarkStart w:id="2" w:name="_GoBack"/>
      <w:bookmarkEnd w:id="2"/>
      <w:r w:rsidR="007A572B" w:rsidRPr="007A572B">
        <w:rPr>
          <w:rFonts w:ascii="Times New Roman" w:hAnsi="Times New Roman" w:cs="Times New Roman"/>
        </w:rPr>
        <w:t>.</w:t>
      </w:r>
    </w:p>
    <w:p w14:paraId="3F6AA15A" w14:textId="138E48FA" w:rsidR="00423422" w:rsidRPr="00423422" w:rsidRDefault="00423422" w:rsidP="00423422">
      <w:pPr>
        <w:spacing w:before="120" w:line="276" w:lineRule="auto"/>
        <w:jc w:val="center"/>
        <w:rPr>
          <w:rFonts w:ascii="Times New Roman" w:hAnsi="Times New Roman" w:cs="Times New Roman"/>
        </w:rPr>
      </w:pPr>
      <w:r w:rsidRPr="00423422">
        <w:rPr>
          <w:rFonts w:ascii="Times New Roman" w:hAnsi="Times New Roman" w:cs="Times New Roman"/>
          <w:b/>
          <w:caps/>
          <w:spacing w:val="30"/>
        </w:rPr>
        <w:lastRenderedPageBreak/>
        <w:t>DOLOŽKA ZLUČITEĽNOSTI</w:t>
      </w:r>
    </w:p>
    <w:p w14:paraId="78BCCA8A" w14:textId="77777777" w:rsidR="00423422" w:rsidRPr="00423422" w:rsidRDefault="00423422" w:rsidP="00423422">
      <w:pPr>
        <w:pStyle w:val="Normlnywebov"/>
        <w:spacing w:before="120" w:line="276" w:lineRule="auto"/>
        <w:jc w:val="center"/>
      </w:pPr>
      <w:r w:rsidRPr="00423422">
        <w:rPr>
          <w:b/>
        </w:rPr>
        <w:t>návrhu zákona</w:t>
      </w:r>
      <w:r w:rsidRPr="00423422">
        <w:t xml:space="preserve"> </w:t>
      </w:r>
      <w:r w:rsidRPr="00423422">
        <w:rPr>
          <w:b/>
        </w:rPr>
        <w:t>s právom Európskej únie</w:t>
      </w:r>
    </w:p>
    <w:p w14:paraId="7DB30FF5" w14:textId="77777777" w:rsidR="00423422" w:rsidRPr="00423422" w:rsidRDefault="00423422" w:rsidP="00423422">
      <w:pPr>
        <w:pStyle w:val="Normlnywebov"/>
        <w:spacing w:before="120" w:line="276" w:lineRule="auto"/>
        <w:jc w:val="both"/>
      </w:pPr>
      <w:r w:rsidRPr="00423422">
        <w:t> </w:t>
      </w:r>
    </w:p>
    <w:p w14:paraId="714B8CC2" w14:textId="04B43DC2" w:rsidR="00423422" w:rsidRPr="00423422" w:rsidRDefault="00423422" w:rsidP="00423422">
      <w:pPr>
        <w:pStyle w:val="Normlnywebov"/>
        <w:spacing w:before="120" w:line="276" w:lineRule="auto"/>
        <w:jc w:val="both"/>
      </w:pPr>
      <w:r w:rsidRPr="00423422">
        <w:rPr>
          <w:b/>
        </w:rPr>
        <w:t>1. Navrhovateľ zákona:</w:t>
      </w:r>
      <w:r w:rsidRPr="00423422">
        <w:t xml:space="preserve"> </w:t>
      </w:r>
      <w:r w:rsidR="00DF42C2">
        <w:t>poslan</w:t>
      </w:r>
      <w:r w:rsidR="007A572B">
        <w:t>ci</w:t>
      </w:r>
      <w:r w:rsidRPr="00423422">
        <w:t xml:space="preserve"> Národnej rady Slovenskej republiky</w:t>
      </w:r>
      <w:r w:rsidR="00DF42C2">
        <w:t xml:space="preserve"> </w:t>
      </w:r>
      <w:r w:rsidR="007A572B" w:rsidRPr="007A572B">
        <w:t>Mária Šofranko, Jana Majorová Garstková a Peter Vons</w:t>
      </w:r>
    </w:p>
    <w:p w14:paraId="28752E18" w14:textId="6F0BE0A0" w:rsidR="00423422" w:rsidRPr="00423422" w:rsidRDefault="00423422" w:rsidP="00423422">
      <w:pPr>
        <w:contextualSpacing/>
        <w:jc w:val="both"/>
        <w:rPr>
          <w:rFonts w:ascii="Times New Roman" w:hAnsi="Times New Roman" w:cs="Times New Roman"/>
          <w:bCs/>
        </w:rPr>
      </w:pPr>
      <w:r w:rsidRPr="00423422">
        <w:rPr>
          <w:rFonts w:ascii="Times New Roman" w:hAnsi="Times New Roman" w:cs="Times New Roman"/>
          <w:b/>
        </w:rPr>
        <w:t>2. Názov návrhu zákona</w:t>
      </w:r>
      <w:r w:rsidRPr="00423422">
        <w:rPr>
          <w:rFonts w:ascii="Times New Roman" w:hAnsi="Times New Roman" w:cs="Times New Roman"/>
        </w:rPr>
        <w:t xml:space="preserve">: </w:t>
      </w:r>
      <w:r w:rsidRPr="00423422">
        <w:rPr>
          <w:rFonts w:ascii="Times New Roman" w:hAnsi="Times New Roman" w:cs="Times New Roman"/>
          <w:color w:val="000000"/>
        </w:rPr>
        <w:t>n</w:t>
      </w:r>
      <w:r w:rsidRPr="00423422">
        <w:rPr>
          <w:rFonts w:ascii="Times New Roman" w:hAnsi="Times New Roman" w:cs="Times New Roman"/>
        </w:rPr>
        <w:t xml:space="preserve">ávrh </w:t>
      </w:r>
      <w:r w:rsidR="00DD26D4" w:rsidRPr="00DD26D4">
        <w:rPr>
          <w:rFonts w:ascii="Times New Roman" w:hAnsi="Times New Roman" w:cs="Times New Roman"/>
        </w:rPr>
        <w:t>zákona o meste Vysoké Tatry</w:t>
      </w:r>
    </w:p>
    <w:p w14:paraId="64921482" w14:textId="32760F4F" w:rsidR="00423422" w:rsidRPr="00423422" w:rsidRDefault="00423422" w:rsidP="00423422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5329ACD9" w14:textId="77777777" w:rsidR="00423422" w:rsidRPr="00423422" w:rsidRDefault="00423422" w:rsidP="00423422">
      <w:pPr>
        <w:pStyle w:val="Normlnywebov"/>
        <w:spacing w:before="120" w:line="276" w:lineRule="auto"/>
        <w:jc w:val="both"/>
      </w:pPr>
      <w:r w:rsidRPr="00423422">
        <w:rPr>
          <w:b/>
        </w:rPr>
        <w:t>3. Predmet návrhu zákona:</w:t>
      </w:r>
    </w:p>
    <w:p w14:paraId="00D8D0B6" w14:textId="77777777" w:rsidR="00423422" w:rsidRPr="00423422" w:rsidRDefault="00423422" w:rsidP="00423422">
      <w:pPr>
        <w:pStyle w:val="Normlnywebov"/>
        <w:numPr>
          <w:ilvl w:val="0"/>
          <w:numId w:val="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 w:rsidRPr="00423422">
        <w:t>nie je upravený v primárnom práve Európskej únie,</w:t>
      </w:r>
    </w:p>
    <w:p w14:paraId="18CB7B5C" w14:textId="77777777" w:rsidR="00423422" w:rsidRPr="00423422" w:rsidRDefault="00423422" w:rsidP="00423422">
      <w:pPr>
        <w:pStyle w:val="Normlnywebov"/>
        <w:numPr>
          <w:ilvl w:val="0"/>
          <w:numId w:val="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 w:rsidRPr="00423422">
        <w:t xml:space="preserve">nie je upravený v sekundárnom práve Európskej únie, </w:t>
      </w:r>
    </w:p>
    <w:p w14:paraId="51483677" w14:textId="77777777" w:rsidR="00423422" w:rsidRPr="00423422" w:rsidRDefault="00423422" w:rsidP="00423422">
      <w:pPr>
        <w:pStyle w:val="Normlnywebov"/>
        <w:numPr>
          <w:ilvl w:val="0"/>
          <w:numId w:val="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 w:rsidRPr="00423422">
        <w:t>nie je obsiahnutý v judikatúre Súdneho dvora Európskej únie.</w:t>
      </w:r>
    </w:p>
    <w:p w14:paraId="5A5E417E" w14:textId="77777777" w:rsidR="00423422" w:rsidRPr="00423422" w:rsidRDefault="00423422" w:rsidP="00423422">
      <w:pPr>
        <w:pStyle w:val="Normlnywebov"/>
        <w:spacing w:before="120" w:line="276" w:lineRule="auto"/>
        <w:ind w:left="720"/>
        <w:jc w:val="both"/>
      </w:pPr>
    </w:p>
    <w:p w14:paraId="6D03613A" w14:textId="77777777" w:rsidR="00423422" w:rsidRPr="00423422" w:rsidRDefault="00423422" w:rsidP="0042342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23422">
        <w:rPr>
          <w:rFonts w:ascii="Times New Roman" w:hAnsi="Times New Roman" w:cs="Times New Roman"/>
          <w:b/>
        </w:rPr>
        <w:t>Vzhľadom na to, že predmet návrhu zákona nie je upravený v práve Európskej únie, je bezpredmetné vyjadrovať sa k bodom 4. a 5.</w:t>
      </w:r>
    </w:p>
    <w:p w14:paraId="35B5E1D6" w14:textId="77777777" w:rsidR="00423422" w:rsidRPr="00423422" w:rsidRDefault="00423422" w:rsidP="00423422">
      <w:pPr>
        <w:pStyle w:val="Normlnywebov"/>
        <w:spacing w:before="120" w:line="276" w:lineRule="auto"/>
        <w:jc w:val="center"/>
      </w:pPr>
    </w:p>
    <w:p w14:paraId="1DA59AA6" w14:textId="77777777" w:rsidR="00423422" w:rsidRPr="00423422" w:rsidRDefault="00423422" w:rsidP="00423422">
      <w:pPr>
        <w:pStyle w:val="Normlnywebov"/>
        <w:pageBreakBefore/>
        <w:tabs>
          <w:tab w:val="left" w:pos="1020"/>
          <w:tab w:val="center" w:pos="4536"/>
        </w:tabs>
        <w:spacing w:before="120" w:line="276" w:lineRule="auto"/>
      </w:pPr>
      <w:r w:rsidRPr="00423422">
        <w:rPr>
          <w:b/>
          <w:caps/>
          <w:color w:val="000000"/>
          <w:spacing w:val="30"/>
        </w:rPr>
        <w:lastRenderedPageBreak/>
        <w:tab/>
      </w:r>
      <w:r w:rsidRPr="00423422">
        <w:rPr>
          <w:b/>
          <w:caps/>
          <w:color w:val="000000"/>
          <w:spacing w:val="30"/>
        </w:rPr>
        <w:tab/>
        <w:t>Doložka</w:t>
      </w:r>
    </w:p>
    <w:p w14:paraId="752A85DA" w14:textId="77777777" w:rsidR="00423422" w:rsidRPr="00423422" w:rsidRDefault="00423422" w:rsidP="00423422">
      <w:pPr>
        <w:pStyle w:val="Normlnywebov"/>
        <w:spacing w:before="120" w:line="276" w:lineRule="auto"/>
        <w:jc w:val="center"/>
      </w:pPr>
      <w:r w:rsidRPr="00423422">
        <w:rPr>
          <w:b/>
          <w:color w:val="000000"/>
        </w:rPr>
        <w:t>vybraných vplyvov</w:t>
      </w:r>
    </w:p>
    <w:p w14:paraId="7B5DFB32" w14:textId="77777777" w:rsidR="00423422" w:rsidRPr="00423422" w:rsidRDefault="00423422" w:rsidP="00423422">
      <w:pPr>
        <w:pStyle w:val="Normlnywebov"/>
        <w:spacing w:before="120" w:line="276" w:lineRule="auto"/>
      </w:pPr>
      <w:r w:rsidRPr="00423422">
        <w:rPr>
          <w:color w:val="000000"/>
        </w:rPr>
        <w:t> </w:t>
      </w:r>
    </w:p>
    <w:p w14:paraId="783DC06B" w14:textId="32506CD2" w:rsidR="00423422" w:rsidRDefault="00423422" w:rsidP="00423422">
      <w:pPr>
        <w:pStyle w:val="Normlnywebov"/>
        <w:spacing w:before="120" w:line="276" w:lineRule="auto"/>
        <w:jc w:val="both"/>
        <w:rPr>
          <w:b/>
          <w:color w:val="000000"/>
        </w:rPr>
      </w:pPr>
      <w:r w:rsidRPr="00423422">
        <w:rPr>
          <w:b/>
          <w:color w:val="000000"/>
        </w:rPr>
        <w:t xml:space="preserve">A.1. Názov materiálu: </w:t>
      </w:r>
      <w:r w:rsidRPr="00423422">
        <w:rPr>
          <w:color w:val="000000"/>
        </w:rPr>
        <w:t>n</w:t>
      </w:r>
      <w:r w:rsidRPr="00423422">
        <w:t xml:space="preserve">ávrh </w:t>
      </w:r>
      <w:r w:rsidR="00DD26D4" w:rsidRPr="00DD26D4">
        <w:t>zákona o meste Vysoké Tatry</w:t>
      </w:r>
    </w:p>
    <w:p w14:paraId="7FAD48A7" w14:textId="6A05B6AB" w:rsidR="00423422" w:rsidRPr="00423422" w:rsidRDefault="00423422" w:rsidP="00423422">
      <w:pPr>
        <w:pStyle w:val="Normlnywebov"/>
        <w:spacing w:before="120" w:line="276" w:lineRule="auto"/>
        <w:jc w:val="both"/>
      </w:pPr>
      <w:r w:rsidRPr="00423422">
        <w:rPr>
          <w:b/>
          <w:color w:val="000000"/>
        </w:rPr>
        <w:t>Termín začatia a ukončenia PPK:</w:t>
      </w:r>
      <w:r w:rsidRPr="00423422">
        <w:rPr>
          <w:color w:val="000000"/>
        </w:rPr>
        <w:t xml:space="preserve"> </w:t>
      </w:r>
      <w:r w:rsidRPr="00423422">
        <w:rPr>
          <w:i/>
          <w:color w:val="000000"/>
        </w:rPr>
        <w:t>bezpredmetné</w:t>
      </w:r>
    </w:p>
    <w:p w14:paraId="35C9201C" w14:textId="77777777" w:rsidR="00423422" w:rsidRPr="00423422" w:rsidRDefault="00423422" w:rsidP="00423422">
      <w:pPr>
        <w:pStyle w:val="Normlnywebov"/>
        <w:spacing w:before="120" w:line="276" w:lineRule="auto"/>
        <w:jc w:val="both"/>
      </w:pPr>
      <w:r w:rsidRPr="00423422">
        <w:rPr>
          <w:b/>
          <w:color w:val="000000"/>
        </w:rPr>
        <w:t> </w:t>
      </w:r>
    </w:p>
    <w:p w14:paraId="7FE1AC4F" w14:textId="7777777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423422">
        <w:rPr>
          <w:rFonts w:ascii="Times New Roman" w:hAnsi="Times New Roman" w:cs="Times New Roman"/>
          <w:b/>
          <w:color w:val="000000"/>
        </w:rPr>
        <w:t xml:space="preserve"> 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423422" w:rsidRPr="00423422" w14:paraId="50DBD38E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9C403F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3" w:name="_Hlk115171905"/>
            <w:r w:rsidRPr="004234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5979F0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A7F037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B7238F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Negatívne </w:t>
            </w:r>
          </w:p>
        </w:tc>
      </w:tr>
      <w:tr w:rsidR="00423422" w:rsidRPr="00423422" w14:paraId="10F26100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4FC7AE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AC1090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04408C" w14:textId="56BDCF18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2D2BB3" w14:textId="45C208F3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423422" w:rsidRPr="00423422" w14:paraId="2CF2ACE3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7FF0DA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47A958" w14:textId="11EEB52C" w:rsidR="00423422" w:rsidRPr="00423422" w:rsidRDefault="00C83823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38801F" w14:textId="141F5AE5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97CF25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1A603174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DF5069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1CC514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C170B4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0D541B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297EFA1E" w14:textId="77777777" w:rsidTr="004A7909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55F7F8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16E1DE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E3E454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BB4CD3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7A167695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4E24F9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 xml:space="preserve">– sociálnu </w:t>
            </w:r>
            <w:proofErr w:type="spellStart"/>
            <w:r w:rsidRPr="00423422">
              <w:rPr>
                <w:rFonts w:ascii="Times New Roman" w:hAnsi="Times New Roman" w:cs="Times New Roman"/>
                <w:color w:val="000000"/>
              </w:rPr>
              <w:t>exklúziu</w:t>
            </w:r>
            <w:proofErr w:type="spellEnd"/>
            <w:r w:rsidRPr="00423422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ED104A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96CAB0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EA99AE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5BB83A8E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D0322E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21F8E3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55DEB4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4D68BF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7AB5AD06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AB4B41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72C525" w14:textId="7E0569EB" w:rsidR="00423422" w:rsidRPr="00423422" w:rsidRDefault="00C83823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901EFAF" w14:textId="7F8720E2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550536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70B62814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BBB92A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BB4F03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D2D5E5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6487B0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092BFC46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72C6980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Style w:val="awspan"/>
                <w:rFonts w:ascii="Times New Roman" w:hAnsi="Times New Roman" w:cs="Times New Rom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D80C13" w14:textId="600FB441" w:rsidR="00423422" w:rsidRPr="00423422" w:rsidRDefault="00C83823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53EDB4" w14:textId="4673B5BB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D2B9BB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422" w:rsidRPr="00423422" w14:paraId="00EDF5B0" w14:textId="77777777" w:rsidTr="004A7909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9CBE3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Style w:val="awspan"/>
                <w:rFonts w:ascii="Times New Roman" w:hAnsi="Times New Roman" w:cs="Times New Rom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8FC817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FBE151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42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FF946C" w14:textId="77777777" w:rsidR="00423422" w:rsidRPr="00423422" w:rsidRDefault="00423422" w:rsidP="004A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3"/>
    <w:p w14:paraId="43F71D8E" w14:textId="7777777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423422">
        <w:rPr>
          <w:rFonts w:ascii="Times New Roman" w:hAnsi="Times New Roman" w:cs="Times New Roman"/>
          <w:color w:val="000000"/>
        </w:rPr>
        <w:t> </w:t>
      </w:r>
    </w:p>
    <w:p w14:paraId="7A35A866" w14:textId="526B8476" w:rsid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423422">
        <w:rPr>
          <w:rFonts w:ascii="Times New Roman" w:hAnsi="Times New Roman" w:cs="Times New Roman"/>
          <w:b/>
          <w:color w:val="000000"/>
        </w:rPr>
        <w:t>A.3. Poznámky</w:t>
      </w:r>
    </w:p>
    <w:p w14:paraId="7237779B" w14:textId="2B929897" w:rsidR="00DF42C2" w:rsidRDefault="00DD26D4" w:rsidP="00DD26D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DF42C2">
        <w:rPr>
          <w:rFonts w:ascii="Times New Roman" w:hAnsi="Times New Roman" w:cs="Times New Roman"/>
          <w:bCs/>
          <w:i/>
          <w:iCs/>
          <w:color w:val="000000"/>
        </w:rPr>
        <w:t xml:space="preserve">Predkladaný návrh zákona o meste Vysoké Tatry predpokladá zvýšenie finančných dôsledkov na štátny rozpočet v maximálne výške </w:t>
      </w:r>
      <w:r w:rsidR="005049A4">
        <w:rPr>
          <w:rFonts w:ascii="Times New Roman" w:hAnsi="Times New Roman" w:cs="Times New Roman"/>
          <w:bCs/>
          <w:i/>
          <w:iCs/>
          <w:color w:val="000000"/>
        </w:rPr>
        <w:t xml:space="preserve">850 </w:t>
      </w:r>
      <w:r w:rsidRPr="00DF42C2">
        <w:rPr>
          <w:rFonts w:ascii="Times New Roman" w:hAnsi="Times New Roman" w:cs="Times New Roman"/>
          <w:bCs/>
          <w:i/>
          <w:iCs/>
          <w:color w:val="000000"/>
        </w:rPr>
        <w:t xml:space="preserve">000  € ročne. </w:t>
      </w:r>
    </w:p>
    <w:p w14:paraId="2E9ACB23" w14:textId="5582FBFA" w:rsidR="00DD26D4" w:rsidRDefault="00DD26D4" w:rsidP="00DD26D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DF42C2">
        <w:rPr>
          <w:rFonts w:ascii="Times New Roman" w:hAnsi="Times New Roman" w:cs="Times New Roman"/>
          <w:bCs/>
          <w:i/>
          <w:iCs/>
          <w:color w:val="000000"/>
        </w:rPr>
        <w:t>Vo vzťahu k rozpočtom obcí a vyšších územných celkov sa nepredpokladá zvýšenie finančných dôsledkov po prijatí tohto návrhu zákona. Navrhovanými zmenami a úpravami sa neočakáva zvýšenie finančného zaťaženia obyvateľov v porovnaní s rokom 202</w:t>
      </w:r>
      <w:r w:rsidR="00DF42C2">
        <w:rPr>
          <w:rFonts w:ascii="Times New Roman" w:hAnsi="Times New Roman" w:cs="Times New Roman"/>
          <w:bCs/>
          <w:i/>
          <w:iCs/>
          <w:color w:val="000000"/>
        </w:rPr>
        <w:t>2</w:t>
      </w:r>
      <w:r w:rsidRPr="00DF42C2">
        <w:rPr>
          <w:rFonts w:ascii="Times New Roman" w:hAnsi="Times New Roman" w:cs="Times New Roman"/>
          <w:bCs/>
          <w:i/>
          <w:iCs/>
          <w:color w:val="000000"/>
        </w:rPr>
        <w:t xml:space="preserve">. </w:t>
      </w:r>
    </w:p>
    <w:p w14:paraId="01BD0E88" w14:textId="59F12EEF" w:rsidR="00DD26D4" w:rsidRDefault="00C83823" w:rsidP="00DD26D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S ohľadom na tú skutočnosť, že sa jedná de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</w:rPr>
        <w:t>facto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</w:rPr>
        <w:t xml:space="preserve"> o účelovú dotáciu (ktorej účel je normatívne stanovený v ustanovení § 4 ods. 1), tak využitie poskytnutej finančnej čiastky pozitívnym spôsobom ovplyvní podnikateľské prostredie (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>rozvoj turizmu, klimatickej liečby, vytvoreni</w:t>
      </w:r>
      <w:r>
        <w:rPr>
          <w:rFonts w:ascii="Times New Roman" w:hAnsi="Times New Roman" w:cs="Times New Roman"/>
          <w:bCs/>
          <w:i/>
          <w:iCs/>
          <w:color w:val="000000"/>
        </w:rPr>
        <w:t>e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 xml:space="preserve"> konkurencieschopnej, medzinárodne uznávanej destinácie cestovného ruchu</w:t>
      </w:r>
      <w:r>
        <w:rPr>
          <w:rFonts w:ascii="Times New Roman" w:hAnsi="Times New Roman" w:cs="Times New Roman"/>
          <w:bCs/>
          <w:i/>
          <w:iCs/>
          <w:color w:val="000000"/>
        </w:rPr>
        <w:t>), rovnako ako bude mať pozitívny dopad na životné prostredie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</w:rPr>
        <w:t>(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>zabezpečeni</w:t>
      </w:r>
      <w:r>
        <w:rPr>
          <w:rFonts w:ascii="Times New Roman" w:hAnsi="Times New Roman" w:cs="Times New Roman"/>
          <w:bCs/>
          <w:i/>
          <w:iCs/>
          <w:color w:val="000000"/>
        </w:rPr>
        <w:t>e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 xml:space="preserve"> podpory spoločensko-kultúrneho a ekologicky trvalo udržateľného ľudského a hospodárskeho rozvoja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 mesta)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bCs/>
          <w:i/>
          <w:iCs/>
          <w:color w:val="000000"/>
        </w:rPr>
        <w:t>a taktiež bude mať pozitívny v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>plyv na služby verejnej správy pre občana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 (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>plneni</w:t>
      </w:r>
      <w:r>
        <w:rPr>
          <w:rFonts w:ascii="Times New Roman" w:hAnsi="Times New Roman" w:cs="Times New Roman"/>
          <w:bCs/>
          <w:i/>
          <w:iCs/>
          <w:color w:val="000000"/>
        </w:rPr>
        <w:t>e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t xml:space="preserve"> samosprávnych funkcií mesta spojených s celoročnou údržbou miestnych komunikácií, chodníkov, parkovísk, údržbou </w:t>
      </w:r>
      <w:r w:rsidRPr="00C83823">
        <w:rPr>
          <w:rFonts w:ascii="Times New Roman" w:hAnsi="Times New Roman" w:cs="Times New Roman"/>
          <w:bCs/>
          <w:i/>
          <w:iCs/>
          <w:color w:val="000000"/>
        </w:rPr>
        <w:lastRenderedPageBreak/>
        <w:t>dopravného značenia, údržbou verejnej zelene, prevádzkou a údržbou verejného osvetlenia, odstránenia nepriaznivých následkov klimatických podmienok, podpory športu a zaistenia bezpečnosti</w:t>
      </w:r>
      <w:r>
        <w:rPr>
          <w:rFonts w:ascii="Times New Roman" w:hAnsi="Times New Roman" w:cs="Times New Roman"/>
          <w:bCs/>
          <w:i/>
          <w:iCs/>
          <w:color w:val="000000"/>
        </w:rPr>
        <w:t>).</w:t>
      </w:r>
    </w:p>
    <w:p w14:paraId="14A25B1F" w14:textId="77777777" w:rsidR="00C83823" w:rsidRPr="00C83823" w:rsidRDefault="00C83823" w:rsidP="00DD26D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778A5839" w14:textId="7777777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423422">
        <w:rPr>
          <w:rFonts w:ascii="Times New Roman" w:hAnsi="Times New Roman" w:cs="Times New Roman"/>
          <w:b/>
          <w:color w:val="000000"/>
        </w:rPr>
        <w:t>A.4. Alternatívne riešenia</w:t>
      </w:r>
    </w:p>
    <w:p w14:paraId="116776A0" w14:textId="7777777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i/>
          <w:color w:val="000000"/>
        </w:rPr>
      </w:pPr>
      <w:r w:rsidRPr="00423422">
        <w:rPr>
          <w:rFonts w:ascii="Times New Roman" w:hAnsi="Times New Roman" w:cs="Times New Roman"/>
          <w:i/>
          <w:color w:val="000000"/>
        </w:rPr>
        <w:t>bezpredmetné</w:t>
      </w:r>
    </w:p>
    <w:p w14:paraId="47315FAF" w14:textId="77777777" w:rsidR="00DF42C2" w:rsidRDefault="00DF42C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493E8B9A" w14:textId="602A05E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423422">
        <w:rPr>
          <w:rFonts w:ascii="Times New Roman" w:hAnsi="Times New Roman" w:cs="Times New Roman"/>
          <w:b/>
          <w:color w:val="000000"/>
        </w:rPr>
        <w:t>A.5. Stanovisko gestorov</w:t>
      </w:r>
    </w:p>
    <w:p w14:paraId="7F7E649D" w14:textId="77777777" w:rsidR="00423422" w:rsidRPr="00423422" w:rsidRDefault="00423422" w:rsidP="0042342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120"/>
        <w:jc w:val="both"/>
        <w:rPr>
          <w:rFonts w:ascii="Times New Roman" w:hAnsi="Times New Roman" w:cs="Times New Roman"/>
          <w:color w:val="000000"/>
        </w:rPr>
      </w:pPr>
      <w:r w:rsidRPr="00423422">
        <w:rPr>
          <w:rFonts w:ascii="Times New Roman" w:hAnsi="Times New Roman" w:cs="Times New Roman"/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59383E5E" w14:textId="77777777" w:rsidR="00423422" w:rsidRPr="00423422" w:rsidRDefault="00423422" w:rsidP="0029535F">
      <w:pPr>
        <w:jc w:val="both"/>
        <w:rPr>
          <w:rFonts w:ascii="Times New Roman" w:hAnsi="Times New Roman" w:cs="Times New Roman"/>
        </w:rPr>
      </w:pPr>
    </w:p>
    <w:sectPr w:rsidR="00423422" w:rsidRPr="0042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58AF74AD"/>
    <w:multiLevelType w:val="hybridMultilevel"/>
    <w:tmpl w:val="C20A7B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7C"/>
    <w:rsid w:val="00047F09"/>
    <w:rsid w:val="0006065F"/>
    <w:rsid w:val="00092372"/>
    <w:rsid w:val="000A5CB1"/>
    <w:rsid w:val="000D3D3D"/>
    <w:rsid w:val="000E5881"/>
    <w:rsid w:val="000F3290"/>
    <w:rsid w:val="00185EC2"/>
    <w:rsid w:val="001B4E7A"/>
    <w:rsid w:val="001B5684"/>
    <w:rsid w:val="001D4667"/>
    <w:rsid w:val="001E360B"/>
    <w:rsid w:val="002006BB"/>
    <w:rsid w:val="00225C7C"/>
    <w:rsid w:val="00256F4C"/>
    <w:rsid w:val="002905A8"/>
    <w:rsid w:val="0029535F"/>
    <w:rsid w:val="002A203A"/>
    <w:rsid w:val="002A4F43"/>
    <w:rsid w:val="002A713E"/>
    <w:rsid w:val="002C4796"/>
    <w:rsid w:val="002D3F74"/>
    <w:rsid w:val="002E14FE"/>
    <w:rsid w:val="002F2442"/>
    <w:rsid w:val="00366E76"/>
    <w:rsid w:val="003928DB"/>
    <w:rsid w:val="00396287"/>
    <w:rsid w:val="003C7C1A"/>
    <w:rsid w:val="003F23F4"/>
    <w:rsid w:val="00402987"/>
    <w:rsid w:val="00412EF1"/>
    <w:rsid w:val="00414FC4"/>
    <w:rsid w:val="00423422"/>
    <w:rsid w:val="00424C6C"/>
    <w:rsid w:val="00437FCB"/>
    <w:rsid w:val="004853A5"/>
    <w:rsid w:val="004869A6"/>
    <w:rsid w:val="00495481"/>
    <w:rsid w:val="004A0877"/>
    <w:rsid w:val="004C69CA"/>
    <w:rsid w:val="004D564F"/>
    <w:rsid w:val="004E679C"/>
    <w:rsid w:val="004F4D7E"/>
    <w:rsid w:val="005049A4"/>
    <w:rsid w:val="00507C01"/>
    <w:rsid w:val="005211CA"/>
    <w:rsid w:val="00555484"/>
    <w:rsid w:val="005616FB"/>
    <w:rsid w:val="00587B64"/>
    <w:rsid w:val="005B68E1"/>
    <w:rsid w:val="005B739B"/>
    <w:rsid w:val="005D341D"/>
    <w:rsid w:val="005E66F6"/>
    <w:rsid w:val="00643BE3"/>
    <w:rsid w:val="00644B65"/>
    <w:rsid w:val="00652080"/>
    <w:rsid w:val="00661D29"/>
    <w:rsid w:val="0068519F"/>
    <w:rsid w:val="006F79DD"/>
    <w:rsid w:val="00740CCA"/>
    <w:rsid w:val="00776BF8"/>
    <w:rsid w:val="007A572B"/>
    <w:rsid w:val="007B3E59"/>
    <w:rsid w:val="007C034F"/>
    <w:rsid w:val="007E1AC6"/>
    <w:rsid w:val="007E2471"/>
    <w:rsid w:val="00801EF5"/>
    <w:rsid w:val="008127F8"/>
    <w:rsid w:val="00835FA9"/>
    <w:rsid w:val="008639E7"/>
    <w:rsid w:val="008B255E"/>
    <w:rsid w:val="008D34B5"/>
    <w:rsid w:val="008D508D"/>
    <w:rsid w:val="008E359A"/>
    <w:rsid w:val="008F24C2"/>
    <w:rsid w:val="00927E69"/>
    <w:rsid w:val="00927F4D"/>
    <w:rsid w:val="009D4DB3"/>
    <w:rsid w:val="009F1E51"/>
    <w:rsid w:val="00A02128"/>
    <w:rsid w:val="00A230E8"/>
    <w:rsid w:val="00A51911"/>
    <w:rsid w:val="00A70F34"/>
    <w:rsid w:val="00A841B6"/>
    <w:rsid w:val="00AC07CF"/>
    <w:rsid w:val="00AC1ACD"/>
    <w:rsid w:val="00AD0316"/>
    <w:rsid w:val="00AE5EAB"/>
    <w:rsid w:val="00B17B52"/>
    <w:rsid w:val="00B22239"/>
    <w:rsid w:val="00B240E8"/>
    <w:rsid w:val="00B50315"/>
    <w:rsid w:val="00B81CF9"/>
    <w:rsid w:val="00B848CD"/>
    <w:rsid w:val="00BA00B0"/>
    <w:rsid w:val="00BE63B6"/>
    <w:rsid w:val="00C03E16"/>
    <w:rsid w:val="00C459D9"/>
    <w:rsid w:val="00C51169"/>
    <w:rsid w:val="00C83823"/>
    <w:rsid w:val="00C90B65"/>
    <w:rsid w:val="00CC507A"/>
    <w:rsid w:val="00D456DF"/>
    <w:rsid w:val="00D726E4"/>
    <w:rsid w:val="00D94792"/>
    <w:rsid w:val="00DB2D5D"/>
    <w:rsid w:val="00DC18F7"/>
    <w:rsid w:val="00DD26D4"/>
    <w:rsid w:val="00DF42C2"/>
    <w:rsid w:val="00E16161"/>
    <w:rsid w:val="00E20448"/>
    <w:rsid w:val="00E406CF"/>
    <w:rsid w:val="00E60953"/>
    <w:rsid w:val="00E64545"/>
    <w:rsid w:val="00E959F1"/>
    <w:rsid w:val="00EA08CD"/>
    <w:rsid w:val="00EA37AE"/>
    <w:rsid w:val="00EB2624"/>
    <w:rsid w:val="00EC1C6A"/>
    <w:rsid w:val="00EC271D"/>
    <w:rsid w:val="00EE373F"/>
    <w:rsid w:val="00EF0139"/>
    <w:rsid w:val="00F03413"/>
    <w:rsid w:val="00F042E7"/>
    <w:rsid w:val="00F41638"/>
    <w:rsid w:val="00F42980"/>
    <w:rsid w:val="00F51F96"/>
    <w:rsid w:val="00F659CA"/>
    <w:rsid w:val="00F70763"/>
    <w:rsid w:val="00FD23F3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9950"/>
  <w15:chartTrackingRefBased/>
  <w15:docId w15:val="{3DC84A34-46AF-D44D-AFD5-7E71FC29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927E69"/>
    <w:pPr>
      <w:keepNext/>
      <w:numPr>
        <w:numId w:val="3"/>
      </w:numPr>
      <w:tabs>
        <w:tab w:val="num" w:pos="567"/>
      </w:tabs>
      <w:spacing w:before="360"/>
      <w:ind w:left="567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927E69"/>
    <w:pPr>
      <w:numPr>
        <w:ilvl w:val="1"/>
        <w:numId w:val="3"/>
      </w:numPr>
      <w:tabs>
        <w:tab w:val="clear" w:pos="1419"/>
        <w:tab w:val="num" w:pos="1418"/>
        <w:tab w:val="num" w:pos="1561"/>
      </w:tabs>
      <w:spacing w:before="120"/>
      <w:ind w:left="1418"/>
      <w:jc w:val="both"/>
      <w:outlineLvl w:val="1"/>
    </w:pPr>
    <w:rPr>
      <w:rFonts w:ascii="Times New Roman" w:eastAsia="Times New Roman" w:hAnsi="Times New Roman" w:cs="Times New Roman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927E69"/>
    <w:pPr>
      <w:keepNext/>
      <w:numPr>
        <w:ilvl w:val="2"/>
        <w:numId w:val="3"/>
      </w:numPr>
      <w:spacing w:before="120"/>
      <w:ind w:left="2269"/>
      <w:outlineLvl w:val="2"/>
    </w:pPr>
    <w:rPr>
      <w:rFonts w:ascii="Times New Roman" w:eastAsia="Times New Roman" w:hAnsi="Times New Roman" w:cs="Times New Roman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927E69"/>
    <w:pPr>
      <w:numPr>
        <w:ilvl w:val="3"/>
        <w:numId w:val="3"/>
      </w:numPr>
      <w:spacing w:before="120" w:after="120"/>
      <w:outlineLvl w:val="3"/>
    </w:pPr>
    <w:rPr>
      <w:rFonts w:ascii="Times New Roman" w:eastAsia="Times New Roman" w:hAnsi="Times New Roman" w:cs="Times New Roman"/>
      <w:i/>
      <w:iCs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27E69"/>
    <w:pPr>
      <w:numPr>
        <w:ilvl w:val="4"/>
        <w:numId w:val="3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27E69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27E69"/>
    <w:pPr>
      <w:numPr>
        <w:ilvl w:val="6"/>
        <w:numId w:val="3"/>
      </w:numPr>
      <w:spacing w:before="240" w:after="60"/>
      <w:outlineLvl w:val="6"/>
    </w:pPr>
    <w:rPr>
      <w:rFonts w:ascii="Times New Roman" w:eastAsia="Times New Roman" w:hAnsi="Times New Roman" w:cs="Times New Roman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27E69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27E69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35F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qFormat/>
    <w:rsid w:val="00555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40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40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40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40E8"/>
    <w:rPr>
      <w:b/>
      <w:bCs/>
      <w:sz w:val="20"/>
      <w:szCs w:val="20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927E69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927E69"/>
    <w:rPr>
      <w:rFonts w:ascii="Times New Roman" w:eastAsia="Times New Roman" w:hAnsi="Times New Roman" w:cs="Times New Roman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927E69"/>
    <w:rPr>
      <w:rFonts w:ascii="Times New Roman" w:eastAsia="Times New Roman" w:hAnsi="Times New Roman" w:cs="Times New Roman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927E69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927E6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927E69"/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927E69"/>
    <w:rPr>
      <w:rFonts w:ascii="Times New Roman" w:eastAsia="Times New Roman" w:hAnsi="Times New Roman" w:cs="Times New Roman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927E69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927E69"/>
    <w:rPr>
      <w:rFonts w:ascii="Arial" w:eastAsia="Times New Roman" w:hAnsi="Arial" w:cs="Arial"/>
      <w:sz w:val="22"/>
      <w:szCs w:val="22"/>
      <w:lang w:eastAsia="sk-SK"/>
    </w:rPr>
  </w:style>
  <w:style w:type="paragraph" w:styleId="Revzia">
    <w:name w:val="Revision"/>
    <w:hidden/>
    <w:uiPriority w:val="99"/>
    <w:semiHidden/>
    <w:rsid w:val="00EA37AE"/>
  </w:style>
  <w:style w:type="character" w:customStyle="1" w:styleId="awspan">
    <w:name w:val="awspan"/>
    <w:basedOn w:val="Predvolenpsmoodseku"/>
    <w:qFormat/>
    <w:rsid w:val="0042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F629-EC48-43B1-9CB6-5A54B544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Mészáros, PhD.</dc:creator>
  <cp:keywords/>
  <dc:description/>
  <cp:lastModifiedBy>klub OĽANO</cp:lastModifiedBy>
  <cp:revision>4</cp:revision>
  <dcterms:created xsi:type="dcterms:W3CDTF">2023-04-14T07:42:00Z</dcterms:created>
  <dcterms:modified xsi:type="dcterms:W3CDTF">2023-04-14T09:39:00Z</dcterms:modified>
</cp:coreProperties>
</file>