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17AD4" w14:textId="0BED0DC4" w:rsidR="00424669" w:rsidRPr="002E5011" w:rsidRDefault="00424669" w:rsidP="002F2913">
      <w:pPr>
        <w:widowControl w:val="0"/>
        <w:spacing w:after="4"/>
        <w:jc w:val="center"/>
        <w:rPr>
          <w:b/>
          <w:caps/>
          <w:spacing w:val="30"/>
          <w:lang w:val="sk-SK"/>
        </w:rPr>
      </w:pPr>
      <w:r w:rsidRPr="002E5011">
        <w:rPr>
          <w:b/>
          <w:caps/>
          <w:spacing w:val="30"/>
          <w:lang w:val="sk-SK"/>
        </w:rPr>
        <w:t>Dôvodová správa</w:t>
      </w:r>
    </w:p>
    <w:p w14:paraId="073482B3" w14:textId="77777777" w:rsidR="008B7878" w:rsidRPr="002E5011" w:rsidRDefault="008B7878" w:rsidP="002F2913">
      <w:pPr>
        <w:widowControl w:val="0"/>
        <w:spacing w:after="4"/>
        <w:ind w:left="360" w:hanging="360"/>
        <w:jc w:val="both"/>
        <w:rPr>
          <w:bCs/>
          <w:lang w:val="sk-SK"/>
        </w:rPr>
      </w:pPr>
    </w:p>
    <w:p w14:paraId="0486CC7F" w14:textId="77777777" w:rsidR="008B7878" w:rsidRPr="00073C3F" w:rsidRDefault="008B7878" w:rsidP="002F2913">
      <w:pPr>
        <w:pStyle w:val="Odsekzoznamu"/>
        <w:widowControl w:val="0"/>
        <w:numPr>
          <w:ilvl w:val="0"/>
          <w:numId w:val="1"/>
        </w:numPr>
        <w:spacing w:after="4"/>
        <w:ind w:left="360"/>
        <w:jc w:val="both"/>
        <w:rPr>
          <w:b/>
          <w:lang w:val="sk-SK"/>
        </w:rPr>
      </w:pPr>
      <w:r w:rsidRPr="00073C3F">
        <w:rPr>
          <w:b/>
          <w:lang w:val="sk-SK"/>
        </w:rPr>
        <w:t>Všeobecná časť</w:t>
      </w:r>
    </w:p>
    <w:p w14:paraId="466B930B" w14:textId="77777777" w:rsidR="00D81343" w:rsidRPr="002E5011" w:rsidRDefault="00D81343" w:rsidP="002F2913">
      <w:pPr>
        <w:widowControl w:val="0"/>
        <w:spacing w:after="4"/>
        <w:jc w:val="both"/>
        <w:rPr>
          <w:bCs/>
          <w:lang w:val="sk-SK"/>
        </w:rPr>
      </w:pPr>
    </w:p>
    <w:p w14:paraId="11A7EE2F" w14:textId="362AB7D6" w:rsidR="00AD0264" w:rsidRPr="002E5011" w:rsidRDefault="00F74D1A" w:rsidP="0013045C">
      <w:pPr>
        <w:widowControl w:val="0"/>
        <w:spacing w:after="4"/>
        <w:jc w:val="both"/>
        <w:rPr>
          <w:bCs/>
          <w:lang w:val="sk-SK"/>
        </w:rPr>
      </w:pPr>
      <w:r w:rsidRPr="002E5011">
        <w:rPr>
          <w:bCs/>
          <w:lang w:val="sk-SK"/>
        </w:rPr>
        <w:t xml:space="preserve">Poslanci Národnej rady </w:t>
      </w:r>
      <w:r w:rsidR="00AD0264" w:rsidRPr="002E5011">
        <w:rPr>
          <w:bCs/>
          <w:lang w:val="sk-SK"/>
        </w:rPr>
        <w:t>Slovenskej republiky</w:t>
      </w:r>
      <w:r w:rsidR="00347FC7" w:rsidRPr="002E5011">
        <w:rPr>
          <w:bCs/>
          <w:lang w:val="sk-SK"/>
        </w:rPr>
        <w:t xml:space="preserve"> </w:t>
      </w:r>
      <w:r w:rsidR="0093747E" w:rsidRPr="0093747E">
        <w:rPr>
          <w:bCs/>
          <w:lang w:val="sk-SK"/>
        </w:rPr>
        <w:t>Marek Krajčí,  Zuzan</w:t>
      </w:r>
      <w:r w:rsidR="0093747E">
        <w:rPr>
          <w:bCs/>
          <w:lang w:val="sk-SK"/>
        </w:rPr>
        <w:t>a</w:t>
      </w:r>
      <w:r w:rsidR="0093747E" w:rsidRPr="0093747E">
        <w:rPr>
          <w:bCs/>
          <w:lang w:val="sk-SK"/>
        </w:rPr>
        <w:t xml:space="preserve"> Šebov</w:t>
      </w:r>
      <w:r w:rsidR="0093747E">
        <w:rPr>
          <w:bCs/>
          <w:lang w:val="sk-SK"/>
        </w:rPr>
        <w:t>á</w:t>
      </w:r>
      <w:r w:rsidR="0093747E" w:rsidRPr="0093747E">
        <w:rPr>
          <w:bCs/>
          <w:lang w:val="sk-SK"/>
        </w:rPr>
        <w:t>, Vladimír Baláž a Richard Raši</w:t>
      </w:r>
      <w:r w:rsidR="0093747E">
        <w:rPr>
          <w:bCs/>
          <w:lang w:val="sk-SK"/>
        </w:rPr>
        <w:t xml:space="preserve"> </w:t>
      </w:r>
      <w:r w:rsidR="00AD0264" w:rsidRPr="002E5011">
        <w:rPr>
          <w:bCs/>
          <w:lang w:val="sk-SK"/>
        </w:rPr>
        <w:t>predklad</w:t>
      </w:r>
      <w:r w:rsidRPr="002E5011">
        <w:rPr>
          <w:bCs/>
          <w:lang w:val="sk-SK"/>
        </w:rPr>
        <w:t>ajú</w:t>
      </w:r>
      <w:r w:rsidR="00AD0264" w:rsidRPr="002E5011">
        <w:rPr>
          <w:bCs/>
          <w:lang w:val="sk-SK"/>
        </w:rPr>
        <w:t xml:space="preserve"> do legislatívneho procesu návrh zákona </w:t>
      </w:r>
      <w:r w:rsidR="00FF202C" w:rsidRPr="00FF202C">
        <w:rPr>
          <w:bCs/>
          <w:lang w:val="sk-SK"/>
        </w:rPr>
        <w:t>o postavení, pôsobnosti a financovaní Asociácie na ochranu práv pacientov Slovenskej republiky</w:t>
      </w:r>
      <w:r w:rsidR="00FF202C" w:rsidRPr="002E5011">
        <w:rPr>
          <w:bCs/>
          <w:lang w:val="sk-SK"/>
        </w:rPr>
        <w:t xml:space="preserve"> </w:t>
      </w:r>
      <w:r w:rsidR="00AD0264" w:rsidRPr="002E5011">
        <w:rPr>
          <w:bCs/>
          <w:lang w:val="sk-SK"/>
        </w:rPr>
        <w:t>(ďalej len „návrh zákona“).</w:t>
      </w:r>
    </w:p>
    <w:p w14:paraId="01F91B5D" w14:textId="77777777" w:rsidR="00283A8F" w:rsidRPr="002E5011" w:rsidRDefault="00283A8F" w:rsidP="002F2913">
      <w:pPr>
        <w:widowControl w:val="0"/>
        <w:spacing w:after="4"/>
        <w:ind w:firstLine="720"/>
        <w:jc w:val="both"/>
        <w:rPr>
          <w:bCs/>
          <w:lang w:val="sk-SK"/>
        </w:rPr>
      </w:pPr>
    </w:p>
    <w:p w14:paraId="4056E778" w14:textId="11E53ACC" w:rsidR="007C76E3" w:rsidRDefault="007C76E3" w:rsidP="0013045C">
      <w:pPr>
        <w:widowControl w:val="0"/>
        <w:spacing w:after="4"/>
        <w:jc w:val="both"/>
        <w:rPr>
          <w:bCs/>
          <w:lang w:val="sk-SK"/>
        </w:rPr>
      </w:pPr>
      <w:r w:rsidRPr="002E5011">
        <w:rPr>
          <w:bCs/>
          <w:lang w:val="sk-SK"/>
        </w:rPr>
        <w:t>Cieľom návrhu zákona je</w:t>
      </w:r>
      <w:r w:rsidR="00ED280B">
        <w:rPr>
          <w:bCs/>
          <w:lang w:val="sk-SK"/>
        </w:rPr>
        <w:t xml:space="preserve"> účelným a praktickým spôsobom realizovať záväzok z Programového vyhlásenia vlády vytvoriť inštitút pacientskeho ombudsmana. Práve Asociácia na ochranu práv pacientov Slovenskej republiky (ďalej len „AOPP“) už dve desaťročia vykonáva tie funkcie, ktoré materiálne zodpovedajú úlohe pacientskeho ombudsmana. Ako združenie zastrešujúce </w:t>
      </w:r>
      <w:r w:rsidR="0064059D">
        <w:rPr>
          <w:bCs/>
          <w:lang w:val="sk-SK"/>
        </w:rPr>
        <w:t>50</w:t>
      </w:r>
      <w:r w:rsidR="00ED280B">
        <w:rPr>
          <w:bCs/>
          <w:lang w:val="sk-SK"/>
        </w:rPr>
        <w:t xml:space="preserve"> organizácií pôsobiacich v oblasti ochrany práv pacientov má v tejto oblasti dlhoročné praktické skúsenosti a výsledky, a svoju štruktúru a metódy práce plne prispôsobené potrebám efektívnej ochrany práv pacienta.</w:t>
      </w:r>
    </w:p>
    <w:p w14:paraId="1CDD9630" w14:textId="77777777" w:rsidR="00ED280B" w:rsidRDefault="00ED280B" w:rsidP="0013045C">
      <w:pPr>
        <w:widowControl w:val="0"/>
        <w:spacing w:after="4"/>
        <w:jc w:val="both"/>
        <w:rPr>
          <w:bCs/>
          <w:lang w:val="sk-SK"/>
        </w:rPr>
      </w:pPr>
    </w:p>
    <w:p w14:paraId="7BD77CE9" w14:textId="527955B1" w:rsidR="00ED280B" w:rsidRDefault="00ED280B" w:rsidP="0013045C">
      <w:pPr>
        <w:widowControl w:val="0"/>
        <w:spacing w:after="4"/>
        <w:jc w:val="both"/>
        <w:rPr>
          <w:bCs/>
          <w:lang w:val="sk-SK"/>
        </w:rPr>
      </w:pPr>
      <w:r>
        <w:rPr>
          <w:bCs/>
          <w:lang w:val="sk-SK"/>
        </w:rPr>
        <w:t>Úrad tzv. štátneho ombudsmana by znamenal výrazne vyššie finančné náklady na štátny rozpočet a zároveň by bol spojený s logisticky zložitejším rozbehom, ako využitie nezávislej, odbornej a nestrannej platformy s preukaznými výsledkami</w:t>
      </w:r>
      <w:r w:rsidR="00527211">
        <w:rPr>
          <w:bCs/>
          <w:lang w:val="sk-SK"/>
        </w:rPr>
        <w:t>, ktorú v Slovenskej republike predstavuje práve AOPP</w:t>
      </w:r>
      <w:r>
        <w:rPr>
          <w:bCs/>
          <w:lang w:val="sk-SK"/>
        </w:rPr>
        <w:t>.</w:t>
      </w:r>
    </w:p>
    <w:p w14:paraId="71F51775" w14:textId="77777777" w:rsidR="00527211" w:rsidRDefault="00527211" w:rsidP="0013045C">
      <w:pPr>
        <w:widowControl w:val="0"/>
        <w:spacing w:after="4"/>
        <w:jc w:val="both"/>
        <w:rPr>
          <w:bCs/>
          <w:lang w:val="sk-SK"/>
        </w:rPr>
      </w:pPr>
    </w:p>
    <w:p w14:paraId="6291D864" w14:textId="7C8C0B10" w:rsidR="00527211" w:rsidRDefault="00527211" w:rsidP="0013045C">
      <w:pPr>
        <w:widowControl w:val="0"/>
        <w:spacing w:after="4"/>
        <w:jc w:val="both"/>
        <w:rPr>
          <w:bCs/>
          <w:lang w:val="sk-SK"/>
        </w:rPr>
      </w:pPr>
      <w:r>
        <w:rPr>
          <w:bCs/>
          <w:lang w:val="sk-SK"/>
        </w:rPr>
        <w:t>Programové vyhlásenie vlády zároveň obsahuje záväzok podporiť nezávislé financovanie pacientskych organizácií a tiež záväzok zákonom posilniť postavenie</w:t>
      </w:r>
      <w:r w:rsidRPr="00527211">
        <w:rPr>
          <w:bCs/>
          <w:lang w:val="sk-SK"/>
        </w:rPr>
        <w:t xml:space="preserve"> </w:t>
      </w:r>
      <w:r>
        <w:rPr>
          <w:bCs/>
          <w:lang w:val="sk-SK"/>
        </w:rPr>
        <w:t>pacientskych organizácií pri tvorbe legislatívy a zabezpečiť ich nezávislé financovanie.</w:t>
      </w:r>
    </w:p>
    <w:p w14:paraId="25B3C4A7" w14:textId="77777777" w:rsidR="00527211" w:rsidRDefault="00527211" w:rsidP="0013045C">
      <w:pPr>
        <w:widowControl w:val="0"/>
        <w:spacing w:after="4"/>
        <w:jc w:val="both"/>
        <w:rPr>
          <w:bCs/>
          <w:lang w:val="sk-SK"/>
        </w:rPr>
      </w:pPr>
    </w:p>
    <w:p w14:paraId="23916132" w14:textId="0FD01D53" w:rsidR="00527211" w:rsidRDefault="00527211" w:rsidP="0013045C">
      <w:pPr>
        <w:widowControl w:val="0"/>
        <w:spacing w:after="4"/>
        <w:jc w:val="both"/>
        <w:rPr>
          <w:bCs/>
          <w:lang w:val="sk-SK"/>
        </w:rPr>
      </w:pPr>
      <w:r>
        <w:rPr>
          <w:bCs/>
          <w:lang w:val="sk-SK"/>
        </w:rPr>
        <w:t>Navrhovaný model predstavuje syntézu uvedených záväzkov, ktorá nielen prinesie bezprostredný úžitok širokej pacientskej verejnosti, ale zároveň odbremení štátnu správu od ekonomicky a organizačne podstatne nákladnejšej verzie, spočívajúcej v zriadení nového úradu takpovediac na zelenej lúke.</w:t>
      </w:r>
    </w:p>
    <w:p w14:paraId="5368DFC2" w14:textId="77777777" w:rsidR="00E02BC0" w:rsidRPr="002E5011" w:rsidRDefault="00E02BC0" w:rsidP="002F2913">
      <w:pPr>
        <w:widowControl w:val="0"/>
        <w:spacing w:after="4"/>
        <w:ind w:firstLine="720"/>
        <w:jc w:val="both"/>
        <w:rPr>
          <w:bCs/>
          <w:lang w:val="sk-SK"/>
        </w:rPr>
      </w:pPr>
    </w:p>
    <w:p w14:paraId="795CF036" w14:textId="134963BA" w:rsidR="00E02BC0" w:rsidRPr="002E5011" w:rsidRDefault="00E02BC0" w:rsidP="0013045C">
      <w:pPr>
        <w:widowControl w:val="0"/>
        <w:spacing w:after="4"/>
        <w:jc w:val="both"/>
        <w:rPr>
          <w:bCs/>
          <w:lang w:val="sk-SK"/>
        </w:rPr>
      </w:pPr>
      <w:r w:rsidRPr="002E5011">
        <w:rPr>
          <w:bCs/>
          <w:lang w:val="sk-SK"/>
        </w:rPr>
        <w:t>Účinnosť navrhovanej právnej úpravy sa navrhuje od 1.</w:t>
      </w:r>
      <w:r w:rsidR="00ED280B">
        <w:rPr>
          <w:bCs/>
          <w:lang w:val="sk-SK"/>
        </w:rPr>
        <w:t xml:space="preserve"> j</w:t>
      </w:r>
      <w:r w:rsidR="002310CE">
        <w:rPr>
          <w:bCs/>
          <w:lang w:val="sk-SK"/>
        </w:rPr>
        <w:t>anuára</w:t>
      </w:r>
      <w:r w:rsidR="00ED280B">
        <w:rPr>
          <w:bCs/>
          <w:lang w:val="sk-SK"/>
        </w:rPr>
        <w:t xml:space="preserve"> </w:t>
      </w:r>
      <w:r w:rsidRPr="002E5011">
        <w:rPr>
          <w:bCs/>
          <w:lang w:val="sk-SK"/>
        </w:rPr>
        <w:t>202</w:t>
      </w:r>
      <w:r w:rsidR="002310CE">
        <w:rPr>
          <w:bCs/>
          <w:lang w:val="sk-SK"/>
        </w:rPr>
        <w:t>4</w:t>
      </w:r>
      <w:r w:rsidRPr="002E5011">
        <w:rPr>
          <w:bCs/>
          <w:lang w:val="sk-SK"/>
        </w:rPr>
        <w:t>.</w:t>
      </w:r>
    </w:p>
    <w:p w14:paraId="7D78468B" w14:textId="77777777" w:rsidR="00E02BC0" w:rsidRPr="002E5011" w:rsidRDefault="00E02BC0" w:rsidP="002F2913">
      <w:pPr>
        <w:widowControl w:val="0"/>
        <w:spacing w:after="4"/>
        <w:ind w:firstLine="720"/>
        <w:jc w:val="both"/>
        <w:rPr>
          <w:bCs/>
          <w:lang w:val="sk-SK"/>
        </w:rPr>
      </w:pPr>
    </w:p>
    <w:p w14:paraId="4A350AAE" w14:textId="77777777" w:rsidR="0093747E" w:rsidRPr="002E5011" w:rsidRDefault="0093747E" w:rsidP="0093747E">
      <w:pPr>
        <w:widowControl w:val="0"/>
        <w:spacing w:after="4"/>
        <w:jc w:val="both"/>
        <w:rPr>
          <w:bCs/>
          <w:lang w:val="sk-SK"/>
        </w:rPr>
      </w:pPr>
      <w:r>
        <w:rPr>
          <w:bCs/>
          <w:lang w:val="sk-SK"/>
        </w:rPr>
        <w:t>N</w:t>
      </w:r>
      <w:r w:rsidRPr="002E5011">
        <w:rPr>
          <w:bCs/>
          <w:lang w:val="sk-SK"/>
        </w:rPr>
        <w:t>ávrh zákona</w:t>
      </w:r>
      <w:r>
        <w:rPr>
          <w:bCs/>
          <w:lang w:val="sk-SK"/>
        </w:rPr>
        <w:t xml:space="preserve"> bude mať negatívny vplyv na </w:t>
      </w:r>
      <w:r w:rsidRPr="002E5011">
        <w:rPr>
          <w:bCs/>
          <w:lang w:val="sk-SK"/>
        </w:rPr>
        <w:t>rozpočet verejnej správy</w:t>
      </w:r>
      <w:r>
        <w:rPr>
          <w:bCs/>
          <w:lang w:val="sk-SK"/>
        </w:rPr>
        <w:t xml:space="preserve">. Návrh zákona nebude mať </w:t>
      </w:r>
      <w:r w:rsidRPr="002E5011">
        <w:rPr>
          <w:bCs/>
          <w:lang w:val="sk-SK"/>
        </w:rPr>
        <w:t>vplyvy na podnikateľské prostredie, vplyvy na informatizáciu spoločnosti a vplyvy na služby verejnej správy pre občana, nebude mať vplyvy na životné prostredie, sociálne vplyvy a vplyvy na manželstvo, rodičovstvo a rodinu.</w:t>
      </w:r>
    </w:p>
    <w:p w14:paraId="1F59AF10" w14:textId="77777777" w:rsidR="0093747E" w:rsidRDefault="0093747E" w:rsidP="0013045C">
      <w:pPr>
        <w:widowControl w:val="0"/>
        <w:spacing w:after="4"/>
        <w:jc w:val="both"/>
        <w:rPr>
          <w:bCs/>
          <w:lang w:val="sk-SK"/>
        </w:rPr>
      </w:pPr>
    </w:p>
    <w:p w14:paraId="1EFAEFB3" w14:textId="4685609C" w:rsidR="0093747E" w:rsidRPr="002E5011" w:rsidRDefault="0093747E" w:rsidP="0013045C">
      <w:pPr>
        <w:widowControl w:val="0"/>
        <w:spacing w:after="4"/>
        <w:jc w:val="both"/>
        <w:rPr>
          <w:bCs/>
          <w:lang w:val="sk-SK"/>
        </w:rPr>
      </w:pPr>
      <w:r w:rsidRPr="0093747E">
        <w:rPr>
          <w:bCs/>
          <w:lang w:val="sk-SK"/>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0351B270" w14:textId="77777777" w:rsidR="00E02BC0" w:rsidRPr="002E5011" w:rsidRDefault="00E02BC0" w:rsidP="002F2913">
      <w:pPr>
        <w:widowControl w:val="0"/>
        <w:spacing w:after="4"/>
        <w:ind w:firstLine="720"/>
        <w:jc w:val="both"/>
        <w:rPr>
          <w:bCs/>
          <w:lang w:val="sk-SK"/>
        </w:rPr>
      </w:pPr>
    </w:p>
    <w:p w14:paraId="0BDD2C2C" w14:textId="77777777" w:rsidR="00E02BC0" w:rsidRPr="002E5011" w:rsidRDefault="00E02BC0" w:rsidP="002F2913">
      <w:pPr>
        <w:widowControl w:val="0"/>
        <w:spacing w:after="4"/>
        <w:ind w:firstLine="720"/>
        <w:jc w:val="both"/>
        <w:rPr>
          <w:bCs/>
          <w:lang w:val="sk-SK"/>
        </w:rPr>
      </w:pPr>
    </w:p>
    <w:p w14:paraId="6279A4EB" w14:textId="77777777" w:rsidR="009F5E6A" w:rsidRPr="002E5011" w:rsidRDefault="009F5E6A" w:rsidP="002F2913">
      <w:pPr>
        <w:widowControl w:val="0"/>
        <w:spacing w:after="4"/>
        <w:jc w:val="both"/>
        <w:rPr>
          <w:bCs/>
          <w:lang w:val="sk-SK"/>
        </w:rPr>
        <w:sectPr w:rsidR="009F5E6A" w:rsidRPr="002E5011" w:rsidSect="00AC1260">
          <w:pgSz w:w="11900" w:h="16840"/>
          <w:pgMar w:top="1440" w:right="1440" w:bottom="1440" w:left="1440" w:header="720" w:footer="720" w:gutter="0"/>
          <w:cols w:space="720"/>
          <w:docGrid w:linePitch="360"/>
        </w:sectPr>
      </w:pPr>
    </w:p>
    <w:p w14:paraId="66D162DB" w14:textId="77777777" w:rsidR="004E456B" w:rsidRPr="002E5011" w:rsidRDefault="004E456B" w:rsidP="002F2913">
      <w:pPr>
        <w:widowControl w:val="0"/>
        <w:spacing w:after="4"/>
        <w:jc w:val="center"/>
        <w:rPr>
          <w:b/>
          <w:caps/>
          <w:spacing w:val="30"/>
          <w:lang w:val="sk-SK"/>
        </w:rPr>
      </w:pPr>
      <w:r w:rsidRPr="002E5011">
        <w:rPr>
          <w:b/>
          <w:caps/>
          <w:spacing w:val="30"/>
          <w:lang w:val="sk-SK"/>
        </w:rPr>
        <w:lastRenderedPageBreak/>
        <w:t>Dôvodová správa</w:t>
      </w:r>
    </w:p>
    <w:p w14:paraId="09CA6266" w14:textId="77777777" w:rsidR="004E456B" w:rsidRPr="002E5011" w:rsidRDefault="004E456B" w:rsidP="002F2913">
      <w:pPr>
        <w:widowControl w:val="0"/>
        <w:spacing w:after="4"/>
        <w:ind w:left="360" w:hanging="360"/>
        <w:jc w:val="both"/>
        <w:rPr>
          <w:bCs/>
          <w:lang w:val="sk-SK"/>
        </w:rPr>
      </w:pPr>
    </w:p>
    <w:p w14:paraId="342D99AE" w14:textId="77777777" w:rsidR="004E456B" w:rsidRPr="005505F6" w:rsidRDefault="004E456B" w:rsidP="002F2913">
      <w:pPr>
        <w:pStyle w:val="Odsekzoznamu"/>
        <w:widowControl w:val="0"/>
        <w:numPr>
          <w:ilvl w:val="0"/>
          <w:numId w:val="9"/>
        </w:numPr>
        <w:spacing w:after="4"/>
        <w:ind w:left="0" w:firstLine="0"/>
        <w:jc w:val="both"/>
        <w:rPr>
          <w:b/>
          <w:lang w:val="sk-SK"/>
        </w:rPr>
      </w:pPr>
      <w:r w:rsidRPr="005505F6">
        <w:rPr>
          <w:b/>
          <w:lang w:val="sk-SK"/>
        </w:rPr>
        <w:t>Osobitná časť</w:t>
      </w:r>
    </w:p>
    <w:p w14:paraId="6BAAD6B2" w14:textId="77777777" w:rsidR="005505F6" w:rsidRDefault="005505F6" w:rsidP="005505F6">
      <w:pPr>
        <w:widowControl w:val="0"/>
        <w:spacing w:after="4"/>
        <w:jc w:val="both"/>
        <w:rPr>
          <w:bCs/>
          <w:lang w:val="sk-SK"/>
        </w:rPr>
      </w:pPr>
    </w:p>
    <w:p w14:paraId="4FE42F3F" w14:textId="77777777" w:rsidR="005505F6" w:rsidRPr="005505F6" w:rsidRDefault="005505F6" w:rsidP="005505F6">
      <w:pPr>
        <w:widowControl w:val="0"/>
        <w:spacing w:after="4"/>
        <w:jc w:val="both"/>
        <w:rPr>
          <w:b/>
          <w:lang w:val="sk-SK"/>
        </w:rPr>
      </w:pPr>
    </w:p>
    <w:p w14:paraId="04C78511" w14:textId="75DF9938" w:rsidR="004E456B" w:rsidRPr="002E5011" w:rsidRDefault="004E456B" w:rsidP="002F2913">
      <w:pPr>
        <w:pStyle w:val="Odsekzoznamu"/>
        <w:widowControl w:val="0"/>
        <w:numPr>
          <w:ilvl w:val="0"/>
          <w:numId w:val="15"/>
        </w:numPr>
        <w:autoSpaceDE w:val="0"/>
        <w:autoSpaceDN w:val="0"/>
        <w:spacing w:afterLines="20" w:after="48"/>
        <w:ind w:left="1170" w:right="40" w:hanging="1170"/>
        <w:contextualSpacing w:val="0"/>
        <w:jc w:val="both"/>
        <w:rPr>
          <w:b/>
          <w:lang w:val="sk-SK"/>
        </w:rPr>
      </w:pPr>
    </w:p>
    <w:p w14:paraId="279516EA" w14:textId="77777777" w:rsidR="005102DA" w:rsidRDefault="005102DA" w:rsidP="002F2913">
      <w:pPr>
        <w:widowControl w:val="0"/>
        <w:spacing w:afterLines="20" w:after="48"/>
        <w:ind w:right="40"/>
        <w:jc w:val="both"/>
        <w:rPr>
          <w:bCs/>
          <w:lang w:val="sk-SK"/>
        </w:rPr>
      </w:pPr>
    </w:p>
    <w:p w14:paraId="7C804139" w14:textId="1BA9A989" w:rsidR="004E456B" w:rsidRPr="002E5011" w:rsidRDefault="005102DA" w:rsidP="002F2913">
      <w:pPr>
        <w:widowControl w:val="0"/>
        <w:spacing w:afterLines="20" w:after="48"/>
        <w:ind w:right="40"/>
        <w:jc w:val="both"/>
        <w:rPr>
          <w:bCs/>
          <w:lang w:val="sk-SK"/>
        </w:rPr>
      </w:pPr>
      <w:r>
        <w:rPr>
          <w:bCs/>
          <w:lang w:val="sk-SK"/>
        </w:rPr>
        <w:t>Definuje sa postavenie AOPP ako nezávislej právnickej osoby s celoštátnou pôsobnosťou, a to rovnakým spôsobom, aký sa v právnom poriadku už používa napríklad pri vymedzení pôsobnosti Slovenského zväzu protifašistických bojovníkov.</w:t>
      </w:r>
    </w:p>
    <w:p w14:paraId="5784623D" w14:textId="77777777" w:rsidR="00FF202C" w:rsidRDefault="00FF202C" w:rsidP="002F2913">
      <w:pPr>
        <w:widowControl w:val="0"/>
        <w:spacing w:afterLines="20" w:after="48"/>
        <w:ind w:right="40"/>
        <w:jc w:val="both"/>
        <w:rPr>
          <w:bCs/>
          <w:lang w:val="sk-SK"/>
        </w:rPr>
      </w:pPr>
    </w:p>
    <w:p w14:paraId="4A3C44D0" w14:textId="77777777" w:rsidR="00FF202C" w:rsidRDefault="00FF202C" w:rsidP="00FF202C">
      <w:pPr>
        <w:pStyle w:val="Odsekzoznamu"/>
        <w:widowControl w:val="0"/>
        <w:numPr>
          <w:ilvl w:val="0"/>
          <w:numId w:val="15"/>
        </w:numPr>
        <w:autoSpaceDE w:val="0"/>
        <w:autoSpaceDN w:val="0"/>
        <w:spacing w:afterLines="20" w:after="48"/>
        <w:ind w:left="1170" w:right="40" w:hanging="1170"/>
        <w:contextualSpacing w:val="0"/>
        <w:jc w:val="both"/>
        <w:rPr>
          <w:bCs/>
          <w:lang w:val="sk-SK"/>
        </w:rPr>
      </w:pPr>
    </w:p>
    <w:p w14:paraId="16CC04B9" w14:textId="77777777" w:rsidR="005102DA" w:rsidRDefault="005102DA" w:rsidP="002F2913">
      <w:pPr>
        <w:widowControl w:val="0"/>
        <w:spacing w:afterLines="20" w:after="48"/>
        <w:ind w:right="40"/>
        <w:jc w:val="both"/>
        <w:rPr>
          <w:bCs/>
          <w:lang w:val="sk-SK"/>
        </w:rPr>
      </w:pPr>
    </w:p>
    <w:p w14:paraId="08827D64" w14:textId="3759E1EF" w:rsidR="00FF202C" w:rsidRDefault="005102DA" w:rsidP="002F2913">
      <w:pPr>
        <w:widowControl w:val="0"/>
        <w:spacing w:afterLines="20" w:after="48"/>
        <w:ind w:right="40"/>
        <w:jc w:val="both"/>
        <w:rPr>
          <w:bCs/>
          <w:lang w:val="sk-SK"/>
        </w:rPr>
      </w:pPr>
      <w:r>
        <w:rPr>
          <w:bCs/>
          <w:lang w:val="sk-SK"/>
        </w:rPr>
        <w:t>Ustanovuje sa demonštratívny výpočet úloh, ktoré AOPP plní v oblasti ochrany práv pacientov. Takto vymedzený rozsah pôsobnosti zodpovedá potrebám účinnej ochrany práv pacientov a jeho účelnosť je preukázaná doterajšími výsledkami AOPP v danej oblasti.</w:t>
      </w:r>
    </w:p>
    <w:p w14:paraId="32513F1B" w14:textId="71EEAE92" w:rsidR="00FF202C" w:rsidRDefault="00FF202C" w:rsidP="002F2913">
      <w:pPr>
        <w:widowControl w:val="0"/>
        <w:spacing w:afterLines="20" w:after="48"/>
        <w:ind w:right="40"/>
        <w:jc w:val="both"/>
        <w:rPr>
          <w:bCs/>
          <w:lang w:val="sk-SK"/>
        </w:rPr>
      </w:pPr>
    </w:p>
    <w:p w14:paraId="6CAC06FB" w14:textId="77777777" w:rsidR="00FF202C" w:rsidRDefault="00FF202C" w:rsidP="00FF202C">
      <w:pPr>
        <w:pStyle w:val="Odsekzoznamu"/>
        <w:widowControl w:val="0"/>
        <w:numPr>
          <w:ilvl w:val="0"/>
          <w:numId w:val="15"/>
        </w:numPr>
        <w:autoSpaceDE w:val="0"/>
        <w:autoSpaceDN w:val="0"/>
        <w:spacing w:afterLines="20" w:after="48"/>
        <w:ind w:left="1170" w:right="40" w:hanging="1170"/>
        <w:contextualSpacing w:val="0"/>
        <w:jc w:val="both"/>
        <w:rPr>
          <w:bCs/>
          <w:lang w:val="sk-SK"/>
        </w:rPr>
      </w:pPr>
    </w:p>
    <w:p w14:paraId="5AA62957" w14:textId="0E3D57C8" w:rsidR="00FF202C" w:rsidRDefault="00FF202C" w:rsidP="002F2913">
      <w:pPr>
        <w:widowControl w:val="0"/>
        <w:spacing w:afterLines="20" w:after="48"/>
        <w:ind w:right="40"/>
        <w:jc w:val="both"/>
        <w:rPr>
          <w:bCs/>
          <w:lang w:val="sk-SK"/>
        </w:rPr>
      </w:pPr>
    </w:p>
    <w:p w14:paraId="625D51D8" w14:textId="7F00D884" w:rsidR="005102DA" w:rsidRDefault="005102DA" w:rsidP="002F2913">
      <w:pPr>
        <w:widowControl w:val="0"/>
        <w:spacing w:afterLines="20" w:after="48"/>
        <w:ind w:right="40"/>
        <w:jc w:val="both"/>
        <w:rPr>
          <w:bCs/>
          <w:lang w:val="sk-SK"/>
        </w:rPr>
      </w:pPr>
      <w:r>
        <w:rPr>
          <w:bCs/>
          <w:lang w:val="sk-SK"/>
        </w:rPr>
        <w:t>Ide o deklaratórne uznanie záväzkov štátu pri podpore činnosti AOPP, opäť totožným spôsobom, aký právny poriadok tieto záväzky formuluje vo vzťahu k Slovenskému zväzu protifašistických bojovníkov.</w:t>
      </w:r>
    </w:p>
    <w:p w14:paraId="3B85287E" w14:textId="11B1BEA5" w:rsidR="00FF202C" w:rsidRDefault="00FF202C" w:rsidP="002F2913">
      <w:pPr>
        <w:widowControl w:val="0"/>
        <w:spacing w:afterLines="20" w:after="48"/>
        <w:ind w:right="40"/>
        <w:jc w:val="both"/>
        <w:rPr>
          <w:bCs/>
          <w:lang w:val="sk-SK"/>
        </w:rPr>
      </w:pPr>
    </w:p>
    <w:p w14:paraId="7BEF8EE8" w14:textId="77777777" w:rsidR="00FF202C" w:rsidRDefault="00FF202C" w:rsidP="00FF202C">
      <w:pPr>
        <w:pStyle w:val="Odsekzoznamu"/>
        <w:widowControl w:val="0"/>
        <w:numPr>
          <w:ilvl w:val="0"/>
          <w:numId w:val="15"/>
        </w:numPr>
        <w:autoSpaceDE w:val="0"/>
        <w:autoSpaceDN w:val="0"/>
        <w:spacing w:afterLines="20" w:after="48"/>
        <w:ind w:left="1170" w:right="40" w:hanging="1170"/>
        <w:contextualSpacing w:val="0"/>
        <w:jc w:val="both"/>
        <w:rPr>
          <w:bCs/>
          <w:lang w:val="sk-SK"/>
        </w:rPr>
      </w:pPr>
    </w:p>
    <w:p w14:paraId="17662912" w14:textId="5E7F39A3" w:rsidR="00FF202C" w:rsidRDefault="00FF202C" w:rsidP="00FF202C">
      <w:pPr>
        <w:widowControl w:val="0"/>
        <w:autoSpaceDE w:val="0"/>
        <w:autoSpaceDN w:val="0"/>
        <w:spacing w:afterLines="20" w:after="48"/>
        <w:ind w:right="40"/>
        <w:jc w:val="both"/>
        <w:rPr>
          <w:bCs/>
          <w:lang w:val="sk-SK"/>
        </w:rPr>
      </w:pPr>
    </w:p>
    <w:p w14:paraId="079C0498" w14:textId="6CEF523D" w:rsidR="00FF202C" w:rsidRDefault="001264A2" w:rsidP="002F2913">
      <w:pPr>
        <w:widowControl w:val="0"/>
        <w:spacing w:afterLines="20" w:after="48"/>
        <w:ind w:right="40"/>
        <w:jc w:val="both"/>
        <w:rPr>
          <w:bCs/>
          <w:lang w:val="sk-SK"/>
        </w:rPr>
      </w:pPr>
      <w:r>
        <w:rPr>
          <w:bCs/>
          <w:lang w:val="sk-SK"/>
        </w:rPr>
        <w:t>Uznaním súčasného právneho stavu a nezávislého postavenia AOPP sa ustanovuje základná štruktúra, vnútorná organizácia</w:t>
      </w:r>
      <w:r w:rsidR="005102DA">
        <w:rPr>
          <w:bCs/>
          <w:lang w:val="sk-SK"/>
        </w:rPr>
        <w:t xml:space="preserve"> a</w:t>
      </w:r>
      <w:r>
        <w:rPr>
          <w:bCs/>
          <w:lang w:val="sk-SK"/>
        </w:rPr>
        <w:t> mechanizmy internej normotvorby na pôde</w:t>
      </w:r>
      <w:r w:rsidR="005102DA">
        <w:rPr>
          <w:bCs/>
          <w:lang w:val="sk-SK"/>
        </w:rPr>
        <w:t xml:space="preserve"> AOPP</w:t>
      </w:r>
      <w:r>
        <w:rPr>
          <w:bCs/>
          <w:lang w:val="sk-SK"/>
        </w:rPr>
        <w:t>.</w:t>
      </w:r>
    </w:p>
    <w:p w14:paraId="6B2D3E21" w14:textId="77777777" w:rsidR="005102DA" w:rsidRDefault="005102DA" w:rsidP="002F2913">
      <w:pPr>
        <w:widowControl w:val="0"/>
        <w:spacing w:afterLines="20" w:after="48"/>
        <w:ind w:right="40"/>
        <w:jc w:val="both"/>
        <w:rPr>
          <w:bCs/>
          <w:lang w:val="sk-SK"/>
        </w:rPr>
      </w:pPr>
    </w:p>
    <w:p w14:paraId="088B1382" w14:textId="77777777" w:rsidR="00FF202C" w:rsidRDefault="00FF202C" w:rsidP="00FF202C">
      <w:pPr>
        <w:pStyle w:val="Odsekzoznamu"/>
        <w:widowControl w:val="0"/>
        <w:numPr>
          <w:ilvl w:val="0"/>
          <w:numId w:val="15"/>
        </w:numPr>
        <w:autoSpaceDE w:val="0"/>
        <w:autoSpaceDN w:val="0"/>
        <w:spacing w:afterLines="20" w:after="48"/>
        <w:ind w:left="1170" w:right="40" w:hanging="1170"/>
        <w:contextualSpacing w:val="0"/>
        <w:jc w:val="both"/>
        <w:rPr>
          <w:bCs/>
          <w:lang w:val="sk-SK"/>
        </w:rPr>
      </w:pPr>
    </w:p>
    <w:p w14:paraId="5E524314" w14:textId="4D65638C" w:rsidR="00FF202C" w:rsidRDefault="00FF202C" w:rsidP="002F2913">
      <w:pPr>
        <w:widowControl w:val="0"/>
        <w:spacing w:afterLines="20" w:after="48"/>
        <w:ind w:right="40"/>
        <w:jc w:val="both"/>
        <w:rPr>
          <w:bCs/>
          <w:lang w:val="sk-SK"/>
        </w:rPr>
      </w:pPr>
    </w:p>
    <w:p w14:paraId="45A8CF98" w14:textId="646F98B4" w:rsidR="00527211" w:rsidRDefault="00527211" w:rsidP="002F2913">
      <w:pPr>
        <w:widowControl w:val="0"/>
        <w:spacing w:afterLines="20" w:after="48"/>
        <w:ind w:right="40"/>
        <w:jc w:val="both"/>
        <w:rPr>
          <w:bCs/>
          <w:lang w:val="sk-SK"/>
        </w:rPr>
      </w:pPr>
      <w:r>
        <w:rPr>
          <w:bCs/>
          <w:lang w:val="sk-SK"/>
        </w:rPr>
        <w:t>Ustanovuje sa okruh príjmov AOPP. Okrem bežných typov príjmov sa predpokladá aj finančný príspevok zo strany štátu, a to z rozpočtovej kapitoly Ministerstva zdravotníctva SR. Rozsah zákonom zverenej pôsobnosti a efektivita jej výkonu si vyžadujú profesionalizáciu expertného zázemia AOPP a zriadenie jej kancelárie, pričom vnútorné zdroje a dary od fyzických a právnických osôb nedokážu tieto náklady plne pokryť.</w:t>
      </w:r>
    </w:p>
    <w:p w14:paraId="284211FA" w14:textId="77777777" w:rsidR="00527211" w:rsidRDefault="00527211" w:rsidP="002F2913">
      <w:pPr>
        <w:widowControl w:val="0"/>
        <w:spacing w:afterLines="20" w:after="48"/>
        <w:ind w:right="40"/>
        <w:jc w:val="both"/>
        <w:rPr>
          <w:bCs/>
          <w:lang w:val="sk-SK"/>
        </w:rPr>
      </w:pPr>
    </w:p>
    <w:p w14:paraId="09B85C78" w14:textId="172E2BF4" w:rsidR="00527211" w:rsidRDefault="00527211" w:rsidP="002F2913">
      <w:pPr>
        <w:widowControl w:val="0"/>
        <w:spacing w:afterLines="20" w:after="48"/>
        <w:ind w:right="40"/>
        <w:jc w:val="both"/>
        <w:rPr>
          <w:bCs/>
          <w:lang w:val="sk-SK"/>
        </w:rPr>
      </w:pPr>
      <w:r>
        <w:rPr>
          <w:bCs/>
          <w:lang w:val="sk-SK"/>
        </w:rPr>
        <w:t>Navrhované riešenie je nákladovo a logisticky efektívne, a zodpovedá záväzkom z Programového vyhlásenia vlády uvedeným vo všeobecnej časti dôvodovej správy.</w:t>
      </w:r>
    </w:p>
    <w:p w14:paraId="323F6605" w14:textId="7E48F905" w:rsidR="00FF202C" w:rsidRDefault="00FF202C" w:rsidP="002F2913">
      <w:pPr>
        <w:widowControl w:val="0"/>
        <w:spacing w:afterLines="20" w:after="48"/>
        <w:ind w:right="40"/>
        <w:jc w:val="both"/>
        <w:rPr>
          <w:bCs/>
          <w:lang w:val="sk-SK"/>
        </w:rPr>
      </w:pPr>
    </w:p>
    <w:p w14:paraId="412D8A5B" w14:textId="77777777" w:rsidR="00FF202C" w:rsidRDefault="00FF202C" w:rsidP="00FF202C">
      <w:pPr>
        <w:pStyle w:val="Odsekzoznamu"/>
        <w:widowControl w:val="0"/>
        <w:numPr>
          <w:ilvl w:val="0"/>
          <w:numId w:val="15"/>
        </w:numPr>
        <w:autoSpaceDE w:val="0"/>
        <w:autoSpaceDN w:val="0"/>
        <w:spacing w:afterLines="20" w:after="48"/>
        <w:ind w:left="1170" w:right="40" w:hanging="1170"/>
        <w:contextualSpacing w:val="0"/>
        <w:jc w:val="both"/>
        <w:rPr>
          <w:bCs/>
          <w:lang w:val="sk-SK"/>
        </w:rPr>
      </w:pPr>
    </w:p>
    <w:p w14:paraId="3EFAD6E4" w14:textId="77777777" w:rsidR="00E80BC3" w:rsidRDefault="00E80BC3" w:rsidP="002F2913">
      <w:pPr>
        <w:widowControl w:val="0"/>
        <w:spacing w:afterLines="20" w:after="48"/>
        <w:ind w:right="40"/>
        <w:jc w:val="both"/>
        <w:rPr>
          <w:bCs/>
          <w:lang w:val="sk-SK"/>
        </w:rPr>
      </w:pPr>
    </w:p>
    <w:p w14:paraId="6691927B" w14:textId="28E60EBB" w:rsidR="00974AAB" w:rsidRPr="00974AAB" w:rsidRDefault="00A520F8" w:rsidP="00974AAB">
      <w:pPr>
        <w:spacing w:after="200"/>
        <w:jc w:val="both"/>
        <w:rPr>
          <w:color w:val="FF0000"/>
          <w:lang w:val="sk-SK"/>
        </w:rPr>
      </w:pPr>
      <w:r w:rsidRPr="00974AAB">
        <w:rPr>
          <w:color w:val="000000"/>
          <w:shd w:val="clear" w:color="auto" w:fill="FFFFFF"/>
          <w:lang w:val="sk-SK"/>
        </w:rPr>
        <w:t>Navrhuje sa zriadenie neinvestičn</w:t>
      </w:r>
      <w:r w:rsidR="002310CE">
        <w:rPr>
          <w:color w:val="000000"/>
          <w:shd w:val="clear" w:color="auto" w:fill="FFFFFF"/>
          <w:lang w:val="sk-SK"/>
        </w:rPr>
        <w:t>ého</w:t>
      </w:r>
      <w:r w:rsidRPr="00974AAB">
        <w:rPr>
          <w:color w:val="000000"/>
          <w:shd w:val="clear" w:color="auto" w:fill="FFFFFF"/>
          <w:lang w:val="sk-SK"/>
        </w:rPr>
        <w:t xml:space="preserve"> fond</w:t>
      </w:r>
      <w:r w:rsidR="002310CE">
        <w:rPr>
          <w:color w:val="000000"/>
          <w:shd w:val="clear" w:color="auto" w:fill="FFFFFF"/>
          <w:lang w:val="sk-SK"/>
        </w:rPr>
        <w:t>u</w:t>
      </w:r>
      <w:r w:rsidRPr="00974AAB">
        <w:rPr>
          <w:color w:val="000000"/>
          <w:shd w:val="clear" w:color="auto" w:fill="FFFFFF"/>
          <w:lang w:val="sk-SK"/>
        </w:rPr>
        <w:t xml:space="preserve"> s názvom </w:t>
      </w:r>
      <w:r w:rsidRPr="00974AAB">
        <w:rPr>
          <w:lang w:val="sk-SK"/>
        </w:rPr>
        <w:t>Fond na podporu pacientskych organizácií (ďalej „fond“)</w:t>
      </w:r>
      <w:r w:rsidR="002310CE">
        <w:rPr>
          <w:lang w:val="sk-SK"/>
        </w:rPr>
        <w:t>, ktorý bude</w:t>
      </w:r>
      <w:r w:rsidRPr="00974AAB">
        <w:rPr>
          <w:color w:val="000000"/>
          <w:shd w:val="clear" w:color="auto" w:fill="FFFFFF"/>
          <w:lang w:val="sk-SK"/>
        </w:rPr>
        <w:t xml:space="preserve"> zriadený za všeobecne prospešným účelom zriaďovacou listinou</w:t>
      </w:r>
      <w:r w:rsidRPr="00974AAB">
        <w:rPr>
          <w:lang w:val="sk-SK"/>
        </w:rPr>
        <w:t xml:space="preserve"> za účelom ochrany a podpory zdravia a vzdelávania pacientskych organizácii. </w:t>
      </w:r>
      <w:r w:rsidRPr="00974AAB">
        <w:rPr>
          <w:bCs/>
          <w:lang w:val="sk-SK"/>
        </w:rPr>
        <w:t xml:space="preserve">Okrem bežných typov príjmov fondu sa predpokladá aj finančný príspevok zo strany štátu, a to </w:t>
      </w:r>
      <w:r w:rsidRPr="00974AAB">
        <w:rPr>
          <w:bCs/>
          <w:lang w:val="sk-SK"/>
        </w:rPr>
        <w:lastRenderedPageBreak/>
        <w:t>z rozpočtovej kapitoly Ministerstva zdravotníctva SR.  Návrh vychádza z</w:t>
      </w:r>
      <w:r w:rsidR="00974AAB" w:rsidRPr="00974AAB">
        <w:rPr>
          <w:bCs/>
          <w:lang w:val="sk-SK"/>
        </w:rPr>
        <w:t> </w:t>
      </w:r>
      <w:r w:rsidRPr="00974AAB">
        <w:rPr>
          <w:bCs/>
          <w:lang w:val="sk-SK"/>
        </w:rPr>
        <w:t>PVV</w:t>
      </w:r>
      <w:r w:rsidR="00974AAB" w:rsidRPr="00974AAB">
        <w:rPr>
          <w:bCs/>
          <w:lang w:val="sk-SK"/>
        </w:rPr>
        <w:t xml:space="preserve">, v ktorom sa </w:t>
      </w:r>
      <w:r w:rsidR="00974AAB" w:rsidRPr="00974AAB">
        <w:rPr>
          <w:color w:val="000000" w:themeColor="text1"/>
          <w:lang w:val="sk-SK"/>
        </w:rPr>
        <w:t xml:space="preserve">Vláda SR zaviazala, že sa zasadí o </w:t>
      </w:r>
      <w:r w:rsidR="00974AAB" w:rsidRPr="00974AAB">
        <w:rPr>
          <w:lang w:val="sk-SK"/>
        </w:rPr>
        <w:t>podporu nezávislého financovania pacientskych organizácii</w:t>
      </w:r>
      <w:r w:rsidR="00974AAB">
        <w:rPr>
          <w:lang w:val="sk-SK"/>
        </w:rPr>
        <w:t xml:space="preserve">. </w:t>
      </w:r>
    </w:p>
    <w:p w14:paraId="07D55F4C" w14:textId="11E3ADDC" w:rsidR="00A520F8" w:rsidRDefault="00A520F8" w:rsidP="002F2913">
      <w:pPr>
        <w:widowControl w:val="0"/>
        <w:spacing w:afterLines="20" w:after="48"/>
        <w:ind w:right="40"/>
        <w:jc w:val="both"/>
        <w:rPr>
          <w:bCs/>
          <w:lang w:val="sk-SK"/>
        </w:rPr>
      </w:pPr>
    </w:p>
    <w:p w14:paraId="159747A6" w14:textId="11EBB21E" w:rsidR="00A520F8" w:rsidRPr="00974AAB" w:rsidRDefault="00974AAB" w:rsidP="002F2913">
      <w:pPr>
        <w:widowControl w:val="0"/>
        <w:spacing w:afterLines="20" w:after="48"/>
        <w:ind w:right="40"/>
        <w:jc w:val="both"/>
        <w:rPr>
          <w:b/>
          <w:bCs/>
          <w:lang w:val="sk-SK"/>
        </w:rPr>
      </w:pPr>
      <w:r w:rsidRPr="00974AAB">
        <w:rPr>
          <w:b/>
          <w:bCs/>
          <w:lang w:val="sk-SK"/>
        </w:rPr>
        <w:t>K</w:t>
      </w:r>
      <w:r w:rsidR="003C5A51">
        <w:rPr>
          <w:b/>
          <w:bCs/>
          <w:lang w:val="sk-SK"/>
        </w:rPr>
        <w:t xml:space="preserve"> </w:t>
      </w:r>
      <w:r w:rsidRPr="00974AAB">
        <w:rPr>
          <w:b/>
          <w:bCs/>
          <w:lang w:val="sk-SK"/>
        </w:rPr>
        <w:t>§ 7</w:t>
      </w:r>
    </w:p>
    <w:p w14:paraId="50F59D49" w14:textId="1FB59EBC" w:rsidR="00FF202C" w:rsidRDefault="00E80BC3" w:rsidP="002F2913">
      <w:pPr>
        <w:widowControl w:val="0"/>
        <w:spacing w:afterLines="20" w:after="48"/>
        <w:ind w:right="40"/>
        <w:jc w:val="both"/>
        <w:rPr>
          <w:bCs/>
          <w:lang w:val="sk-SK"/>
        </w:rPr>
      </w:pPr>
      <w:r>
        <w:rPr>
          <w:bCs/>
          <w:lang w:val="sk-SK"/>
        </w:rPr>
        <w:t>Navrhuje sa, aby AOPP bola príjemcom príspevku zo štátneho rozpočtu už za rok 202</w:t>
      </w:r>
      <w:r w:rsidR="00A520F8">
        <w:rPr>
          <w:bCs/>
          <w:lang w:val="sk-SK"/>
        </w:rPr>
        <w:t>4</w:t>
      </w:r>
      <w:r>
        <w:rPr>
          <w:bCs/>
          <w:lang w:val="sk-SK"/>
        </w:rPr>
        <w:t>, a to na účely profesionalizácie a posilnenia jej odborných aj administratívnych kapacít.</w:t>
      </w:r>
    </w:p>
    <w:p w14:paraId="68BCF67A" w14:textId="54572A67" w:rsidR="00FF202C" w:rsidRDefault="00FF202C" w:rsidP="002F2913">
      <w:pPr>
        <w:widowControl w:val="0"/>
        <w:spacing w:afterLines="20" w:after="48"/>
        <w:ind w:right="40"/>
        <w:jc w:val="both"/>
        <w:rPr>
          <w:bCs/>
          <w:lang w:val="sk-SK"/>
        </w:rPr>
      </w:pPr>
    </w:p>
    <w:p w14:paraId="5E954C0A" w14:textId="7CE29330" w:rsidR="007C4340" w:rsidRDefault="007C4340" w:rsidP="007C4340">
      <w:pPr>
        <w:widowControl w:val="0"/>
        <w:spacing w:after="4"/>
        <w:jc w:val="both"/>
        <w:rPr>
          <w:b/>
          <w:lang w:val="sk-SK"/>
        </w:rPr>
      </w:pPr>
      <w:r>
        <w:rPr>
          <w:b/>
          <w:lang w:val="sk-SK"/>
        </w:rPr>
        <w:t>K </w:t>
      </w:r>
      <w:r w:rsidR="0093747E">
        <w:rPr>
          <w:b/>
          <w:lang w:val="sk-SK"/>
        </w:rPr>
        <w:t>§ 8</w:t>
      </w:r>
      <w:r>
        <w:rPr>
          <w:b/>
          <w:lang w:val="sk-SK"/>
        </w:rPr>
        <w:t xml:space="preserve"> </w:t>
      </w:r>
    </w:p>
    <w:p w14:paraId="0B647ABF" w14:textId="77777777" w:rsidR="007C4340" w:rsidRDefault="007C4340" w:rsidP="007C4340">
      <w:pPr>
        <w:widowControl w:val="0"/>
        <w:spacing w:after="4"/>
        <w:jc w:val="both"/>
        <w:rPr>
          <w:b/>
          <w:lang w:val="sk-SK"/>
        </w:rPr>
      </w:pPr>
    </w:p>
    <w:p w14:paraId="4F267FF4" w14:textId="7F74DD6C" w:rsidR="006E507C" w:rsidRDefault="00C7188B" w:rsidP="00F45504">
      <w:pPr>
        <w:widowControl w:val="0"/>
        <w:spacing w:afterLines="20" w:after="48"/>
        <w:ind w:right="40"/>
        <w:jc w:val="both"/>
        <w:rPr>
          <w:bCs/>
          <w:lang w:val="sk-SK"/>
        </w:rPr>
      </w:pPr>
      <w:r>
        <w:rPr>
          <w:bCs/>
          <w:lang w:val="sk-SK"/>
        </w:rPr>
        <w:t>N</w:t>
      </w:r>
      <w:r w:rsidR="00FF202C">
        <w:rPr>
          <w:bCs/>
          <w:lang w:val="sk-SK"/>
        </w:rPr>
        <w:t>avrhuje</w:t>
      </w:r>
      <w:r>
        <w:rPr>
          <w:bCs/>
          <w:lang w:val="sk-SK"/>
        </w:rPr>
        <w:t xml:space="preserve"> sa účinnosť</w:t>
      </w:r>
      <w:r w:rsidR="00FF202C">
        <w:rPr>
          <w:bCs/>
          <w:lang w:val="sk-SK"/>
        </w:rPr>
        <w:t xml:space="preserve"> od 1. </w:t>
      </w:r>
      <w:r w:rsidR="00A520F8">
        <w:rPr>
          <w:bCs/>
          <w:lang w:val="sk-SK"/>
        </w:rPr>
        <w:t>januára</w:t>
      </w:r>
      <w:r w:rsidR="00E80BC3">
        <w:rPr>
          <w:bCs/>
          <w:lang w:val="sk-SK"/>
        </w:rPr>
        <w:t xml:space="preserve"> </w:t>
      </w:r>
      <w:r w:rsidR="00FF202C">
        <w:rPr>
          <w:bCs/>
          <w:lang w:val="sk-SK"/>
        </w:rPr>
        <w:t>202</w:t>
      </w:r>
      <w:r w:rsidR="00A520F8">
        <w:rPr>
          <w:bCs/>
          <w:lang w:val="sk-SK"/>
        </w:rPr>
        <w:t>4</w:t>
      </w:r>
      <w:r w:rsidR="0093747E">
        <w:rPr>
          <w:bCs/>
          <w:lang w:val="sk-SK"/>
        </w:rPr>
        <w:t>.</w:t>
      </w:r>
    </w:p>
    <w:p w14:paraId="2CFA9EAC" w14:textId="25A5F46B" w:rsidR="006C38E4" w:rsidRDefault="006C38E4" w:rsidP="00F45504">
      <w:pPr>
        <w:widowControl w:val="0"/>
        <w:spacing w:afterLines="20" w:after="48"/>
        <w:ind w:right="40"/>
        <w:jc w:val="both"/>
        <w:rPr>
          <w:bCs/>
          <w:lang w:val="sk-SK"/>
        </w:rPr>
      </w:pPr>
    </w:p>
    <w:p w14:paraId="6A9E6EBB" w14:textId="5B0AEF2C" w:rsidR="006C38E4" w:rsidRDefault="006C38E4" w:rsidP="00F45504">
      <w:pPr>
        <w:widowControl w:val="0"/>
        <w:spacing w:afterLines="20" w:after="48"/>
        <w:ind w:right="40"/>
        <w:jc w:val="both"/>
        <w:rPr>
          <w:bCs/>
          <w:lang w:val="sk-SK"/>
        </w:rPr>
      </w:pPr>
    </w:p>
    <w:p w14:paraId="67C6E446" w14:textId="77777777" w:rsidR="0093747E" w:rsidRDefault="0093747E" w:rsidP="00F45504">
      <w:pPr>
        <w:widowControl w:val="0"/>
        <w:spacing w:afterLines="20" w:after="48"/>
        <w:ind w:right="40"/>
        <w:jc w:val="both"/>
        <w:sectPr w:rsidR="0093747E" w:rsidSect="00347FC7">
          <w:footerReference w:type="default" r:id="rId11"/>
          <w:pgSz w:w="11910" w:h="16840"/>
          <w:pgMar w:top="1440" w:right="1440" w:bottom="1440" w:left="1440" w:header="0" w:footer="1051" w:gutter="0"/>
          <w:cols w:space="720"/>
          <w:docGrid w:linePitch="326"/>
        </w:sectPr>
      </w:pPr>
    </w:p>
    <w:p w14:paraId="0597FA46" w14:textId="77777777" w:rsidR="0093747E" w:rsidRDefault="0093747E" w:rsidP="0093747E">
      <w:pPr>
        <w:spacing w:before="120" w:line="276" w:lineRule="auto"/>
        <w:jc w:val="center"/>
      </w:pPr>
      <w:r>
        <w:rPr>
          <w:b/>
          <w:caps/>
          <w:spacing w:val="30"/>
        </w:rPr>
        <w:lastRenderedPageBreak/>
        <w:t>DOLOŽKA ZLUČITEĽNOSTI</w:t>
      </w:r>
    </w:p>
    <w:p w14:paraId="3268F3B2" w14:textId="77777777" w:rsidR="0093747E" w:rsidRDefault="0093747E" w:rsidP="0093747E">
      <w:pPr>
        <w:pStyle w:val="Normlnywebov"/>
        <w:spacing w:line="276" w:lineRule="auto"/>
        <w:jc w:val="center"/>
      </w:pPr>
      <w:r>
        <w:rPr>
          <w:b/>
        </w:rPr>
        <w:t>návrhu zákona</w:t>
      </w:r>
      <w:r>
        <w:t xml:space="preserve"> </w:t>
      </w:r>
      <w:r>
        <w:rPr>
          <w:b/>
        </w:rPr>
        <w:t>s právom Európskej únie</w:t>
      </w:r>
    </w:p>
    <w:p w14:paraId="7F59CA34" w14:textId="77777777" w:rsidR="0093747E" w:rsidRDefault="0093747E" w:rsidP="0093747E">
      <w:pPr>
        <w:pStyle w:val="Normlnywebov"/>
        <w:spacing w:line="276" w:lineRule="auto"/>
        <w:jc w:val="both"/>
      </w:pPr>
      <w:r>
        <w:t> </w:t>
      </w:r>
    </w:p>
    <w:p w14:paraId="0E72E2B6" w14:textId="77777777" w:rsidR="0093747E" w:rsidRDefault="0093747E" w:rsidP="0093747E">
      <w:pPr>
        <w:pStyle w:val="Normlnywebov"/>
        <w:spacing w:line="276" w:lineRule="auto"/>
        <w:jc w:val="both"/>
      </w:pPr>
      <w:r>
        <w:rPr>
          <w:b/>
        </w:rPr>
        <w:t>1. Navrhovateľ zákona:</w:t>
      </w:r>
      <w:r>
        <w:t xml:space="preserve"> poslanci Národnej rady Slovenskej republiky </w:t>
      </w:r>
      <w:r w:rsidRPr="0093747E">
        <w:t xml:space="preserve">Marek Krajčí,  Zuzana Šebová, Vladimír Baláž a Richard Raši </w:t>
      </w:r>
    </w:p>
    <w:p w14:paraId="0433F120" w14:textId="6E5F2D0C" w:rsidR="0093747E" w:rsidRDefault="0093747E" w:rsidP="0093747E">
      <w:pPr>
        <w:pStyle w:val="Normlnywebov"/>
        <w:spacing w:line="276" w:lineRule="auto"/>
        <w:jc w:val="both"/>
        <w:rPr>
          <w:bCs/>
        </w:rPr>
      </w:pPr>
      <w:r>
        <w:rPr>
          <w:b/>
        </w:rPr>
        <w:t>2. Názov návrhu zákona</w:t>
      </w:r>
      <w:r>
        <w:t xml:space="preserve">: </w:t>
      </w:r>
      <w:r w:rsidRPr="0093747E">
        <w:rPr>
          <w:color w:val="000000"/>
        </w:rPr>
        <w:t>návrh zákona o postavení, pôsobnosti a financovaní Asociácie na ochranu práv pacientov Slovenskej republiky</w:t>
      </w:r>
    </w:p>
    <w:p w14:paraId="57B5FDF0" w14:textId="77777777" w:rsidR="0093747E" w:rsidRDefault="0093747E" w:rsidP="0093747E">
      <w:pPr>
        <w:spacing w:before="120" w:line="276" w:lineRule="auto"/>
      </w:pPr>
    </w:p>
    <w:p w14:paraId="7BDBCB8E" w14:textId="77777777" w:rsidR="0093747E" w:rsidRDefault="0093747E" w:rsidP="0093747E">
      <w:pPr>
        <w:pStyle w:val="Normlnywebov"/>
        <w:spacing w:line="276" w:lineRule="auto"/>
        <w:jc w:val="both"/>
      </w:pPr>
      <w:r>
        <w:rPr>
          <w:b/>
        </w:rPr>
        <w:t>3. Predmet návrhu zákona:</w:t>
      </w:r>
    </w:p>
    <w:p w14:paraId="3A1D11F4" w14:textId="77777777" w:rsidR="0093747E" w:rsidRDefault="0093747E" w:rsidP="0093747E">
      <w:pPr>
        <w:pStyle w:val="Normlnywebov"/>
        <w:numPr>
          <w:ilvl w:val="0"/>
          <w:numId w:val="27"/>
        </w:numPr>
        <w:autoSpaceDE w:val="0"/>
        <w:autoSpaceDN w:val="0"/>
        <w:adjustRightInd w:val="0"/>
        <w:spacing w:before="120" w:beforeAutospacing="0" w:after="0" w:afterAutospacing="0" w:line="276" w:lineRule="auto"/>
        <w:jc w:val="both"/>
      </w:pPr>
      <w:r>
        <w:t>nie je upravený v primárnom práve Európskej únie,</w:t>
      </w:r>
    </w:p>
    <w:p w14:paraId="084691CA" w14:textId="77777777" w:rsidR="0093747E" w:rsidRDefault="0093747E" w:rsidP="0093747E">
      <w:pPr>
        <w:pStyle w:val="Normlnywebov"/>
        <w:numPr>
          <w:ilvl w:val="0"/>
          <w:numId w:val="27"/>
        </w:numPr>
        <w:autoSpaceDE w:val="0"/>
        <w:autoSpaceDN w:val="0"/>
        <w:adjustRightInd w:val="0"/>
        <w:spacing w:before="120" w:beforeAutospacing="0" w:after="0" w:afterAutospacing="0" w:line="276" w:lineRule="auto"/>
        <w:jc w:val="both"/>
      </w:pPr>
      <w:r>
        <w:t xml:space="preserve">nie je upravený v sekundárnom práve Európskej únie, </w:t>
      </w:r>
    </w:p>
    <w:p w14:paraId="1653A530" w14:textId="77777777" w:rsidR="0093747E" w:rsidRDefault="0093747E" w:rsidP="0093747E">
      <w:pPr>
        <w:pStyle w:val="Normlnywebov"/>
        <w:numPr>
          <w:ilvl w:val="0"/>
          <w:numId w:val="27"/>
        </w:numPr>
        <w:autoSpaceDE w:val="0"/>
        <w:autoSpaceDN w:val="0"/>
        <w:adjustRightInd w:val="0"/>
        <w:spacing w:before="120" w:beforeAutospacing="0" w:after="0" w:afterAutospacing="0" w:line="276" w:lineRule="auto"/>
        <w:jc w:val="both"/>
      </w:pPr>
      <w:r>
        <w:t>nie je obsiahnutý v judikatúre Súdneho dvora Európskej únie.</w:t>
      </w:r>
    </w:p>
    <w:p w14:paraId="21F4DBC3" w14:textId="77777777" w:rsidR="0093747E" w:rsidRDefault="0093747E" w:rsidP="0093747E">
      <w:pPr>
        <w:pStyle w:val="Normlnywebov"/>
        <w:spacing w:line="276" w:lineRule="auto"/>
        <w:ind w:left="720"/>
        <w:jc w:val="both"/>
      </w:pPr>
    </w:p>
    <w:p w14:paraId="499F7998" w14:textId="77777777" w:rsidR="0093747E" w:rsidRDefault="0093747E" w:rsidP="0093747E">
      <w:pPr>
        <w:spacing w:before="120" w:line="276" w:lineRule="auto"/>
      </w:pPr>
      <w:r>
        <w:rPr>
          <w:b/>
        </w:rPr>
        <w:t>Vzhľadom na to, že predmet návrhu zákona nie je upravený v práve Európskej únie, je bezpredmetné vyjadrovať sa k bodom 4. a 5.</w:t>
      </w:r>
    </w:p>
    <w:p w14:paraId="06088713" w14:textId="77777777" w:rsidR="0093747E" w:rsidRDefault="0093747E" w:rsidP="0093747E">
      <w:pPr>
        <w:pStyle w:val="Normlnywebov"/>
        <w:spacing w:line="276" w:lineRule="auto"/>
        <w:jc w:val="center"/>
      </w:pPr>
    </w:p>
    <w:p w14:paraId="1032A8FD" w14:textId="77777777" w:rsidR="0093747E" w:rsidRDefault="0093747E" w:rsidP="0093747E">
      <w:pPr>
        <w:pStyle w:val="Normlnywebov"/>
        <w:pageBreakBefore/>
        <w:tabs>
          <w:tab w:val="left" w:pos="1020"/>
          <w:tab w:val="center" w:pos="4536"/>
        </w:tabs>
        <w:spacing w:line="276" w:lineRule="auto"/>
      </w:pPr>
      <w:r>
        <w:rPr>
          <w:b/>
          <w:caps/>
          <w:color w:val="000000"/>
          <w:spacing w:val="30"/>
        </w:rPr>
        <w:lastRenderedPageBreak/>
        <w:tab/>
      </w:r>
      <w:r>
        <w:rPr>
          <w:b/>
          <w:caps/>
          <w:color w:val="000000"/>
          <w:spacing w:val="30"/>
        </w:rPr>
        <w:tab/>
        <w:t>Doložka</w:t>
      </w:r>
    </w:p>
    <w:p w14:paraId="0289B786" w14:textId="77777777" w:rsidR="0093747E" w:rsidRDefault="0093747E" w:rsidP="0093747E">
      <w:pPr>
        <w:pStyle w:val="Normlnywebov"/>
        <w:spacing w:line="276" w:lineRule="auto"/>
        <w:jc w:val="center"/>
      </w:pPr>
      <w:r>
        <w:rPr>
          <w:b/>
          <w:color w:val="000000"/>
        </w:rPr>
        <w:t>vybraných vplyvov</w:t>
      </w:r>
    </w:p>
    <w:p w14:paraId="78523956" w14:textId="77777777" w:rsidR="0093747E" w:rsidRDefault="0093747E" w:rsidP="0093747E">
      <w:pPr>
        <w:pStyle w:val="Normlnywebov"/>
        <w:spacing w:line="276" w:lineRule="auto"/>
      </w:pPr>
      <w:r>
        <w:rPr>
          <w:color w:val="000000"/>
        </w:rPr>
        <w:t> </w:t>
      </w:r>
    </w:p>
    <w:p w14:paraId="056E9827" w14:textId="07C37D0F" w:rsidR="0093747E" w:rsidRDefault="0093747E" w:rsidP="0093747E">
      <w:pPr>
        <w:pStyle w:val="Normlnywebov"/>
        <w:spacing w:line="276" w:lineRule="auto"/>
        <w:jc w:val="both"/>
        <w:rPr>
          <w:b/>
          <w:color w:val="000000"/>
        </w:rPr>
      </w:pPr>
      <w:r>
        <w:rPr>
          <w:b/>
          <w:color w:val="000000"/>
        </w:rPr>
        <w:t xml:space="preserve">A.1. Názov materiálu: </w:t>
      </w:r>
      <w:r w:rsidRPr="0093747E">
        <w:t>návrh zákona o postavení, pôsobnosti a financovaní Asociácie na ochranu práv pacientov Slovenskej republiky</w:t>
      </w:r>
    </w:p>
    <w:p w14:paraId="019D391F" w14:textId="1B35F190" w:rsidR="0093747E" w:rsidRDefault="0093747E" w:rsidP="0093747E">
      <w:pPr>
        <w:pStyle w:val="Normlnywebov"/>
        <w:spacing w:line="276" w:lineRule="auto"/>
        <w:jc w:val="both"/>
      </w:pPr>
      <w:r>
        <w:rPr>
          <w:b/>
          <w:color w:val="000000"/>
        </w:rPr>
        <w:t>Termín začatia a ukončenia PPK:</w:t>
      </w:r>
      <w:r>
        <w:rPr>
          <w:color w:val="000000"/>
        </w:rPr>
        <w:t xml:space="preserve"> </w:t>
      </w:r>
      <w:r>
        <w:rPr>
          <w:i/>
          <w:color w:val="000000"/>
        </w:rPr>
        <w:t>bezpredmetné</w:t>
      </w:r>
    </w:p>
    <w:p w14:paraId="07A50174" w14:textId="77777777" w:rsidR="0093747E" w:rsidRDefault="0093747E" w:rsidP="0093747E">
      <w:pPr>
        <w:spacing w:before="120"/>
        <w:rPr>
          <w:color w:val="000000"/>
        </w:rPr>
      </w:pPr>
      <w:r>
        <w:rPr>
          <w:b/>
          <w:color w:val="000000"/>
        </w:rPr>
        <w:t xml:space="preserve"> A.2. Vplyvy:</w:t>
      </w:r>
    </w:p>
    <w:tbl>
      <w:tblPr>
        <w:tblW w:w="9210" w:type="dxa"/>
        <w:tblInd w:w="-5" w:type="dxa"/>
        <w:tblLayout w:type="fixed"/>
        <w:tblLook w:val="0400" w:firstRow="0" w:lastRow="0" w:firstColumn="0" w:lastColumn="0" w:noHBand="0" w:noVBand="1"/>
      </w:tblPr>
      <w:tblGrid>
        <w:gridCol w:w="5492"/>
        <w:gridCol w:w="1308"/>
        <w:gridCol w:w="1058"/>
        <w:gridCol w:w="1352"/>
      </w:tblGrid>
      <w:tr w:rsidR="0093747E" w14:paraId="0A98E866" w14:textId="77777777" w:rsidTr="006E0C12">
        <w:tc>
          <w:tcPr>
            <w:tcW w:w="5493" w:type="dxa"/>
            <w:tcBorders>
              <w:top w:val="single" w:sz="6" w:space="0" w:color="000001"/>
              <w:left w:val="single" w:sz="6" w:space="0" w:color="000001"/>
              <w:bottom w:val="single" w:sz="6" w:space="0" w:color="000001"/>
              <w:right w:val="single" w:sz="6" w:space="0" w:color="000001"/>
            </w:tcBorders>
            <w:vAlign w:val="center"/>
            <w:hideMark/>
          </w:tcPr>
          <w:p w14:paraId="6035728A" w14:textId="77777777" w:rsidR="0093747E" w:rsidRDefault="0093747E" w:rsidP="006E0C12">
            <w:pPr>
              <w:spacing w:before="120"/>
              <w:rPr>
                <w:color w:val="000000"/>
              </w:rPr>
            </w:pPr>
            <w:bookmarkStart w:id="0" w:name="_Hlk115171905"/>
            <w:r>
              <w:rPr>
                <w:color w:val="000000"/>
              </w:rPr>
              <w:t> </w:t>
            </w:r>
          </w:p>
        </w:tc>
        <w:tc>
          <w:tcPr>
            <w:tcW w:w="1308" w:type="dxa"/>
            <w:tcBorders>
              <w:top w:val="single" w:sz="6" w:space="0" w:color="000001"/>
              <w:left w:val="single" w:sz="6" w:space="0" w:color="000001"/>
              <w:bottom w:val="single" w:sz="6" w:space="0" w:color="000001"/>
              <w:right w:val="single" w:sz="6" w:space="0" w:color="000001"/>
            </w:tcBorders>
            <w:vAlign w:val="center"/>
            <w:hideMark/>
          </w:tcPr>
          <w:p w14:paraId="7D7814B3" w14:textId="77777777" w:rsidR="0093747E" w:rsidRDefault="0093747E" w:rsidP="006E0C12">
            <w:pPr>
              <w:spacing w:before="120"/>
              <w:rPr>
                <w:color w:val="000000"/>
              </w:rPr>
            </w:pPr>
            <w:r>
              <w:rPr>
                <w:color w:val="000000"/>
              </w:rPr>
              <w:t> Pozitívne </w:t>
            </w: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02BF033A" w14:textId="77777777" w:rsidR="0093747E" w:rsidRDefault="0093747E" w:rsidP="006E0C12">
            <w:pPr>
              <w:spacing w:before="120"/>
              <w:rPr>
                <w:color w:val="000000"/>
              </w:rPr>
            </w:pPr>
            <w:r>
              <w:rPr>
                <w:color w:val="000000"/>
              </w:rPr>
              <w:t> Žiadne </w:t>
            </w:r>
          </w:p>
        </w:tc>
        <w:tc>
          <w:tcPr>
            <w:tcW w:w="1352" w:type="dxa"/>
            <w:tcBorders>
              <w:top w:val="single" w:sz="6" w:space="0" w:color="000001"/>
              <w:left w:val="single" w:sz="6" w:space="0" w:color="000001"/>
              <w:bottom w:val="single" w:sz="6" w:space="0" w:color="000001"/>
              <w:right w:val="single" w:sz="6" w:space="0" w:color="000001"/>
            </w:tcBorders>
            <w:vAlign w:val="center"/>
            <w:hideMark/>
          </w:tcPr>
          <w:p w14:paraId="74EB86A2" w14:textId="77777777" w:rsidR="0093747E" w:rsidRDefault="0093747E" w:rsidP="006E0C12">
            <w:pPr>
              <w:spacing w:before="120"/>
              <w:rPr>
                <w:color w:val="000000"/>
              </w:rPr>
            </w:pPr>
            <w:r>
              <w:rPr>
                <w:color w:val="000000"/>
              </w:rPr>
              <w:t>Negatívne </w:t>
            </w:r>
          </w:p>
        </w:tc>
      </w:tr>
      <w:tr w:rsidR="0093747E" w14:paraId="4C720D6D" w14:textId="77777777" w:rsidTr="006E0C12">
        <w:tc>
          <w:tcPr>
            <w:tcW w:w="5493" w:type="dxa"/>
            <w:tcBorders>
              <w:top w:val="single" w:sz="6" w:space="0" w:color="000001"/>
              <w:left w:val="single" w:sz="6" w:space="0" w:color="000001"/>
              <w:bottom w:val="single" w:sz="6" w:space="0" w:color="000001"/>
              <w:right w:val="single" w:sz="6" w:space="0" w:color="000001"/>
            </w:tcBorders>
            <w:vAlign w:val="center"/>
            <w:hideMark/>
          </w:tcPr>
          <w:p w14:paraId="271838B2" w14:textId="77777777" w:rsidR="0093747E" w:rsidRDefault="0093747E" w:rsidP="006E0C12">
            <w:pPr>
              <w:spacing w:before="120"/>
              <w:rPr>
                <w:color w:val="000000"/>
              </w:rPr>
            </w:pPr>
            <w:r>
              <w:rPr>
                <w:color w:val="000000"/>
              </w:rPr>
              <w:t>1. Vplyvy na rozpočet verejnej správy</w:t>
            </w:r>
          </w:p>
        </w:tc>
        <w:tc>
          <w:tcPr>
            <w:tcW w:w="1308" w:type="dxa"/>
            <w:tcBorders>
              <w:top w:val="single" w:sz="6" w:space="0" w:color="000001"/>
              <w:left w:val="single" w:sz="6" w:space="0" w:color="000001"/>
              <w:bottom w:val="single" w:sz="6" w:space="0" w:color="000001"/>
              <w:right w:val="single" w:sz="6" w:space="0" w:color="000001"/>
            </w:tcBorders>
            <w:vAlign w:val="center"/>
          </w:tcPr>
          <w:p w14:paraId="6743BB82" w14:textId="77777777" w:rsidR="0093747E" w:rsidRDefault="0093747E" w:rsidP="006E0C12">
            <w:pPr>
              <w:spacing w:before="120"/>
              <w:jc w:val="center"/>
              <w:rPr>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tcPr>
          <w:p w14:paraId="2C7D68EF" w14:textId="77777777" w:rsidR="0093747E" w:rsidRDefault="0093747E" w:rsidP="006E0C12">
            <w:pPr>
              <w:spacing w:before="120"/>
              <w:jc w:val="center"/>
              <w:rPr>
                <w:color w:val="000000"/>
              </w:rPr>
            </w:pPr>
          </w:p>
        </w:tc>
        <w:tc>
          <w:tcPr>
            <w:tcW w:w="1352" w:type="dxa"/>
            <w:tcBorders>
              <w:top w:val="single" w:sz="6" w:space="0" w:color="000001"/>
              <w:left w:val="single" w:sz="6" w:space="0" w:color="000001"/>
              <w:bottom w:val="single" w:sz="6" w:space="0" w:color="000001"/>
              <w:right w:val="single" w:sz="6" w:space="0" w:color="000001"/>
            </w:tcBorders>
            <w:vAlign w:val="center"/>
            <w:hideMark/>
          </w:tcPr>
          <w:p w14:paraId="622F5238" w14:textId="77777777" w:rsidR="0093747E" w:rsidRDefault="0093747E" w:rsidP="006E0C12">
            <w:pPr>
              <w:spacing w:before="120"/>
              <w:jc w:val="center"/>
              <w:rPr>
                <w:color w:val="000000"/>
              </w:rPr>
            </w:pPr>
            <w:r>
              <w:rPr>
                <w:color w:val="000000"/>
              </w:rPr>
              <w:t>x</w:t>
            </w:r>
          </w:p>
        </w:tc>
      </w:tr>
      <w:tr w:rsidR="0093747E" w14:paraId="2BD857F8" w14:textId="77777777" w:rsidTr="006E0C12">
        <w:tc>
          <w:tcPr>
            <w:tcW w:w="5493" w:type="dxa"/>
            <w:tcBorders>
              <w:top w:val="single" w:sz="6" w:space="0" w:color="000001"/>
              <w:left w:val="single" w:sz="6" w:space="0" w:color="000001"/>
              <w:bottom w:val="single" w:sz="6" w:space="0" w:color="000001"/>
              <w:right w:val="single" w:sz="6" w:space="0" w:color="000001"/>
            </w:tcBorders>
            <w:vAlign w:val="center"/>
            <w:hideMark/>
          </w:tcPr>
          <w:p w14:paraId="4E79FBB1" w14:textId="77777777" w:rsidR="0093747E" w:rsidRDefault="0093747E" w:rsidP="006E0C12">
            <w:pPr>
              <w:spacing w:before="120"/>
              <w:rPr>
                <w:color w:val="000000"/>
              </w:rPr>
            </w:pPr>
            <w:r>
              <w:rPr>
                <w:color w:val="000000"/>
              </w:rPr>
              <w:t>2. Vplyvy na podnikateľské prostredie – dochádza k zvýšeniu regulačného zaťaženia?</w:t>
            </w:r>
          </w:p>
        </w:tc>
        <w:tc>
          <w:tcPr>
            <w:tcW w:w="1308" w:type="dxa"/>
            <w:tcBorders>
              <w:top w:val="single" w:sz="6" w:space="0" w:color="000001"/>
              <w:left w:val="single" w:sz="6" w:space="0" w:color="000001"/>
              <w:bottom w:val="single" w:sz="6" w:space="0" w:color="000001"/>
              <w:right w:val="single" w:sz="6" w:space="0" w:color="000001"/>
            </w:tcBorders>
            <w:vAlign w:val="center"/>
            <w:hideMark/>
          </w:tcPr>
          <w:p w14:paraId="38B9A120" w14:textId="77777777" w:rsidR="0093747E" w:rsidRDefault="0093747E" w:rsidP="006E0C12">
            <w:pPr>
              <w:spacing w:before="120"/>
              <w:jc w:val="center"/>
              <w:rPr>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tcPr>
          <w:p w14:paraId="44670AB6" w14:textId="77777777" w:rsidR="0093747E" w:rsidRDefault="0093747E" w:rsidP="006E0C12">
            <w:pPr>
              <w:spacing w:before="120"/>
              <w:jc w:val="center"/>
              <w:rPr>
                <w:color w:val="000000"/>
              </w:rPr>
            </w:pPr>
            <w:r>
              <w:rPr>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4012C9E6" w14:textId="77777777" w:rsidR="0093747E" w:rsidRDefault="0093747E" w:rsidP="006E0C12">
            <w:pPr>
              <w:spacing w:before="120"/>
              <w:jc w:val="center"/>
              <w:rPr>
                <w:color w:val="000000"/>
              </w:rPr>
            </w:pPr>
          </w:p>
        </w:tc>
      </w:tr>
      <w:tr w:rsidR="0093747E" w14:paraId="2222797E" w14:textId="77777777" w:rsidTr="006E0C12">
        <w:tc>
          <w:tcPr>
            <w:tcW w:w="5493" w:type="dxa"/>
            <w:tcBorders>
              <w:top w:val="single" w:sz="6" w:space="0" w:color="000001"/>
              <w:left w:val="single" w:sz="6" w:space="0" w:color="000001"/>
              <w:bottom w:val="single" w:sz="6" w:space="0" w:color="000001"/>
              <w:right w:val="single" w:sz="6" w:space="0" w:color="000001"/>
            </w:tcBorders>
            <w:vAlign w:val="center"/>
            <w:hideMark/>
          </w:tcPr>
          <w:p w14:paraId="25B38FA6" w14:textId="77777777" w:rsidR="0093747E" w:rsidRDefault="0093747E" w:rsidP="006E0C12">
            <w:pPr>
              <w:spacing w:before="120"/>
              <w:rPr>
                <w:color w:val="000000"/>
              </w:rPr>
            </w:pPr>
            <w:r>
              <w:rPr>
                <w:color w:val="000000"/>
              </w:rPr>
              <w:t>3. Sociálne vplyvy</w:t>
            </w:r>
          </w:p>
        </w:tc>
        <w:tc>
          <w:tcPr>
            <w:tcW w:w="1308" w:type="dxa"/>
            <w:tcBorders>
              <w:top w:val="single" w:sz="6" w:space="0" w:color="000001"/>
              <w:left w:val="single" w:sz="6" w:space="0" w:color="000001"/>
              <w:bottom w:val="single" w:sz="6" w:space="0" w:color="000001"/>
              <w:right w:val="single" w:sz="6" w:space="0" w:color="000001"/>
            </w:tcBorders>
            <w:vAlign w:val="center"/>
          </w:tcPr>
          <w:p w14:paraId="749AA2E0" w14:textId="77777777" w:rsidR="0093747E" w:rsidRDefault="0093747E" w:rsidP="006E0C12">
            <w:pPr>
              <w:spacing w:before="120"/>
              <w:jc w:val="center"/>
              <w:rPr>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6B6767D4" w14:textId="77777777" w:rsidR="0093747E" w:rsidRDefault="0093747E" w:rsidP="006E0C12">
            <w:pPr>
              <w:spacing w:before="120"/>
              <w:jc w:val="center"/>
              <w:rPr>
                <w:color w:val="000000"/>
              </w:rPr>
            </w:pPr>
            <w:r>
              <w:rPr>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790724FA" w14:textId="77777777" w:rsidR="0093747E" w:rsidRDefault="0093747E" w:rsidP="006E0C12">
            <w:pPr>
              <w:spacing w:before="120"/>
              <w:jc w:val="center"/>
              <w:rPr>
                <w:color w:val="000000"/>
              </w:rPr>
            </w:pPr>
          </w:p>
        </w:tc>
      </w:tr>
      <w:tr w:rsidR="0093747E" w14:paraId="32AAC0D3" w14:textId="77777777" w:rsidTr="006E0C12">
        <w:trPr>
          <w:trHeight w:val="441"/>
        </w:trPr>
        <w:tc>
          <w:tcPr>
            <w:tcW w:w="5493" w:type="dxa"/>
            <w:tcBorders>
              <w:top w:val="single" w:sz="6" w:space="0" w:color="000001"/>
              <w:left w:val="single" w:sz="6" w:space="0" w:color="000001"/>
              <w:bottom w:val="single" w:sz="6" w:space="0" w:color="000001"/>
              <w:right w:val="single" w:sz="6" w:space="0" w:color="000001"/>
            </w:tcBorders>
            <w:vAlign w:val="center"/>
            <w:hideMark/>
          </w:tcPr>
          <w:p w14:paraId="1F9B9531" w14:textId="77777777" w:rsidR="0093747E" w:rsidRDefault="0093747E" w:rsidP="006E0C12">
            <w:pPr>
              <w:spacing w:before="120"/>
              <w:rPr>
                <w:color w:val="000000"/>
              </w:rPr>
            </w:pPr>
            <w:r>
              <w:rPr>
                <w:color w:val="000000"/>
              </w:rPr>
              <w:t>– vplyvy na hospodárenie obyvateľstva,</w:t>
            </w:r>
          </w:p>
        </w:tc>
        <w:tc>
          <w:tcPr>
            <w:tcW w:w="1308" w:type="dxa"/>
            <w:tcBorders>
              <w:top w:val="single" w:sz="6" w:space="0" w:color="000001"/>
              <w:left w:val="single" w:sz="6" w:space="0" w:color="000001"/>
              <w:bottom w:val="single" w:sz="6" w:space="0" w:color="000001"/>
              <w:right w:val="single" w:sz="6" w:space="0" w:color="000001"/>
            </w:tcBorders>
            <w:vAlign w:val="center"/>
          </w:tcPr>
          <w:p w14:paraId="2EB7380B" w14:textId="77777777" w:rsidR="0093747E" w:rsidRDefault="0093747E" w:rsidP="006E0C12">
            <w:pPr>
              <w:spacing w:before="120"/>
              <w:jc w:val="center"/>
              <w:rPr>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45EDBD29" w14:textId="77777777" w:rsidR="0093747E" w:rsidRDefault="0093747E" w:rsidP="006E0C12">
            <w:pPr>
              <w:spacing w:before="120"/>
              <w:jc w:val="center"/>
              <w:rPr>
                <w:color w:val="000000"/>
              </w:rPr>
            </w:pPr>
            <w:r>
              <w:rPr>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4C7EAC74" w14:textId="77777777" w:rsidR="0093747E" w:rsidRDefault="0093747E" w:rsidP="006E0C12">
            <w:pPr>
              <w:spacing w:before="120"/>
              <w:jc w:val="center"/>
              <w:rPr>
                <w:color w:val="000000"/>
              </w:rPr>
            </w:pPr>
          </w:p>
        </w:tc>
      </w:tr>
      <w:tr w:rsidR="0093747E" w14:paraId="4B417356" w14:textId="77777777" w:rsidTr="006E0C12">
        <w:tc>
          <w:tcPr>
            <w:tcW w:w="5493" w:type="dxa"/>
            <w:tcBorders>
              <w:top w:val="single" w:sz="6" w:space="0" w:color="000001"/>
              <w:left w:val="single" w:sz="6" w:space="0" w:color="000001"/>
              <w:bottom w:val="single" w:sz="6" w:space="0" w:color="000001"/>
              <w:right w:val="single" w:sz="6" w:space="0" w:color="000001"/>
            </w:tcBorders>
            <w:vAlign w:val="center"/>
            <w:hideMark/>
          </w:tcPr>
          <w:p w14:paraId="5BB41A98" w14:textId="77777777" w:rsidR="0093747E" w:rsidRDefault="0093747E" w:rsidP="006E0C12">
            <w:pPr>
              <w:spacing w:before="120"/>
              <w:rPr>
                <w:color w:val="000000"/>
              </w:rPr>
            </w:pPr>
            <w:r>
              <w:rPr>
                <w:color w:val="000000"/>
              </w:rPr>
              <w:t>– sociálnu exklúziu,</w:t>
            </w:r>
          </w:p>
        </w:tc>
        <w:tc>
          <w:tcPr>
            <w:tcW w:w="1308" w:type="dxa"/>
            <w:tcBorders>
              <w:top w:val="single" w:sz="6" w:space="0" w:color="000001"/>
              <w:left w:val="single" w:sz="6" w:space="0" w:color="000001"/>
              <w:bottom w:val="single" w:sz="6" w:space="0" w:color="000001"/>
              <w:right w:val="single" w:sz="6" w:space="0" w:color="000001"/>
            </w:tcBorders>
            <w:vAlign w:val="center"/>
          </w:tcPr>
          <w:p w14:paraId="276D1F0C" w14:textId="77777777" w:rsidR="0093747E" w:rsidRDefault="0093747E" w:rsidP="006E0C12">
            <w:pPr>
              <w:spacing w:before="120"/>
              <w:jc w:val="center"/>
              <w:rPr>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204CE36E" w14:textId="77777777" w:rsidR="0093747E" w:rsidRDefault="0093747E" w:rsidP="006E0C12">
            <w:pPr>
              <w:spacing w:before="120"/>
              <w:jc w:val="center"/>
              <w:rPr>
                <w:color w:val="000000"/>
              </w:rPr>
            </w:pPr>
            <w:r>
              <w:rPr>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40BDC528" w14:textId="77777777" w:rsidR="0093747E" w:rsidRDefault="0093747E" w:rsidP="006E0C12">
            <w:pPr>
              <w:spacing w:before="120"/>
              <w:jc w:val="center"/>
              <w:rPr>
                <w:color w:val="000000"/>
              </w:rPr>
            </w:pPr>
          </w:p>
        </w:tc>
      </w:tr>
      <w:tr w:rsidR="0093747E" w14:paraId="6D01E874" w14:textId="77777777" w:rsidTr="006E0C12">
        <w:tc>
          <w:tcPr>
            <w:tcW w:w="5493" w:type="dxa"/>
            <w:tcBorders>
              <w:top w:val="single" w:sz="6" w:space="0" w:color="000001"/>
              <w:left w:val="single" w:sz="6" w:space="0" w:color="000001"/>
              <w:bottom w:val="single" w:sz="6" w:space="0" w:color="000001"/>
              <w:right w:val="single" w:sz="6" w:space="0" w:color="000001"/>
            </w:tcBorders>
            <w:vAlign w:val="center"/>
            <w:hideMark/>
          </w:tcPr>
          <w:p w14:paraId="28F281FC" w14:textId="77777777" w:rsidR="0093747E" w:rsidRDefault="0093747E" w:rsidP="006E0C12">
            <w:pPr>
              <w:spacing w:before="120"/>
              <w:rPr>
                <w:color w:val="000000"/>
              </w:rPr>
            </w:pPr>
            <w:r>
              <w:rPr>
                <w:color w:val="000000"/>
              </w:rPr>
              <w:t>– rovnosť príležitostí a rodovú rovnosť a vplyvy na zamestnanosť</w:t>
            </w:r>
          </w:p>
        </w:tc>
        <w:tc>
          <w:tcPr>
            <w:tcW w:w="1308" w:type="dxa"/>
            <w:tcBorders>
              <w:top w:val="single" w:sz="6" w:space="0" w:color="000001"/>
              <w:left w:val="single" w:sz="6" w:space="0" w:color="000001"/>
              <w:bottom w:val="single" w:sz="6" w:space="0" w:color="000001"/>
              <w:right w:val="single" w:sz="6" w:space="0" w:color="000001"/>
            </w:tcBorders>
            <w:vAlign w:val="center"/>
          </w:tcPr>
          <w:p w14:paraId="7A716EEB" w14:textId="77777777" w:rsidR="0093747E" w:rsidRDefault="0093747E" w:rsidP="006E0C12">
            <w:pPr>
              <w:spacing w:before="120"/>
              <w:jc w:val="center"/>
              <w:rPr>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6CB92D6C" w14:textId="77777777" w:rsidR="0093747E" w:rsidRDefault="0093747E" w:rsidP="006E0C12">
            <w:pPr>
              <w:spacing w:before="120"/>
              <w:jc w:val="center"/>
              <w:rPr>
                <w:color w:val="000000"/>
              </w:rPr>
            </w:pPr>
            <w:r>
              <w:rPr>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17107269" w14:textId="77777777" w:rsidR="0093747E" w:rsidRDefault="0093747E" w:rsidP="006E0C12">
            <w:pPr>
              <w:spacing w:before="120"/>
              <w:jc w:val="center"/>
              <w:rPr>
                <w:color w:val="000000"/>
              </w:rPr>
            </w:pPr>
          </w:p>
        </w:tc>
      </w:tr>
      <w:tr w:rsidR="0093747E" w14:paraId="5A535A92" w14:textId="77777777" w:rsidTr="006E0C12">
        <w:tc>
          <w:tcPr>
            <w:tcW w:w="5493" w:type="dxa"/>
            <w:tcBorders>
              <w:top w:val="single" w:sz="6" w:space="0" w:color="000001"/>
              <w:left w:val="single" w:sz="6" w:space="0" w:color="000001"/>
              <w:bottom w:val="single" w:sz="6" w:space="0" w:color="000001"/>
              <w:right w:val="single" w:sz="6" w:space="0" w:color="000001"/>
            </w:tcBorders>
            <w:vAlign w:val="center"/>
            <w:hideMark/>
          </w:tcPr>
          <w:p w14:paraId="7D3FA0D3" w14:textId="77777777" w:rsidR="0093747E" w:rsidRDefault="0093747E" w:rsidP="006E0C12">
            <w:pPr>
              <w:spacing w:before="120"/>
              <w:rPr>
                <w:color w:val="000000"/>
              </w:rPr>
            </w:pPr>
            <w:r>
              <w:rPr>
                <w:color w:val="000000"/>
              </w:rPr>
              <w:t>4. Vplyvy na životné prostredie</w:t>
            </w:r>
          </w:p>
        </w:tc>
        <w:tc>
          <w:tcPr>
            <w:tcW w:w="1308" w:type="dxa"/>
            <w:tcBorders>
              <w:top w:val="single" w:sz="6" w:space="0" w:color="000001"/>
              <w:left w:val="single" w:sz="6" w:space="0" w:color="000001"/>
              <w:bottom w:val="single" w:sz="6" w:space="0" w:color="000001"/>
              <w:right w:val="single" w:sz="6" w:space="0" w:color="000001"/>
            </w:tcBorders>
            <w:vAlign w:val="center"/>
            <w:hideMark/>
          </w:tcPr>
          <w:p w14:paraId="0D09B412" w14:textId="77777777" w:rsidR="0093747E" w:rsidRDefault="0093747E" w:rsidP="006E0C12">
            <w:pPr>
              <w:spacing w:before="120"/>
              <w:jc w:val="center"/>
              <w:rPr>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tcPr>
          <w:p w14:paraId="484DBBEE" w14:textId="77777777" w:rsidR="0093747E" w:rsidRDefault="0093747E" w:rsidP="006E0C12">
            <w:pPr>
              <w:spacing w:before="120"/>
              <w:jc w:val="center"/>
              <w:rPr>
                <w:color w:val="000000"/>
              </w:rPr>
            </w:pPr>
            <w:r>
              <w:rPr>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692F6570" w14:textId="77777777" w:rsidR="0093747E" w:rsidRDefault="0093747E" w:rsidP="006E0C12">
            <w:pPr>
              <w:spacing w:before="120"/>
              <w:jc w:val="center"/>
              <w:rPr>
                <w:color w:val="000000"/>
              </w:rPr>
            </w:pPr>
          </w:p>
        </w:tc>
      </w:tr>
      <w:tr w:rsidR="0093747E" w14:paraId="5025FE31" w14:textId="77777777" w:rsidTr="006E0C12">
        <w:tc>
          <w:tcPr>
            <w:tcW w:w="5493" w:type="dxa"/>
            <w:tcBorders>
              <w:top w:val="single" w:sz="6" w:space="0" w:color="000001"/>
              <w:left w:val="single" w:sz="6" w:space="0" w:color="000001"/>
              <w:bottom w:val="single" w:sz="6" w:space="0" w:color="000001"/>
              <w:right w:val="single" w:sz="6" w:space="0" w:color="000001"/>
            </w:tcBorders>
            <w:vAlign w:val="center"/>
            <w:hideMark/>
          </w:tcPr>
          <w:p w14:paraId="4AC6678F" w14:textId="77777777" w:rsidR="0093747E" w:rsidRDefault="0093747E" w:rsidP="006E0C12">
            <w:pPr>
              <w:spacing w:before="120"/>
              <w:rPr>
                <w:color w:val="000000"/>
              </w:rPr>
            </w:pPr>
            <w:r>
              <w:rPr>
                <w:color w:val="000000"/>
              </w:rPr>
              <w:t>5. Vplyvy na informatizáciu spoločnosti</w:t>
            </w:r>
          </w:p>
        </w:tc>
        <w:tc>
          <w:tcPr>
            <w:tcW w:w="1308" w:type="dxa"/>
            <w:tcBorders>
              <w:top w:val="single" w:sz="6" w:space="0" w:color="000001"/>
              <w:left w:val="single" w:sz="6" w:space="0" w:color="000001"/>
              <w:bottom w:val="single" w:sz="6" w:space="0" w:color="000001"/>
              <w:right w:val="single" w:sz="6" w:space="0" w:color="000001"/>
            </w:tcBorders>
            <w:vAlign w:val="center"/>
          </w:tcPr>
          <w:p w14:paraId="387FAE98" w14:textId="77777777" w:rsidR="0093747E" w:rsidRDefault="0093747E" w:rsidP="006E0C12">
            <w:pPr>
              <w:spacing w:before="120"/>
              <w:jc w:val="center"/>
              <w:rPr>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1559C84D" w14:textId="77777777" w:rsidR="0093747E" w:rsidRDefault="0093747E" w:rsidP="006E0C12">
            <w:pPr>
              <w:spacing w:before="120"/>
              <w:jc w:val="center"/>
              <w:rPr>
                <w:color w:val="000000"/>
              </w:rPr>
            </w:pPr>
            <w:r>
              <w:rPr>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3065E599" w14:textId="77777777" w:rsidR="0093747E" w:rsidRDefault="0093747E" w:rsidP="006E0C12">
            <w:pPr>
              <w:spacing w:before="120"/>
              <w:jc w:val="center"/>
              <w:rPr>
                <w:color w:val="000000"/>
              </w:rPr>
            </w:pPr>
          </w:p>
        </w:tc>
      </w:tr>
      <w:tr w:rsidR="0093747E" w14:paraId="7F1F40A7" w14:textId="77777777" w:rsidTr="006E0C12">
        <w:tc>
          <w:tcPr>
            <w:tcW w:w="5493" w:type="dxa"/>
            <w:tcBorders>
              <w:top w:val="single" w:sz="6" w:space="0" w:color="000001"/>
              <w:left w:val="single" w:sz="6" w:space="0" w:color="000001"/>
              <w:bottom w:val="single" w:sz="6" w:space="0" w:color="000001"/>
              <w:right w:val="single" w:sz="6" w:space="0" w:color="000001"/>
            </w:tcBorders>
            <w:vAlign w:val="center"/>
            <w:hideMark/>
          </w:tcPr>
          <w:p w14:paraId="5C956EF2" w14:textId="77777777" w:rsidR="0093747E" w:rsidRDefault="0093747E" w:rsidP="006E0C12">
            <w:pPr>
              <w:spacing w:before="120"/>
              <w:rPr>
                <w:color w:val="000000"/>
              </w:rPr>
            </w:pPr>
            <w:r>
              <w:rPr>
                <w:rStyle w:val="awspan"/>
                <w:color w:val="000000"/>
              </w:rPr>
              <w:t>6. Vplyvy na služby verejnej správy pre občana</w:t>
            </w:r>
          </w:p>
        </w:tc>
        <w:tc>
          <w:tcPr>
            <w:tcW w:w="1308" w:type="dxa"/>
            <w:tcBorders>
              <w:top w:val="single" w:sz="6" w:space="0" w:color="000001"/>
              <w:left w:val="single" w:sz="6" w:space="0" w:color="000001"/>
              <w:bottom w:val="single" w:sz="6" w:space="0" w:color="000001"/>
              <w:right w:val="single" w:sz="6" w:space="0" w:color="000001"/>
            </w:tcBorders>
            <w:vAlign w:val="center"/>
            <w:hideMark/>
          </w:tcPr>
          <w:p w14:paraId="6BCE2F40" w14:textId="77777777" w:rsidR="0093747E" w:rsidRDefault="0093747E" w:rsidP="006E0C12">
            <w:pPr>
              <w:spacing w:before="120"/>
              <w:jc w:val="center"/>
              <w:rPr>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tcPr>
          <w:p w14:paraId="5FF79552" w14:textId="77777777" w:rsidR="0093747E" w:rsidRDefault="0093747E" w:rsidP="006E0C12">
            <w:pPr>
              <w:spacing w:before="120"/>
              <w:jc w:val="center"/>
              <w:rPr>
                <w:color w:val="000000"/>
              </w:rPr>
            </w:pPr>
            <w:r>
              <w:rPr>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38285A5C" w14:textId="77777777" w:rsidR="0093747E" w:rsidRDefault="0093747E" w:rsidP="006E0C12">
            <w:pPr>
              <w:spacing w:before="120"/>
              <w:jc w:val="center"/>
              <w:rPr>
                <w:color w:val="000000"/>
              </w:rPr>
            </w:pPr>
          </w:p>
        </w:tc>
      </w:tr>
      <w:tr w:rsidR="0093747E" w14:paraId="323DF2DB" w14:textId="77777777" w:rsidTr="006E0C12">
        <w:tc>
          <w:tcPr>
            <w:tcW w:w="5493" w:type="dxa"/>
            <w:tcBorders>
              <w:top w:val="single" w:sz="6" w:space="0" w:color="000001"/>
              <w:left w:val="single" w:sz="6" w:space="0" w:color="000001"/>
              <w:bottom w:val="single" w:sz="6" w:space="0" w:color="000001"/>
              <w:right w:val="single" w:sz="6" w:space="0" w:color="000001"/>
            </w:tcBorders>
            <w:vAlign w:val="center"/>
            <w:hideMark/>
          </w:tcPr>
          <w:p w14:paraId="6D004093" w14:textId="77777777" w:rsidR="0093747E" w:rsidRDefault="0093747E" w:rsidP="006E0C12">
            <w:pPr>
              <w:spacing w:before="120"/>
              <w:rPr>
                <w:color w:val="000000"/>
              </w:rPr>
            </w:pPr>
            <w:r>
              <w:rPr>
                <w:rStyle w:val="awspan"/>
                <w:color w:val="000000"/>
              </w:rPr>
              <w:t>7. Vplyvy na manželstvo, rodičovstvo a rodinu</w:t>
            </w:r>
          </w:p>
        </w:tc>
        <w:tc>
          <w:tcPr>
            <w:tcW w:w="1308" w:type="dxa"/>
            <w:tcBorders>
              <w:top w:val="single" w:sz="6" w:space="0" w:color="000001"/>
              <w:left w:val="single" w:sz="6" w:space="0" w:color="000001"/>
              <w:bottom w:val="single" w:sz="6" w:space="0" w:color="000001"/>
              <w:right w:val="single" w:sz="6" w:space="0" w:color="000001"/>
            </w:tcBorders>
            <w:vAlign w:val="center"/>
          </w:tcPr>
          <w:p w14:paraId="3DBA359F" w14:textId="77777777" w:rsidR="0093747E" w:rsidRDefault="0093747E" w:rsidP="006E0C12">
            <w:pPr>
              <w:spacing w:before="120"/>
              <w:jc w:val="center"/>
              <w:rPr>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2BA7F618" w14:textId="77777777" w:rsidR="0093747E" w:rsidRDefault="0093747E" w:rsidP="006E0C12">
            <w:pPr>
              <w:spacing w:before="120"/>
              <w:jc w:val="center"/>
              <w:rPr>
                <w:color w:val="000000"/>
              </w:rPr>
            </w:pPr>
            <w:r>
              <w:rPr>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6598CEAF" w14:textId="77777777" w:rsidR="0093747E" w:rsidRDefault="0093747E" w:rsidP="006E0C12">
            <w:pPr>
              <w:spacing w:before="120"/>
              <w:jc w:val="center"/>
              <w:rPr>
                <w:color w:val="000000"/>
              </w:rPr>
            </w:pPr>
          </w:p>
        </w:tc>
      </w:tr>
    </w:tbl>
    <w:bookmarkEnd w:id="0"/>
    <w:p w14:paraId="0D9A88E3" w14:textId="77777777" w:rsidR="0093747E" w:rsidRDefault="0093747E" w:rsidP="0093747E">
      <w:pPr>
        <w:spacing w:before="120"/>
        <w:rPr>
          <w:color w:val="000000"/>
        </w:rPr>
      </w:pPr>
      <w:r>
        <w:rPr>
          <w:color w:val="000000"/>
        </w:rPr>
        <w:t> </w:t>
      </w:r>
    </w:p>
    <w:p w14:paraId="7C823152" w14:textId="77777777" w:rsidR="0093747E" w:rsidRDefault="0093747E" w:rsidP="0093747E">
      <w:pPr>
        <w:spacing w:before="120"/>
        <w:rPr>
          <w:b/>
          <w:color w:val="000000"/>
        </w:rPr>
      </w:pPr>
      <w:r>
        <w:rPr>
          <w:b/>
          <w:color w:val="000000"/>
        </w:rPr>
        <w:t>A.3. Poznámky</w:t>
      </w:r>
    </w:p>
    <w:p w14:paraId="12228430" w14:textId="77777777" w:rsidR="0093747E" w:rsidRPr="0093747E" w:rsidRDefault="0093747E" w:rsidP="0093747E">
      <w:pPr>
        <w:spacing w:before="120"/>
        <w:jc w:val="both"/>
        <w:rPr>
          <w:bCs/>
          <w:i/>
          <w:iCs/>
          <w:color w:val="000000"/>
          <w:lang w:val="sk-SK"/>
        </w:rPr>
      </w:pPr>
      <w:r w:rsidRPr="0093747E">
        <w:rPr>
          <w:bCs/>
          <w:i/>
          <w:iCs/>
          <w:color w:val="000000"/>
          <w:lang w:val="sk-SK"/>
        </w:rPr>
        <w:t xml:space="preserve">Predkladaný návrh zákona má negatívny vplyv na rozpočet verejnej správy – rozpočet miest a Odhadovaný vplyv na rozpočet verejnej správy dosahuje sumu cca. 600 tisíc eur ročne, a to v delení cca. 260 tisíc eur mzdové náklady pracovníkov Kancelárie AOPP a cca. 140 tisíc eur. Mzdové náklady sa netýkajú volených funkcionárov AOPP, ale pracovníkov Kancelárie, a ich odhad vychádza z nákladov Kancelárie Komisára pre zdravotne ťažko postihnuté osoby, ktorý zabezpečuje plnenie porovnateľných úloh. </w:t>
      </w:r>
    </w:p>
    <w:p w14:paraId="5135E8B9" w14:textId="77777777" w:rsidR="0093747E" w:rsidRPr="0093747E" w:rsidRDefault="0093747E" w:rsidP="0093747E">
      <w:pPr>
        <w:spacing w:before="120"/>
        <w:jc w:val="both"/>
        <w:rPr>
          <w:bCs/>
          <w:i/>
          <w:iCs/>
          <w:color w:val="000000"/>
          <w:lang w:val="sk-SK"/>
        </w:rPr>
      </w:pPr>
      <w:r w:rsidRPr="0093747E">
        <w:rPr>
          <w:bCs/>
          <w:i/>
          <w:iCs/>
          <w:color w:val="000000"/>
          <w:lang w:val="sk-SK"/>
        </w:rPr>
        <w:t xml:space="preserve">Odhadované náklady na zriadenie neinvestičného fondu s názvom Fond na podporu pacientskych organizácií (ďalej „fond“), ktorý bude zriadený za všeobecne prospešným účelom  podpory zdravia a vzdelávania pacientskych organizácii je vo výške 200 tisíc eur. ročne. Ďalšie peňažné prostriedky do fondu budú príspevkami od fyzických osôb, alebo vklady od právnických osôb. </w:t>
      </w:r>
    </w:p>
    <w:p w14:paraId="60F96726" w14:textId="1C2DDF65" w:rsidR="0093747E" w:rsidRPr="0093747E" w:rsidRDefault="0093747E" w:rsidP="0093747E">
      <w:pPr>
        <w:spacing w:before="120"/>
        <w:jc w:val="both"/>
        <w:rPr>
          <w:b/>
          <w:color w:val="000000"/>
          <w:lang w:val="sk-SK"/>
        </w:rPr>
      </w:pPr>
      <w:r w:rsidRPr="0093747E">
        <w:rPr>
          <w:bCs/>
          <w:i/>
          <w:iCs/>
          <w:color w:val="000000"/>
          <w:lang w:val="sk-SK"/>
        </w:rPr>
        <w:t>Výdavky z rozpočtu verejnej správy spojené s implementáciou zmien budú hradené v rámci záväzných limitov rozpočtovej kapitoly Ministerstva zdravotníctva SR.</w:t>
      </w:r>
    </w:p>
    <w:p w14:paraId="10FF268D" w14:textId="77777777" w:rsidR="0093747E" w:rsidRDefault="0093747E" w:rsidP="0093747E">
      <w:pPr>
        <w:spacing w:before="120"/>
        <w:rPr>
          <w:b/>
          <w:color w:val="000000"/>
        </w:rPr>
      </w:pPr>
    </w:p>
    <w:p w14:paraId="0F7465DF" w14:textId="77777777" w:rsidR="0093747E" w:rsidRDefault="0093747E" w:rsidP="0093747E">
      <w:pPr>
        <w:spacing w:before="120"/>
        <w:rPr>
          <w:b/>
          <w:color w:val="000000"/>
        </w:rPr>
      </w:pPr>
    </w:p>
    <w:p w14:paraId="5AF6F465" w14:textId="2776B116" w:rsidR="0093747E" w:rsidRPr="0093747E" w:rsidRDefault="0093747E" w:rsidP="0093747E">
      <w:pPr>
        <w:spacing w:before="120"/>
        <w:rPr>
          <w:b/>
          <w:color w:val="000000"/>
          <w:lang w:val="sk-SK"/>
        </w:rPr>
      </w:pPr>
      <w:r>
        <w:rPr>
          <w:b/>
          <w:color w:val="000000"/>
        </w:rPr>
        <w:lastRenderedPageBreak/>
        <w:t>A</w:t>
      </w:r>
      <w:r w:rsidRPr="0093747E">
        <w:rPr>
          <w:b/>
          <w:color w:val="000000"/>
          <w:lang w:val="sk-SK"/>
        </w:rPr>
        <w:t>.4. Alternatívne riešenia</w:t>
      </w:r>
    </w:p>
    <w:p w14:paraId="23A27F72" w14:textId="77777777" w:rsidR="0093747E" w:rsidRPr="0093747E" w:rsidRDefault="0093747E" w:rsidP="0093747E">
      <w:pPr>
        <w:spacing w:before="120"/>
        <w:jc w:val="both"/>
        <w:rPr>
          <w:i/>
          <w:color w:val="000000"/>
          <w:lang w:val="sk-SK"/>
        </w:rPr>
      </w:pPr>
      <w:r w:rsidRPr="0093747E">
        <w:rPr>
          <w:i/>
          <w:color w:val="000000"/>
          <w:lang w:val="sk-SK"/>
        </w:rPr>
        <w:t xml:space="preserve">Cieľom návrhu zákona je posilniť ochranu práv pacientov priznaním postavenia ich reprezentatívnej organizácii aj na úrovni zákona a zabezpečením jej financovania na účely plnenia jej úloh. Alternatívne riešenia nie sú prakticky dostupné, ak sa má dosiahnuť cieľ a výsledný stav. Alternatíva v podobe vytvorenia nového štátneho úradu tzv. pacientskeho ombudsmana by bola časovo a organizačne prohibitívne náročná, a zároveň by bola spojená s niekoľkonásobne vyššími nákladmi pre rozpočet verejnej správy. </w:t>
      </w:r>
    </w:p>
    <w:p w14:paraId="67AE9CB4" w14:textId="2C000BE3" w:rsidR="0093747E" w:rsidRPr="0093747E" w:rsidRDefault="0093747E" w:rsidP="0093747E">
      <w:pPr>
        <w:spacing w:before="120"/>
        <w:jc w:val="both"/>
        <w:rPr>
          <w:b/>
          <w:color w:val="000000"/>
          <w:lang w:val="sk-SK"/>
        </w:rPr>
      </w:pPr>
      <w:r w:rsidRPr="0093747E">
        <w:rPr>
          <w:i/>
          <w:color w:val="000000"/>
          <w:lang w:val="sk-SK"/>
        </w:rPr>
        <w:t xml:space="preserve">Alternatíva na zabezpečenie nezávislého financovania pre cca.130 pacientskych organizácii by bola pre štát personálne náročná a finančne nákladná.  </w:t>
      </w:r>
    </w:p>
    <w:p w14:paraId="3733F25A" w14:textId="77777777" w:rsidR="0093747E" w:rsidRDefault="0093747E" w:rsidP="0093747E">
      <w:pPr>
        <w:spacing w:before="120"/>
        <w:rPr>
          <w:b/>
          <w:color w:val="000000"/>
          <w:lang w:val="sk-SK"/>
        </w:rPr>
      </w:pPr>
    </w:p>
    <w:p w14:paraId="30BE8EBE" w14:textId="18D4CFC8" w:rsidR="0093747E" w:rsidRPr="0093747E" w:rsidRDefault="0093747E" w:rsidP="0093747E">
      <w:pPr>
        <w:spacing w:before="120"/>
        <w:rPr>
          <w:color w:val="000000"/>
          <w:lang w:val="sk-SK"/>
        </w:rPr>
      </w:pPr>
      <w:r w:rsidRPr="0093747E">
        <w:rPr>
          <w:b/>
          <w:color w:val="000000"/>
          <w:lang w:val="sk-SK"/>
        </w:rPr>
        <w:t>A.5. Stanovisko gestorov</w:t>
      </w:r>
    </w:p>
    <w:p w14:paraId="1976D156" w14:textId="77777777" w:rsidR="0093747E" w:rsidRPr="0093747E" w:rsidRDefault="0093747E" w:rsidP="0093747E">
      <w:pPr>
        <w:tabs>
          <w:tab w:val="left" w:pos="708"/>
        </w:tabs>
        <w:spacing w:before="120"/>
        <w:jc w:val="both"/>
        <w:rPr>
          <w:color w:val="000000"/>
          <w:lang w:val="sk-SK"/>
        </w:rPr>
      </w:pPr>
      <w:r w:rsidRPr="0093747E">
        <w:rPr>
          <w:i/>
          <w:color w:val="000000"/>
          <w:lang w:val="sk-SK"/>
        </w:rPr>
        <w:t>Návrh zákona bol zaslaný na vyjadrenie Ministerstvu financií SR a stanovisko tohto ministerstva tvorí súčasť predkladaného materiálu.</w:t>
      </w:r>
    </w:p>
    <w:p w14:paraId="7E49A090" w14:textId="77777777" w:rsidR="0093747E" w:rsidRDefault="0093747E" w:rsidP="0093747E"/>
    <w:p w14:paraId="69A1A9B9" w14:textId="77777777" w:rsidR="0093747E" w:rsidRDefault="0093747E" w:rsidP="0093747E">
      <w:pPr>
        <w:rPr>
          <w:color w:val="000000"/>
          <w:lang w:eastAsia="sk-SK"/>
        </w:rPr>
      </w:pPr>
    </w:p>
    <w:p w14:paraId="79F91052" w14:textId="77777777" w:rsidR="0093747E" w:rsidRDefault="0093747E" w:rsidP="0093747E">
      <w:pPr>
        <w:jc w:val="center"/>
        <w:rPr>
          <w:b/>
          <w:bCs/>
          <w:szCs w:val="26"/>
        </w:rPr>
      </w:pPr>
    </w:p>
    <w:p w14:paraId="62F40C21" w14:textId="77777777" w:rsidR="0093747E" w:rsidRDefault="0093747E" w:rsidP="0093747E">
      <w:pPr>
        <w:jc w:val="center"/>
        <w:rPr>
          <w:b/>
          <w:bCs/>
          <w:szCs w:val="26"/>
        </w:rPr>
      </w:pPr>
    </w:p>
    <w:p w14:paraId="4D8652C2" w14:textId="77777777" w:rsidR="006C38E4" w:rsidRPr="002E5011" w:rsidRDefault="006C38E4" w:rsidP="00F45504">
      <w:pPr>
        <w:widowControl w:val="0"/>
        <w:spacing w:afterLines="20" w:after="48"/>
        <w:ind w:right="40"/>
        <w:jc w:val="both"/>
      </w:pPr>
    </w:p>
    <w:sectPr w:rsidR="006C38E4" w:rsidRPr="002E5011">
      <w:pgSz w:w="11906" w:h="16838" w:code="9"/>
      <w:pgMar w:top="1418" w:right="1418" w:bottom="1134" w:left="1418" w:header="709" w:footer="709"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497DF" w14:textId="77777777" w:rsidR="002E6976" w:rsidRDefault="002E6976" w:rsidP="00964F03">
      <w:r>
        <w:separator/>
      </w:r>
    </w:p>
  </w:endnote>
  <w:endnote w:type="continuationSeparator" w:id="0">
    <w:p w14:paraId="3EE317EC" w14:textId="77777777" w:rsidR="002E6976" w:rsidRDefault="002E6976" w:rsidP="0096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7D0B" w14:textId="77777777" w:rsidR="002C253F" w:rsidRDefault="00000000">
    <w:pPr>
      <w:pStyle w:val="Zkladntext"/>
      <w:spacing w:line="14" w:lineRule="auto"/>
      <w:ind w:left="0"/>
      <w:jc w:val="left"/>
      <w:rPr>
        <w:sz w:val="20"/>
      </w:rPr>
    </w:pPr>
    <w:r>
      <w:rPr>
        <w:noProof/>
      </w:rPr>
      <w:pict w14:anchorId="29923D13">
        <v:shapetype id="_x0000_t202" coordsize="21600,21600" o:spt="202" path="m,l,21600r21600,l21600,xe">
          <v:stroke joinstyle="miter"/>
          <v:path gradientshapeok="t" o:connecttype="rect"/>
        </v:shapetype>
        <v:shape id="Text Box 1" o:spid="_x0000_s1025" type="#_x0000_t202" alt="" style="position:absolute;margin-left:288.65pt;margin-top:793.4pt;width:14.5pt;height:12.35pt;z-index:-251658752;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o:lock v:ext="edit" aspectratio="t" verticies="t" text="t" shapetype="t"/>
          <v:textbox style="mso-next-textbox:#Text Box 1" inset="0,0,0,0">
            <w:txbxContent>
              <w:p w14:paraId="6CE074AA" w14:textId="77777777" w:rsidR="002C253F" w:rsidRPr="00DA7B33" w:rsidRDefault="000E3215">
                <w:pPr>
                  <w:pStyle w:val="Zkladntext"/>
                  <w:spacing w:before="10"/>
                  <w:ind w:left="60"/>
                  <w:jc w:val="left"/>
                  <w:rPr>
                    <w:sz w:val="14"/>
                    <w:szCs w:val="14"/>
                  </w:rPr>
                </w:pPr>
                <w:r w:rsidRPr="00DA7B33">
                  <w:rPr>
                    <w:sz w:val="14"/>
                    <w:szCs w:val="14"/>
                  </w:rPr>
                  <w:fldChar w:fldCharType="begin"/>
                </w:r>
                <w:r w:rsidRPr="00DA7B33">
                  <w:rPr>
                    <w:sz w:val="14"/>
                    <w:szCs w:val="14"/>
                  </w:rPr>
                  <w:instrText xml:space="preserve"> PAGE </w:instrText>
                </w:r>
                <w:r w:rsidRPr="00DA7B33">
                  <w:rPr>
                    <w:sz w:val="14"/>
                    <w:szCs w:val="14"/>
                  </w:rPr>
                  <w:fldChar w:fldCharType="separate"/>
                </w:r>
                <w:r w:rsidR="00F56AE9">
                  <w:rPr>
                    <w:noProof/>
                    <w:sz w:val="14"/>
                    <w:szCs w:val="14"/>
                  </w:rPr>
                  <w:t>4</w:t>
                </w:r>
                <w:r w:rsidRPr="00DA7B33">
                  <w:rPr>
                    <w:sz w:val="14"/>
                    <w:szCs w:val="1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A1B" w14:textId="77777777" w:rsidR="002E6976" w:rsidRDefault="002E6976" w:rsidP="00964F03">
      <w:r>
        <w:separator/>
      </w:r>
    </w:p>
  </w:footnote>
  <w:footnote w:type="continuationSeparator" w:id="0">
    <w:p w14:paraId="241C97C0" w14:textId="77777777" w:rsidR="002E6976" w:rsidRDefault="002E6976" w:rsidP="00964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720" w:hanging="360"/>
      </w:pPr>
      <w:rPr>
        <w:rFonts w:eastAsia="Times New Roman" w:cs="Times New Roman"/>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1" w15:restartNumberingAfterBreak="0">
    <w:nsid w:val="03A7460A"/>
    <w:multiLevelType w:val="hybridMultilevel"/>
    <w:tmpl w:val="6A583BDC"/>
    <w:lvl w:ilvl="0" w:tplc="C13E0324">
      <w:start w:val="17"/>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23505"/>
    <w:multiLevelType w:val="hybridMultilevel"/>
    <w:tmpl w:val="7ED8B4F4"/>
    <w:lvl w:ilvl="0" w:tplc="DB222CB2">
      <w:start w:val="1"/>
      <w:numFmt w:val="bullet"/>
      <w:lvlText w:val=""/>
      <w:lvlJc w:val="left"/>
      <w:pPr>
        <w:ind w:left="1570" w:hanging="360"/>
      </w:pPr>
      <w:rPr>
        <w:rFonts w:ascii="Symbol" w:hAnsi="Symbol"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3" w15:restartNumberingAfterBreak="0">
    <w:nsid w:val="0D3135AD"/>
    <w:multiLevelType w:val="hybridMultilevel"/>
    <w:tmpl w:val="D6565D70"/>
    <w:lvl w:ilvl="0" w:tplc="8AF2CF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2626D"/>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5" w15:restartNumberingAfterBreak="0">
    <w:nsid w:val="0EF4681D"/>
    <w:multiLevelType w:val="hybridMultilevel"/>
    <w:tmpl w:val="E5BCDF04"/>
    <w:lvl w:ilvl="0" w:tplc="8AF2C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87450"/>
    <w:multiLevelType w:val="hybridMultilevel"/>
    <w:tmpl w:val="EB721B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33EA9"/>
    <w:multiLevelType w:val="hybridMultilevel"/>
    <w:tmpl w:val="C75482D0"/>
    <w:lvl w:ilvl="0" w:tplc="DE32B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3323C"/>
    <w:multiLevelType w:val="hybridMultilevel"/>
    <w:tmpl w:val="2780A188"/>
    <w:lvl w:ilvl="0" w:tplc="67FEFA4A">
      <w:start w:val="1"/>
      <w:numFmt w:val="decimal"/>
      <w:lvlText w:val="K § %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C6CC8"/>
    <w:multiLevelType w:val="hybridMultilevel"/>
    <w:tmpl w:val="C6DEE0C0"/>
    <w:lvl w:ilvl="0" w:tplc="C13E0324">
      <w:start w:val="17"/>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DF20159"/>
    <w:multiLevelType w:val="hybridMultilevel"/>
    <w:tmpl w:val="B5D43B30"/>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2931640"/>
    <w:multiLevelType w:val="multilevel"/>
    <w:tmpl w:val="1F08E26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BC2274"/>
    <w:multiLevelType w:val="hybridMultilevel"/>
    <w:tmpl w:val="D8ACC6D6"/>
    <w:lvl w:ilvl="0" w:tplc="8AF2C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A4E68"/>
    <w:multiLevelType w:val="hybridMultilevel"/>
    <w:tmpl w:val="FA5A05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17C25B1"/>
    <w:multiLevelType w:val="hybridMultilevel"/>
    <w:tmpl w:val="155E37A8"/>
    <w:lvl w:ilvl="0" w:tplc="46EAFE7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4247E"/>
    <w:multiLevelType w:val="hybridMultilevel"/>
    <w:tmpl w:val="9F0E6B62"/>
    <w:lvl w:ilvl="0" w:tplc="FFFFFFFF">
      <w:start w:val="17"/>
      <w:numFmt w:val="bullet"/>
      <w:lvlText w:val="-"/>
      <w:lvlJc w:val="left"/>
      <w:pPr>
        <w:ind w:left="720" w:hanging="360"/>
      </w:pPr>
      <w:rPr>
        <w:rFonts w:ascii="Times New Roman" w:eastAsiaTheme="minorHAnsi" w:hAnsi="Times New Roman" w:cs="Times New Roman" w:hint="default"/>
      </w:rPr>
    </w:lvl>
    <w:lvl w:ilvl="1" w:tplc="C13E0324">
      <w:start w:val="17"/>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B986D4C"/>
    <w:multiLevelType w:val="multilevel"/>
    <w:tmpl w:val="6394C1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D8522C"/>
    <w:multiLevelType w:val="hybridMultilevel"/>
    <w:tmpl w:val="323A6B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D713BB8"/>
    <w:multiLevelType w:val="hybridMultilevel"/>
    <w:tmpl w:val="BE347B74"/>
    <w:lvl w:ilvl="0" w:tplc="26223C24">
      <w:start w:val="1"/>
      <w:numFmt w:val="bullet"/>
      <w:lvlText w:val="-"/>
      <w:lvlJc w:val="left"/>
      <w:pPr>
        <w:ind w:left="644" w:hanging="360"/>
      </w:pPr>
      <w:rPr>
        <w:rFonts w:ascii="Times New Roman" w:eastAsiaTheme="minorEastAsia" w:hAnsi="Times New Roman" w:cs="Times New Roman" w:hint="default"/>
      </w:rPr>
    </w:lvl>
    <w:lvl w:ilvl="1" w:tplc="041B0003">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9" w15:restartNumberingAfterBreak="0">
    <w:nsid w:val="4F2E6966"/>
    <w:multiLevelType w:val="hybridMultilevel"/>
    <w:tmpl w:val="E3523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9B77D4"/>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21" w15:restartNumberingAfterBreak="0">
    <w:nsid w:val="606F597A"/>
    <w:multiLevelType w:val="hybridMultilevel"/>
    <w:tmpl w:val="CDCA554E"/>
    <w:lvl w:ilvl="0" w:tplc="04090015">
      <w:start w:val="2"/>
      <w:numFmt w:val="upperLetter"/>
      <w:lvlText w:val="%1."/>
      <w:lvlJc w:val="left"/>
      <w:pPr>
        <w:ind w:left="720" w:hanging="360"/>
      </w:pPr>
      <w:rPr>
        <w:rFonts w:hint="default"/>
      </w:rPr>
    </w:lvl>
    <w:lvl w:ilvl="1" w:tplc="0016881E">
      <w:start w:val="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B5F85"/>
    <w:multiLevelType w:val="hybridMultilevel"/>
    <w:tmpl w:val="E3D03F4A"/>
    <w:lvl w:ilvl="0" w:tplc="4FA286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6227F"/>
    <w:multiLevelType w:val="hybridMultilevel"/>
    <w:tmpl w:val="26D4EE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5D53D01"/>
    <w:multiLevelType w:val="hybridMultilevel"/>
    <w:tmpl w:val="95FA3DD2"/>
    <w:lvl w:ilvl="0" w:tplc="2014F5B8">
      <w:start w:val="1"/>
      <w:numFmt w:val="bullet"/>
      <w:lvlText w:val=""/>
      <w:lvlJc w:val="left"/>
      <w:pPr>
        <w:ind w:left="771" w:hanging="360"/>
      </w:pPr>
      <w:rPr>
        <w:rFonts w:ascii="Symbol" w:hAnsi="Symbol" w:hint="default"/>
        <w:color w:val="auto"/>
      </w:rPr>
    </w:lvl>
    <w:lvl w:ilvl="1" w:tplc="041B0003" w:tentative="1">
      <w:start w:val="1"/>
      <w:numFmt w:val="bullet"/>
      <w:lvlText w:val="o"/>
      <w:lvlJc w:val="left"/>
      <w:pPr>
        <w:ind w:left="1491" w:hanging="360"/>
      </w:pPr>
      <w:rPr>
        <w:rFonts w:ascii="Courier New" w:hAnsi="Courier New" w:cs="Courier New" w:hint="default"/>
      </w:rPr>
    </w:lvl>
    <w:lvl w:ilvl="2" w:tplc="041B0005" w:tentative="1">
      <w:start w:val="1"/>
      <w:numFmt w:val="bullet"/>
      <w:lvlText w:val=""/>
      <w:lvlJc w:val="left"/>
      <w:pPr>
        <w:ind w:left="2211" w:hanging="360"/>
      </w:pPr>
      <w:rPr>
        <w:rFonts w:ascii="Wingdings" w:hAnsi="Wingdings" w:hint="default"/>
      </w:rPr>
    </w:lvl>
    <w:lvl w:ilvl="3" w:tplc="041B0001" w:tentative="1">
      <w:start w:val="1"/>
      <w:numFmt w:val="bullet"/>
      <w:lvlText w:val=""/>
      <w:lvlJc w:val="left"/>
      <w:pPr>
        <w:ind w:left="2931" w:hanging="360"/>
      </w:pPr>
      <w:rPr>
        <w:rFonts w:ascii="Symbol" w:hAnsi="Symbol" w:hint="default"/>
      </w:rPr>
    </w:lvl>
    <w:lvl w:ilvl="4" w:tplc="041B0003" w:tentative="1">
      <w:start w:val="1"/>
      <w:numFmt w:val="bullet"/>
      <w:lvlText w:val="o"/>
      <w:lvlJc w:val="left"/>
      <w:pPr>
        <w:ind w:left="3651" w:hanging="360"/>
      </w:pPr>
      <w:rPr>
        <w:rFonts w:ascii="Courier New" w:hAnsi="Courier New" w:cs="Courier New" w:hint="default"/>
      </w:rPr>
    </w:lvl>
    <w:lvl w:ilvl="5" w:tplc="041B0005" w:tentative="1">
      <w:start w:val="1"/>
      <w:numFmt w:val="bullet"/>
      <w:lvlText w:val=""/>
      <w:lvlJc w:val="left"/>
      <w:pPr>
        <w:ind w:left="4371" w:hanging="360"/>
      </w:pPr>
      <w:rPr>
        <w:rFonts w:ascii="Wingdings" w:hAnsi="Wingdings" w:hint="default"/>
      </w:rPr>
    </w:lvl>
    <w:lvl w:ilvl="6" w:tplc="041B0001" w:tentative="1">
      <w:start w:val="1"/>
      <w:numFmt w:val="bullet"/>
      <w:lvlText w:val=""/>
      <w:lvlJc w:val="left"/>
      <w:pPr>
        <w:ind w:left="5091" w:hanging="360"/>
      </w:pPr>
      <w:rPr>
        <w:rFonts w:ascii="Symbol" w:hAnsi="Symbol" w:hint="default"/>
      </w:rPr>
    </w:lvl>
    <w:lvl w:ilvl="7" w:tplc="041B0003" w:tentative="1">
      <w:start w:val="1"/>
      <w:numFmt w:val="bullet"/>
      <w:lvlText w:val="o"/>
      <w:lvlJc w:val="left"/>
      <w:pPr>
        <w:ind w:left="5811" w:hanging="360"/>
      </w:pPr>
      <w:rPr>
        <w:rFonts w:ascii="Courier New" w:hAnsi="Courier New" w:cs="Courier New" w:hint="default"/>
      </w:rPr>
    </w:lvl>
    <w:lvl w:ilvl="8" w:tplc="041B0005" w:tentative="1">
      <w:start w:val="1"/>
      <w:numFmt w:val="bullet"/>
      <w:lvlText w:val=""/>
      <w:lvlJc w:val="left"/>
      <w:pPr>
        <w:ind w:left="6531" w:hanging="360"/>
      </w:pPr>
      <w:rPr>
        <w:rFonts w:ascii="Wingdings" w:hAnsi="Wingdings" w:hint="default"/>
      </w:rPr>
    </w:lvl>
  </w:abstractNum>
  <w:abstractNum w:abstractNumId="25" w15:restartNumberingAfterBreak="0">
    <w:nsid w:val="7B52407C"/>
    <w:multiLevelType w:val="hybridMultilevel"/>
    <w:tmpl w:val="296EC26A"/>
    <w:lvl w:ilvl="0" w:tplc="8AF2C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B75A09"/>
    <w:multiLevelType w:val="hybridMultilevel"/>
    <w:tmpl w:val="418C016E"/>
    <w:lvl w:ilvl="0" w:tplc="041B0003">
      <w:start w:val="1"/>
      <w:numFmt w:val="bullet"/>
      <w:lvlText w:val="o"/>
      <w:lvlJc w:val="left"/>
      <w:pPr>
        <w:ind w:left="1068" w:hanging="360"/>
      </w:pPr>
      <w:rPr>
        <w:rFonts w:ascii="Courier New" w:hAnsi="Courier New" w:cs="Courier New"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16cid:durableId="668287679">
    <w:abstractNumId w:val="19"/>
  </w:num>
  <w:num w:numId="2" w16cid:durableId="1153326549">
    <w:abstractNumId w:val="11"/>
  </w:num>
  <w:num w:numId="3" w16cid:durableId="1006400909">
    <w:abstractNumId w:val="5"/>
  </w:num>
  <w:num w:numId="4" w16cid:durableId="80831278">
    <w:abstractNumId w:val="3"/>
  </w:num>
  <w:num w:numId="5" w16cid:durableId="877008409">
    <w:abstractNumId w:val="12"/>
  </w:num>
  <w:num w:numId="6" w16cid:durableId="386344734">
    <w:abstractNumId w:val="25"/>
  </w:num>
  <w:num w:numId="7" w16cid:durableId="1553223875">
    <w:abstractNumId w:val="13"/>
  </w:num>
  <w:num w:numId="8" w16cid:durableId="2062903849">
    <w:abstractNumId w:val="10"/>
  </w:num>
  <w:num w:numId="9" w16cid:durableId="1388607476">
    <w:abstractNumId w:val="21"/>
  </w:num>
  <w:num w:numId="10" w16cid:durableId="688147066">
    <w:abstractNumId w:val="23"/>
  </w:num>
  <w:num w:numId="11" w16cid:durableId="964627338">
    <w:abstractNumId w:val="26"/>
  </w:num>
  <w:num w:numId="12" w16cid:durableId="406998232">
    <w:abstractNumId w:val="6"/>
  </w:num>
  <w:num w:numId="13" w16cid:durableId="1600914797">
    <w:abstractNumId w:val="22"/>
  </w:num>
  <w:num w:numId="14" w16cid:durableId="858522">
    <w:abstractNumId w:val="17"/>
  </w:num>
  <w:num w:numId="15" w16cid:durableId="1827354772">
    <w:abstractNumId w:val="8"/>
  </w:num>
  <w:num w:numId="16" w16cid:durableId="150874027">
    <w:abstractNumId w:val="18"/>
  </w:num>
  <w:num w:numId="17" w16cid:durableId="1423183414">
    <w:abstractNumId w:val="9"/>
  </w:num>
  <w:num w:numId="18" w16cid:durableId="1333949810">
    <w:abstractNumId w:val="1"/>
  </w:num>
  <w:num w:numId="19" w16cid:durableId="2031105717">
    <w:abstractNumId w:val="15"/>
  </w:num>
  <w:num w:numId="20" w16cid:durableId="282882062">
    <w:abstractNumId w:val="20"/>
  </w:num>
  <w:num w:numId="21" w16cid:durableId="446890619">
    <w:abstractNumId w:val="2"/>
  </w:num>
  <w:num w:numId="22" w16cid:durableId="1127625807">
    <w:abstractNumId w:val="4"/>
  </w:num>
  <w:num w:numId="23" w16cid:durableId="151801404">
    <w:abstractNumId w:val="7"/>
  </w:num>
  <w:num w:numId="24" w16cid:durableId="329142415">
    <w:abstractNumId w:val="14"/>
  </w:num>
  <w:num w:numId="25" w16cid:durableId="1913462306">
    <w:abstractNumId w:val="24"/>
  </w:num>
  <w:num w:numId="26" w16cid:durableId="188026935">
    <w:abstractNumId w:val="16"/>
  </w:num>
  <w:num w:numId="27" w16cid:durableId="754547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878"/>
    <w:rsid w:val="0001420D"/>
    <w:rsid w:val="00040563"/>
    <w:rsid w:val="00041E7B"/>
    <w:rsid w:val="00047626"/>
    <w:rsid w:val="000710F2"/>
    <w:rsid w:val="00073C3F"/>
    <w:rsid w:val="00092AD7"/>
    <w:rsid w:val="000A01DC"/>
    <w:rsid w:val="000B0EC7"/>
    <w:rsid w:val="000B7BCC"/>
    <w:rsid w:val="000E1894"/>
    <w:rsid w:val="000E3215"/>
    <w:rsid w:val="000E7138"/>
    <w:rsid w:val="000F0FC9"/>
    <w:rsid w:val="00111D48"/>
    <w:rsid w:val="00117DBB"/>
    <w:rsid w:val="001264A2"/>
    <w:rsid w:val="0013045C"/>
    <w:rsid w:val="00146FAA"/>
    <w:rsid w:val="00152DA5"/>
    <w:rsid w:val="001740BB"/>
    <w:rsid w:val="001807DC"/>
    <w:rsid w:val="00187FB3"/>
    <w:rsid w:val="00196BB6"/>
    <w:rsid w:val="001B1078"/>
    <w:rsid w:val="001B307B"/>
    <w:rsid w:val="001B7157"/>
    <w:rsid w:val="001C3A50"/>
    <w:rsid w:val="001D226E"/>
    <w:rsid w:val="002310CE"/>
    <w:rsid w:val="00236B36"/>
    <w:rsid w:val="00241BD2"/>
    <w:rsid w:val="00264542"/>
    <w:rsid w:val="00272D4C"/>
    <w:rsid w:val="00283A8F"/>
    <w:rsid w:val="0029472F"/>
    <w:rsid w:val="00296257"/>
    <w:rsid w:val="002E3A28"/>
    <w:rsid w:val="002E5011"/>
    <w:rsid w:val="002E6976"/>
    <w:rsid w:val="002F0438"/>
    <w:rsid w:val="002F2913"/>
    <w:rsid w:val="00306207"/>
    <w:rsid w:val="00320CA2"/>
    <w:rsid w:val="00347FC7"/>
    <w:rsid w:val="00352001"/>
    <w:rsid w:val="00353BAD"/>
    <w:rsid w:val="00357A3C"/>
    <w:rsid w:val="00357BD9"/>
    <w:rsid w:val="00383F67"/>
    <w:rsid w:val="00384CCB"/>
    <w:rsid w:val="003B247D"/>
    <w:rsid w:val="003B2D06"/>
    <w:rsid w:val="003C5A51"/>
    <w:rsid w:val="003C63A9"/>
    <w:rsid w:val="003D21DF"/>
    <w:rsid w:val="003D3A1B"/>
    <w:rsid w:val="003E7FC9"/>
    <w:rsid w:val="004003A3"/>
    <w:rsid w:val="00424669"/>
    <w:rsid w:val="00432D56"/>
    <w:rsid w:val="00457868"/>
    <w:rsid w:val="0046691C"/>
    <w:rsid w:val="00471345"/>
    <w:rsid w:val="004A4470"/>
    <w:rsid w:val="004D3AB3"/>
    <w:rsid w:val="004D7485"/>
    <w:rsid w:val="004E456B"/>
    <w:rsid w:val="004E4987"/>
    <w:rsid w:val="004E508F"/>
    <w:rsid w:val="004F24B3"/>
    <w:rsid w:val="004F2B97"/>
    <w:rsid w:val="004F51E2"/>
    <w:rsid w:val="005102DA"/>
    <w:rsid w:val="005216E2"/>
    <w:rsid w:val="005249E5"/>
    <w:rsid w:val="00527211"/>
    <w:rsid w:val="00527CFF"/>
    <w:rsid w:val="005344FA"/>
    <w:rsid w:val="005505F6"/>
    <w:rsid w:val="00551F25"/>
    <w:rsid w:val="005539DC"/>
    <w:rsid w:val="00555155"/>
    <w:rsid w:val="00566A56"/>
    <w:rsid w:val="00576091"/>
    <w:rsid w:val="005857C6"/>
    <w:rsid w:val="0059429C"/>
    <w:rsid w:val="005A1479"/>
    <w:rsid w:val="005B0B82"/>
    <w:rsid w:val="005C0265"/>
    <w:rsid w:val="005C1100"/>
    <w:rsid w:val="00605409"/>
    <w:rsid w:val="006112F0"/>
    <w:rsid w:val="00626EBC"/>
    <w:rsid w:val="0064059D"/>
    <w:rsid w:val="00653B16"/>
    <w:rsid w:val="00694041"/>
    <w:rsid w:val="006A0AB7"/>
    <w:rsid w:val="006A602B"/>
    <w:rsid w:val="006C38E4"/>
    <w:rsid w:val="006E118C"/>
    <w:rsid w:val="006E507C"/>
    <w:rsid w:val="006E7C97"/>
    <w:rsid w:val="00704DC3"/>
    <w:rsid w:val="00723452"/>
    <w:rsid w:val="00740737"/>
    <w:rsid w:val="00740DEB"/>
    <w:rsid w:val="00744E0A"/>
    <w:rsid w:val="007459D9"/>
    <w:rsid w:val="007520A8"/>
    <w:rsid w:val="00757BD8"/>
    <w:rsid w:val="00777E70"/>
    <w:rsid w:val="00783C1A"/>
    <w:rsid w:val="007969A0"/>
    <w:rsid w:val="007C06CA"/>
    <w:rsid w:val="007C4340"/>
    <w:rsid w:val="007C76E3"/>
    <w:rsid w:val="007D46D0"/>
    <w:rsid w:val="007F20B0"/>
    <w:rsid w:val="00832947"/>
    <w:rsid w:val="00837B49"/>
    <w:rsid w:val="008633F6"/>
    <w:rsid w:val="00886EEB"/>
    <w:rsid w:val="008951C9"/>
    <w:rsid w:val="008959F7"/>
    <w:rsid w:val="008B4CBE"/>
    <w:rsid w:val="008B6C34"/>
    <w:rsid w:val="008B7878"/>
    <w:rsid w:val="008C1E2A"/>
    <w:rsid w:val="008E41F3"/>
    <w:rsid w:val="008E7BFB"/>
    <w:rsid w:val="00920C1F"/>
    <w:rsid w:val="0093747E"/>
    <w:rsid w:val="00964F03"/>
    <w:rsid w:val="00967948"/>
    <w:rsid w:val="00967C23"/>
    <w:rsid w:val="009721FA"/>
    <w:rsid w:val="00974AAB"/>
    <w:rsid w:val="00986652"/>
    <w:rsid w:val="009A3F46"/>
    <w:rsid w:val="009B53E9"/>
    <w:rsid w:val="009C17B8"/>
    <w:rsid w:val="009D5154"/>
    <w:rsid w:val="009E7118"/>
    <w:rsid w:val="009F16D8"/>
    <w:rsid w:val="009F5E6A"/>
    <w:rsid w:val="009F7C3B"/>
    <w:rsid w:val="00A32887"/>
    <w:rsid w:val="00A3535C"/>
    <w:rsid w:val="00A520F8"/>
    <w:rsid w:val="00A70F4C"/>
    <w:rsid w:val="00AA0C40"/>
    <w:rsid w:val="00AB47A2"/>
    <w:rsid w:val="00AC1260"/>
    <w:rsid w:val="00AD0264"/>
    <w:rsid w:val="00AD3E7D"/>
    <w:rsid w:val="00AE09B4"/>
    <w:rsid w:val="00AE19FC"/>
    <w:rsid w:val="00AF08CC"/>
    <w:rsid w:val="00AF6325"/>
    <w:rsid w:val="00B028CD"/>
    <w:rsid w:val="00B12B6D"/>
    <w:rsid w:val="00B152E0"/>
    <w:rsid w:val="00B31EE8"/>
    <w:rsid w:val="00B76170"/>
    <w:rsid w:val="00B76D8D"/>
    <w:rsid w:val="00B8294A"/>
    <w:rsid w:val="00B83B66"/>
    <w:rsid w:val="00B940D1"/>
    <w:rsid w:val="00BA66BA"/>
    <w:rsid w:val="00BB004F"/>
    <w:rsid w:val="00BB5F71"/>
    <w:rsid w:val="00BD0112"/>
    <w:rsid w:val="00BD3945"/>
    <w:rsid w:val="00C20436"/>
    <w:rsid w:val="00C57DB3"/>
    <w:rsid w:val="00C62565"/>
    <w:rsid w:val="00C656E9"/>
    <w:rsid w:val="00C70600"/>
    <w:rsid w:val="00C7188B"/>
    <w:rsid w:val="00C813F2"/>
    <w:rsid w:val="00C972A6"/>
    <w:rsid w:val="00CA29AF"/>
    <w:rsid w:val="00CB1B5B"/>
    <w:rsid w:val="00CD5761"/>
    <w:rsid w:val="00CE1A6D"/>
    <w:rsid w:val="00CE41E8"/>
    <w:rsid w:val="00CE6E94"/>
    <w:rsid w:val="00D039F3"/>
    <w:rsid w:val="00D11AD8"/>
    <w:rsid w:val="00D13A4D"/>
    <w:rsid w:val="00D306B2"/>
    <w:rsid w:val="00D33E9B"/>
    <w:rsid w:val="00D5068F"/>
    <w:rsid w:val="00D53593"/>
    <w:rsid w:val="00D61EFE"/>
    <w:rsid w:val="00D74F15"/>
    <w:rsid w:val="00D81343"/>
    <w:rsid w:val="00D85716"/>
    <w:rsid w:val="00DB27AB"/>
    <w:rsid w:val="00DB67BC"/>
    <w:rsid w:val="00DD428E"/>
    <w:rsid w:val="00DD4F3A"/>
    <w:rsid w:val="00DD692B"/>
    <w:rsid w:val="00DF17F8"/>
    <w:rsid w:val="00E02BC0"/>
    <w:rsid w:val="00E120C3"/>
    <w:rsid w:val="00E16E4B"/>
    <w:rsid w:val="00E34D44"/>
    <w:rsid w:val="00E4325A"/>
    <w:rsid w:val="00E72D53"/>
    <w:rsid w:val="00E80BC3"/>
    <w:rsid w:val="00E953CE"/>
    <w:rsid w:val="00E9605C"/>
    <w:rsid w:val="00E97609"/>
    <w:rsid w:val="00EB1E0F"/>
    <w:rsid w:val="00EC4BC8"/>
    <w:rsid w:val="00ED280B"/>
    <w:rsid w:val="00ED2DE1"/>
    <w:rsid w:val="00EE69BB"/>
    <w:rsid w:val="00F06BF7"/>
    <w:rsid w:val="00F13AD3"/>
    <w:rsid w:val="00F17888"/>
    <w:rsid w:val="00F2070A"/>
    <w:rsid w:val="00F26840"/>
    <w:rsid w:val="00F325B7"/>
    <w:rsid w:val="00F45504"/>
    <w:rsid w:val="00F56AE9"/>
    <w:rsid w:val="00F56EC1"/>
    <w:rsid w:val="00F74D1A"/>
    <w:rsid w:val="00F7514E"/>
    <w:rsid w:val="00FA6545"/>
    <w:rsid w:val="00FF03A9"/>
    <w:rsid w:val="00FF1112"/>
    <w:rsid w:val="00FF2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8D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B7878"/>
    <w:rPr>
      <w:rFonts w:ascii="Times New Roman" w:eastAsia="Times New Roman" w:hAnsi="Times New Roman" w:cs="Times New Roman"/>
    </w:rPr>
  </w:style>
  <w:style w:type="paragraph" w:styleId="Nadpis1">
    <w:name w:val="heading 1"/>
    <w:basedOn w:val="Normlny"/>
    <w:link w:val="Nadpis1Char"/>
    <w:uiPriority w:val="9"/>
    <w:qFormat/>
    <w:rsid w:val="004E456B"/>
    <w:pPr>
      <w:widowControl w:val="0"/>
      <w:autoSpaceDE w:val="0"/>
      <w:autoSpaceDN w:val="0"/>
      <w:ind w:left="116"/>
      <w:jc w:val="both"/>
      <w:outlineLvl w:val="0"/>
    </w:pPr>
    <w:rPr>
      <w:b/>
      <w:bCs/>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8B7878"/>
    <w:pPr>
      <w:ind w:left="720"/>
      <w:contextualSpacing/>
    </w:pPr>
  </w:style>
  <w:style w:type="paragraph" w:styleId="Textbubliny">
    <w:name w:val="Balloon Text"/>
    <w:basedOn w:val="Normlny"/>
    <w:link w:val="TextbublinyChar"/>
    <w:uiPriority w:val="99"/>
    <w:semiHidden/>
    <w:unhideWhenUsed/>
    <w:rsid w:val="00B76170"/>
    <w:rPr>
      <w:sz w:val="18"/>
      <w:szCs w:val="18"/>
    </w:rPr>
  </w:style>
  <w:style w:type="character" w:customStyle="1" w:styleId="TextbublinyChar">
    <w:name w:val="Text bubliny Char"/>
    <w:basedOn w:val="Predvolenpsmoodseku"/>
    <w:link w:val="Textbubliny"/>
    <w:uiPriority w:val="99"/>
    <w:semiHidden/>
    <w:rsid w:val="00B76170"/>
    <w:rPr>
      <w:rFonts w:ascii="Times New Roman" w:eastAsia="Times New Roman" w:hAnsi="Times New Roman" w:cs="Times New Roman"/>
      <w:sz w:val="18"/>
      <w:szCs w:val="18"/>
    </w:rPr>
  </w:style>
  <w:style w:type="paragraph" w:styleId="Textpoznmkypodiarou">
    <w:name w:val="footnote text"/>
    <w:basedOn w:val="Normlny"/>
    <w:link w:val="TextpoznmkypodiarouChar"/>
    <w:uiPriority w:val="99"/>
    <w:semiHidden/>
    <w:unhideWhenUsed/>
    <w:rsid w:val="00964F03"/>
    <w:rPr>
      <w:rFonts w:asciiTheme="minorHAnsi" w:eastAsiaTheme="minorHAnsi" w:hAnsiTheme="minorHAnsi" w:cstheme="minorBidi"/>
      <w:sz w:val="20"/>
      <w:szCs w:val="20"/>
      <w:lang w:val="sk-SK"/>
    </w:rPr>
  </w:style>
  <w:style w:type="character" w:customStyle="1" w:styleId="TextpoznmkypodiarouChar">
    <w:name w:val="Text poznámky pod čiarou Char"/>
    <w:basedOn w:val="Predvolenpsmoodseku"/>
    <w:link w:val="Textpoznmkypodiarou"/>
    <w:uiPriority w:val="99"/>
    <w:semiHidden/>
    <w:rsid w:val="00964F03"/>
    <w:rPr>
      <w:sz w:val="20"/>
      <w:szCs w:val="20"/>
      <w:lang w:val="sk-SK"/>
    </w:rPr>
  </w:style>
  <w:style w:type="character" w:styleId="Odkaznapoznmkupodiarou">
    <w:name w:val="footnote reference"/>
    <w:basedOn w:val="Predvolenpsmoodseku"/>
    <w:uiPriority w:val="99"/>
    <w:semiHidden/>
    <w:unhideWhenUsed/>
    <w:rsid w:val="00964F03"/>
    <w:rPr>
      <w:vertAlign w:val="superscript"/>
    </w:rPr>
  </w:style>
  <w:style w:type="character" w:customStyle="1" w:styleId="bold">
    <w:name w:val="bold"/>
    <w:basedOn w:val="Predvolenpsmoodseku"/>
    <w:rsid w:val="004003A3"/>
  </w:style>
  <w:style w:type="character" w:customStyle="1" w:styleId="italic">
    <w:name w:val="italic"/>
    <w:basedOn w:val="Predvolenpsmoodseku"/>
    <w:rsid w:val="004003A3"/>
  </w:style>
  <w:style w:type="paragraph" w:customStyle="1" w:styleId="Normlny1">
    <w:name w:val="Normálny1"/>
    <w:basedOn w:val="Normlny"/>
    <w:rsid w:val="004003A3"/>
    <w:pPr>
      <w:spacing w:before="100" w:beforeAutospacing="1" w:after="100" w:afterAutospacing="1"/>
    </w:pPr>
    <w:rPr>
      <w:lang w:val="sk-SK" w:eastAsia="sk-SK"/>
    </w:rPr>
  </w:style>
  <w:style w:type="paragraph" w:customStyle="1" w:styleId="c01pointnumerotealtn">
    <w:name w:val="c01pointnumerotealtn"/>
    <w:basedOn w:val="Normlny"/>
    <w:rsid w:val="00B940D1"/>
    <w:pPr>
      <w:spacing w:before="100" w:beforeAutospacing="1" w:after="100" w:afterAutospacing="1"/>
    </w:pPr>
    <w:rPr>
      <w:lang w:val="sk-SK" w:eastAsia="sk-SK"/>
    </w:r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283A8F"/>
    <w:rPr>
      <w:rFonts w:ascii="Times New Roman" w:eastAsia="Times New Roman" w:hAnsi="Times New Roman" w:cs="Times New Roman"/>
    </w:rPr>
  </w:style>
  <w:style w:type="character" w:customStyle="1" w:styleId="Nadpis1Char">
    <w:name w:val="Nadpis 1 Char"/>
    <w:basedOn w:val="Predvolenpsmoodseku"/>
    <w:link w:val="Nadpis1"/>
    <w:uiPriority w:val="9"/>
    <w:rsid w:val="004E456B"/>
    <w:rPr>
      <w:rFonts w:ascii="Times New Roman" w:eastAsia="Times New Roman" w:hAnsi="Times New Roman" w:cs="Times New Roman"/>
      <w:b/>
      <w:bCs/>
      <w:lang w:val="sk-SK"/>
    </w:rPr>
  </w:style>
  <w:style w:type="paragraph" w:styleId="Zkladntext">
    <w:name w:val="Body Text"/>
    <w:basedOn w:val="Normlny"/>
    <w:link w:val="ZkladntextChar"/>
    <w:uiPriority w:val="1"/>
    <w:qFormat/>
    <w:rsid w:val="004E456B"/>
    <w:pPr>
      <w:widowControl w:val="0"/>
      <w:autoSpaceDE w:val="0"/>
      <w:autoSpaceDN w:val="0"/>
      <w:ind w:left="116"/>
      <w:jc w:val="both"/>
    </w:pPr>
    <w:rPr>
      <w:lang w:val="sk-SK"/>
    </w:rPr>
  </w:style>
  <w:style w:type="character" w:customStyle="1" w:styleId="ZkladntextChar">
    <w:name w:val="Základný text Char"/>
    <w:basedOn w:val="Predvolenpsmoodseku"/>
    <w:link w:val="Zkladntext"/>
    <w:uiPriority w:val="1"/>
    <w:rsid w:val="004E456B"/>
    <w:rPr>
      <w:rFonts w:ascii="Times New Roman" w:eastAsia="Times New Roman" w:hAnsi="Times New Roman" w:cs="Times New Roman"/>
      <w:lang w:val="sk-SK"/>
    </w:rPr>
  </w:style>
  <w:style w:type="paragraph" w:customStyle="1" w:styleId="TableParagraph">
    <w:name w:val="Table Paragraph"/>
    <w:basedOn w:val="Normlny"/>
    <w:uiPriority w:val="1"/>
    <w:qFormat/>
    <w:rsid w:val="004E456B"/>
    <w:pPr>
      <w:widowControl w:val="0"/>
      <w:autoSpaceDE w:val="0"/>
      <w:autoSpaceDN w:val="0"/>
    </w:pPr>
    <w:rPr>
      <w:sz w:val="22"/>
      <w:szCs w:val="22"/>
      <w:lang w:val="sk-SK"/>
    </w:rPr>
  </w:style>
  <w:style w:type="character" w:styleId="Hypertextovprepojenie">
    <w:name w:val="Hyperlink"/>
    <w:basedOn w:val="Predvolenpsmoodseku"/>
    <w:uiPriority w:val="99"/>
    <w:unhideWhenUsed/>
    <w:rsid w:val="004E456B"/>
    <w:rPr>
      <w:color w:val="0563C1" w:themeColor="hyperlink"/>
      <w:u w:val="single"/>
    </w:rPr>
  </w:style>
  <w:style w:type="character" w:customStyle="1" w:styleId="Nevyrieenzmienka1">
    <w:name w:val="Nevyriešená zmienka1"/>
    <w:basedOn w:val="Predvolenpsmoodseku"/>
    <w:uiPriority w:val="99"/>
    <w:semiHidden/>
    <w:unhideWhenUsed/>
    <w:rsid w:val="004E456B"/>
    <w:rPr>
      <w:color w:val="605E5C"/>
      <w:shd w:val="clear" w:color="auto" w:fill="E1DFDD"/>
    </w:rPr>
  </w:style>
  <w:style w:type="character" w:styleId="Odkaznakomentr">
    <w:name w:val="annotation reference"/>
    <w:basedOn w:val="Predvolenpsmoodseku"/>
    <w:uiPriority w:val="99"/>
    <w:semiHidden/>
    <w:unhideWhenUsed/>
    <w:rsid w:val="004E456B"/>
    <w:rPr>
      <w:sz w:val="16"/>
      <w:szCs w:val="16"/>
    </w:rPr>
  </w:style>
  <w:style w:type="paragraph" w:styleId="Textkomentra">
    <w:name w:val="annotation text"/>
    <w:basedOn w:val="Normlny"/>
    <w:link w:val="TextkomentraChar"/>
    <w:uiPriority w:val="99"/>
    <w:unhideWhenUsed/>
    <w:rsid w:val="004E456B"/>
    <w:pPr>
      <w:spacing w:after="160"/>
    </w:pPr>
    <w:rPr>
      <w:rFonts w:asciiTheme="minorHAnsi" w:eastAsiaTheme="minorHAnsi" w:hAnsiTheme="minorHAnsi" w:cstheme="minorBidi"/>
      <w:sz w:val="20"/>
      <w:szCs w:val="20"/>
      <w:lang w:val="sk-SK"/>
    </w:rPr>
  </w:style>
  <w:style w:type="character" w:customStyle="1" w:styleId="TextkomentraChar">
    <w:name w:val="Text komentára Char"/>
    <w:basedOn w:val="Predvolenpsmoodseku"/>
    <w:link w:val="Textkomentra"/>
    <w:uiPriority w:val="99"/>
    <w:rsid w:val="004E456B"/>
    <w:rPr>
      <w:sz w:val="20"/>
      <w:szCs w:val="20"/>
      <w:lang w:val="sk-SK"/>
    </w:rPr>
  </w:style>
  <w:style w:type="paragraph" w:styleId="Hlavika">
    <w:name w:val="header"/>
    <w:basedOn w:val="Normlny"/>
    <w:link w:val="HlavikaChar"/>
    <w:uiPriority w:val="99"/>
    <w:unhideWhenUsed/>
    <w:rsid w:val="004E456B"/>
    <w:pPr>
      <w:widowControl w:val="0"/>
      <w:tabs>
        <w:tab w:val="center" w:pos="4680"/>
        <w:tab w:val="right" w:pos="9360"/>
      </w:tabs>
      <w:autoSpaceDE w:val="0"/>
      <w:autoSpaceDN w:val="0"/>
    </w:pPr>
    <w:rPr>
      <w:sz w:val="22"/>
      <w:szCs w:val="22"/>
      <w:lang w:val="sk-SK"/>
    </w:rPr>
  </w:style>
  <w:style w:type="character" w:customStyle="1" w:styleId="HlavikaChar">
    <w:name w:val="Hlavička Char"/>
    <w:basedOn w:val="Predvolenpsmoodseku"/>
    <w:link w:val="Hlavika"/>
    <w:uiPriority w:val="99"/>
    <w:rsid w:val="004E456B"/>
    <w:rPr>
      <w:rFonts w:ascii="Times New Roman" w:eastAsia="Times New Roman" w:hAnsi="Times New Roman" w:cs="Times New Roman"/>
      <w:sz w:val="22"/>
      <w:szCs w:val="22"/>
      <w:lang w:val="sk-SK"/>
    </w:rPr>
  </w:style>
  <w:style w:type="paragraph" w:styleId="Pta">
    <w:name w:val="footer"/>
    <w:basedOn w:val="Normlny"/>
    <w:link w:val="PtaChar"/>
    <w:uiPriority w:val="99"/>
    <w:unhideWhenUsed/>
    <w:rsid w:val="004E456B"/>
    <w:pPr>
      <w:widowControl w:val="0"/>
      <w:tabs>
        <w:tab w:val="center" w:pos="4680"/>
        <w:tab w:val="right" w:pos="9360"/>
      </w:tabs>
      <w:autoSpaceDE w:val="0"/>
      <w:autoSpaceDN w:val="0"/>
    </w:pPr>
    <w:rPr>
      <w:sz w:val="22"/>
      <w:szCs w:val="22"/>
      <w:lang w:val="sk-SK"/>
    </w:rPr>
  </w:style>
  <w:style w:type="character" w:customStyle="1" w:styleId="PtaChar">
    <w:name w:val="Päta Char"/>
    <w:basedOn w:val="Predvolenpsmoodseku"/>
    <w:link w:val="Pta"/>
    <w:uiPriority w:val="99"/>
    <w:rsid w:val="004E456B"/>
    <w:rPr>
      <w:rFonts w:ascii="Times New Roman" w:eastAsia="Times New Roman" w:hAnsi="Times New Roman" w:cs="Times New Roman"/>
      <w:sz w:val="22"/>
      <w:szCs w:val="22"/>
      <w:lang w:val="sk-SK"/>
    </w:rPr>
  </w:style>
  <w:style w:type="paragraph" w:styleId="Revzia">
    <w:name w:val="Revision"/>
    <w:hidden/>
    <w:uiPriority w:val="99"/>
    <w:semiHidden/>
    <w:rsid w:val="004E456B"/>
    <w:rPr>
      <w:rFonts w:ascii="Times New Roman" w:eastAsia="Times New Roman" w:hAnsi="Times New Roman" w:cs="Times New Roman"/>
      <w:sz w:val="22"/>
      <w:szCs w:val="22"/>
      <w:lang w:val="sk-SK"/>
    </w:rPr>
  </w:style>
  <w:style w:type="paragraph" w:customStyle="1" w:styleId="Default">
    <w:name w:val="Default"/>
    <w:rsid w:val="004E456B"/>
    <w:pPr>
      <w:autoSpaceDE w:val="0"/>
      <w:autoSpaceDN w:val="0"/>
      <w:adjustRightInd w:val="0"/>
    </w:pPr>
    <w:rPr>
      <w:rFonts w:ascii="Times New Roman" w:eastAsia="Calibri" w:hAnsi="Times New Roman" w:cs="Times New Roman"/>
      <w:color w:val="000000"/>
      <w:lang w:val="sk-SK" w:eastAsia="sk-SK"/>
    </w:rPr>
  </w:style>
  <w:style w:type="paragraph" w:customStyle="1" w:styleId="Standard">
    <w:name w:val="Standard"/>
    <w:rsid w:val="00347FC7"/>
    <w:pPr>
      <w:suppressAutoHyphens/>
      <w:autoSpaceDN w:val="0"/>
      <w:spacing w:after="200" w:line="276" w:lineRule="auto"/>
    </w:pPr>
    <w:rPr>
      <w:rFonts w:ascii="Calibri" w:eastAsia="SimSun" w:hAnsi="Calibri" w:cs="Calibri"/>
      <w:kern w:val="3"/>
      <w:sz w:val="22"/>
      <w:szCs w:val="22"/>
      <w:lang w:val="sk-SK" w:eastAsia="ar-SA"/>
    </w:rPr>
  </w:style>
  <w:style w:type="table" w:styleId="Mriekatabuky">
    <w:name w:val="Table Grid"/>
    <w:basedOn w:val="Normlnatabuka"/>
    <w:uiPriority w:val="39"/>
    <w:rsid w:val="00555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webb"/>
    <w:basedOn w:val="Normlny"/>
    <w:uiPriority w:val="99"/>
    <w:unhideWhenUsed/>
    <w:qFormat/>
    <w:rsid w:val="00527211"/>
    <w:pPr>
      <w:spacing w:before="100" w:beforeAutospacing="1" w:after="100" w:afterAutospacing="1"/>
    </w:pPr>
    <w:rPr>
      <w:rFonts w:eastAsiaTheme="minorHAnsi"/>
      <w:lang w:val="sk-SK" w:eastAsia="sk-SK"/>
    </w:rPr>
  </w:style>
  <w:style w:type="character" w:customStyle="1" w:styleId="awspan">
    <w:name w:val="awspan"/>
    <w:basedOn w:val="Predvolenpsmoodseku"/>
    <w:qFormat/>
    <w:rsid w:val="00937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314741">
      <w:bodyDiv w:val="1"/>
      <w:marLeft w:val="0"/>
      <w:marRight w:val="0"/>
      <w:marTop w:val="0"/>
      <w:marBottom w:val="0"/>
      <w:divBdr>
        <w:top w:val="none" w:sz="0" w:space="0" w:color="auto"/>
        <w:left w:val="none" w:sz="0" w:space="0" w:color="auto"/>
        <w:bottom w:val="none" w:sz="0" w:space="0" w:color="auto"/>
        <w:right w:val="none" w:sz="0" w:space="0" w:color="auto"/>
      </w:divBdr>
    </w:div>
    <w:div w:id="1999335065">
      <w:bodyDiv w:val="1"/>
      <w:marLeft w:val="0"/>
      <w:marRight w:val="0"/>
      <w:marTop w:val="0"/>
      <w:marBottom w:val="0"/>
      <w:divBdr>
        <w:top w:val="none" w:sz="0" w:space="0" w:color="auto"/>
        <w:left w:val="none" w:sz="0" w:space="0" w:color="auto"/>
        <w:bottom w:val="none" w:sz="0" w:space="0" w:color="auto"/>
        <w:right w:val="none" w:sz="0" w:space="0" w:color="auto"/>
      </w:divBdr>
    </w:div>
    <w:div w:id="2101640050">
      <w:bodyDiv w:val="1"/>
      <w:marLeft w:val="0"/>
      <w:marRight w:val="0"/>
      <w:marTop w:val="0"/>
      <w:marBottom w:val="0"/>
      <w:divBdr>
        <w:top w:val="none" w:sz="0" w:space="0" w:color="auto"/>
        <w:left w:val="none" w:sz="0" w:space="0" w:color="auto"/>
        <w:bottom w:val="none" w:sz="0" w:space="0" w:color="auto"/>
        <w:right w:val="none" w:sz="0" w:space="0" w:color="auto"/>
      </w:divBdr>
      <w:divsChild>
        <w:div w:id="2121609701">
          <w:marLeft w:val="0"/>
          <w:marRight w:val="0"/>
          <w:marTop w:val="0"/>
          <w:marBottom w:val="0"/>
          <w:divBdr>
            <w:top w:val="none" w:sz="0" w:space="0" w:color="auto"/>
            <w:left w:val="none" w:sz="0" w:space="0" w:color="auto"/>
            <w:bottom w:val="none" w:sz="0" w:space="0" w:color="auto"/>
            <w:right w:val="none" w:sz="0" w:space="0" w:color="auto"/>
          </w:divBdr>
        </w:div>
        <w:div w:id="2033726027">
          <w:marLeft w:val="0"/>
          <w:marRight w:val="0"/>
          <w:marTop w:val="0"/>
          <w:marBottom w:val="0"/>
          <w:divBdr>
            <w:top w:val="none" w:sz="0" w:space="0" w:color="auto"/>
            <w:left w:val="none" w:sz="0" w:space="0" w:color="auto"/>
            <w:bottom w:val="none" w:sz="0" w:space="0" w:color="auto"/>
            <w:right w:val="none" w:sz="0" w:space="0" w:color="auto"/>
          </w:divBdr>
          <w:divsChild>
            <w:div w:id="977419165">
              <w:marLeft w:val="0"/>
              <w:marRight w:val="0"/>
              <w:marTop w:val="0"/>
              <w:marBottom w:val="0"/>
              <w:divBdr>
                <w:top w:val="none" w:sz="0" w:space="0" w:color="auto"/>
                <w:left w:val="none" w:sz="0" w:space="0" w:color="auto"/>
                <w:bottom w:val="none" w:sz="0" w:space="0" w:color="auto"/>
                <w:right w:val="none" w:sz="0" w:space="0" w:color="auto"/>
              </w:divBdr>
            </w:div>
            <w:div w:id="85929250">
              <w:marLeft w:val="0"/>
              <w:marRight w:val="0"/>
              <w:marTop w:val="0"/>
              <w:marBottom w:val="0"/>
              <w:divBdr>
                <w:top w:val="none" w:sz="0" w:space="0" w:color="auto"/>
                <w:left w:val="none" w:sz="0" w:space="0" w:color="auto"/>
                <w:bottom w:val="none" w:sz="0" w:space="0" w:color="auto"/>
                <w:right w:val="none" w:sz="0" w:space="0" w:color="auto"/>
              </w:divBdr>
            </w:div>
            <w:div w:id="2088309376">
              <w:marLeft w:val="0"/>
              <w:marRight w:val="0"/>
              <w:marTop w:val="0"/>
              <w:marBottom w:val="0"/>
              <w:divBdr>
                <w:top w:val="none" w:sz="0" w:space="0" w:color="auto"/>
                <w:left w:val="none" w:sz="0" w:space="0" w:color="auto"/>
                <w:bottom w:val="none" w:sz="0" w:space="0" w:color="auto"/>
                <w:right w:val="none" w:sz="0" w:space="0" w:color="auto"/>
              </w:divBdr>
            </w:div>
            <w:div w:id="864562133">
              <w:marLeft w:val="0"/>
              <w:marRight w:val="0"/>
              <w:marTop w:val="0"/>
              <w:marBottom w:val="0"/>
              <w:divBdr>
                <w:top w:val="none" w:sz="0" w:space="0" w:color="auto"/>
                <w:left w:val="none" w:sz="0" w:space="0" w:color="auto"/>
                <w:bottom w:val="none" w:sz="0" w:space="0" w:color="auto"/>
                <w:right w:val="none" w:sz="0" w:space="0" w:color="auto"/>
              </w:divBdr>
            </w:div>
            <w:div w:id="486362359">
              <w:marLeft w:val="0"/>
              <w:marRight w:val="0"/>
              <w:marTop w:val="0"/>
              <w:marBottom w:val="0"/>
              <w:divBdr>
                <w:top w:val="none" w:sz="0" w:space="0" w:color="auto"/>
                <w:left w:val="none" w:sz="0" w:space="0" w:color="auto"/>
                <w:bottom w:val="none" w:sz="0" w:space="0" w:color="auto"/>
                <w:right w:val="none" w:sz="0" w:space="0" w:color="auto"/>
              </w:divBdr>
            </w:div>
            <w:div w:id="972490780">
              <w:marLeft w:val="0"/>
              <w:marRight w:val="0"/>
              <w:marTop w:val="0"/>
              <w:marBottom w:val="0"/>
              <w:divBdr>
                <w:top w:val="none" w:sz="0" w:space="0" w:color="auto"/>
                <w:left w:val="none" w:sz="0" w:space="0" w:color="auto"/>
                <w:bottom w:val="none" w:sz="0" w:space="0" w:color="auto"/>
                <w:right w:val="none" w:sz="0" w:space="0" w:color="auto"/>
              </w:divBdr>
            </w:div>
            <w:div w:id="533539629">
              <w:marLeft w:val="0"/>
              <w:marRight w:val="0"/>
              <w:marTop w:val="0"/>
              <w:marBottom w:val="0"/>
              <w:divBdr>
                <w:top w:val="none" w:sz="0" w:space="0" w:color="auto"/>
                <w:left w:val="none" w:sz="0" w:space="0" w:color="auto"/>
                <w:bottom w:val="none" w:sz="0" w:space="0" w:color="auto"/>
                <w:right w:val="none" w:sz="0" w:space="0" w:color="auto"/>
              </w:divBdr>
              <w:divsChild>
                <w:div w:id="744450923">
                  <w:marLeft w:val="0"/>
                  <w:marRight w:val="0"/>
                  <w:marTop w:val="0"/>
                  <w:marBottom w:val="0"/>
                  <w:divBdr>
                    <w:top w:val="none" w:sz="0" w:space="0" w:color="auto"/>
                    <w:left w:val="none" w:sz="0" w:space="0" w:color="auto"/>
                    <w:bottom w:val="none" w:sz="0" w:space="0" w:color="auto"/>
                    <w:right w:val="none" w:sz="0" w:space="0" w:color="auto"/>
                  </w:divBdr>
                  <w:divsChild>
                    <w:div w:id="565729341">
                      <w:marLeft w:val="0"/>
                      <w:marRight w:val="0"/>
                      <w:marTop w:val="0"/>
                      <w:marBottom w:val="0"/>
                      <w:divBdr>
                        <w:top w:val="none" w:sz="0" w:space="0" w:color="auto"/>
                        <w:left w:val="none" w:sz="0" w:space="0" w:color="auto"/>
                        <w:bottom w:val="none" w:sz="0" w:space="0" w:color="auto"/>
                        <w:right w:val="none" w:sz="0" w:space="0" w:color="auto"/>
                      </w:divBdr>
                    </w:div>
                  </w:divsChild>
                </w:div>
                <w:div w:id="195238966">
                  <w:marLeft w:val="0"/>
                  <w:marRight w:val="0"/>
                  <w:marTop w:val="0"/>
                  <w:marBottom w:val="0"/>
                  <w:divBdr>
                    <w:top w:val="none" w:sz="0" w:space="0" w:color="auto"/>
                    <w:left w:val="none" w:sz="0" w:space="0" w:color="auto"/>
                    <w:bottom w:val="none" w:sz="0" w:space="0" w:color="auto"/>
                    <w:right w:val="none" w:sz="0" w:space="0" w:color="auto"/>
                  </w:divBdr>
                  <w:divsChild>
                    <w:div w:id="162666354">
                      <w:marLeft w:val="0"/>
                      <w:marRight w:val="0"/>
                      <w:marTop w:val="0"/>
                      <w:marBottom w:val="0"/>
                      <w:divBdr>
                        <w:top w:val="none" w:sz="0" w:space="0" w:color="auto"/>
                        <w:left w:val="none" w:sz="0" w:space="0" w:color="auto"/>
                        <w:bottom w:val="none" w:sz="0" w:space="0" w:color="auto"/>
                        <w:right w:val="none" w:sz="0" w:space="0" w:color="auto"/>
                      </w:divBdr>
                    </w:div>
                  </w:divsChild>
                </w:div>
                <w:div w:id="1758820555">
                  <w:marLeft w:val="0"/>
                  <w:marRight w:val="0"/>
                  <w:marTop w:val="0"/>
                  <w:marBottom w:val="0"/>
                  <w:divBdr>
                    <w:top w:val="none" w:sz="0" w:space="0" w:color="auto"/>
                    <w:left w:val="none" w:sz="0" w:space="0" w:color="auto"/>
                    <w:bottom w:val="none" w:sz="0" w:space="0" w:color="auto"/>
                    <w:right w:val="none" w:sz="0" w:space="0" w:color="auto"/>
                  </w:divBdr>
                  <w:divsChild>
                    <w:div w:id="1331912209">
                      <w:marLeft w:val="0"/>
                      <w:marRight w:val="0"/>
                      <w:marTop w:val="0"/>
                      <w:marBottom w:val="0"/>
                      <w:divBdr>
                        <w:top w:val="none" w:sz="0" w:space="0" w:color="auto"/>
                        <w:left w:val="none" w:sz="0" w:space="0" w:color="auto"/>
                        <w:bottom w:val="none" w:sz="0" w:space="0" w:color="auto"/>
                        <w:right w:val="none" w:sz="0" w:space="0" w:color="auto"/>
                      </w:divBdr>
                    </w:div>
                  </w:divsChild>
                </w:div>
                <w:div w:id="1042946902">
                  <w:marLeft w:val="0"/>
                  <w:marRight w:val="0"/>
                  <w:marTop w:val="0"/>
                  <w:marBottom w:val="0"/>
                  <w:divBdr>
                    <w:top w:val="none" w:sz="0" w:space="0" w:color="auto"/>
                    <w:left w:val="none" w:sz="0" w:space="0" w:color="auto"/>
                    <w:bottom w:val="none" w:sz="0" w:space="0" w:color="auto"/>
                    <w:right w:val="none" w:sz="0" w:space="0" w:color="auto"/>
                  </w:divBdr>
                  <w:divsChild>
                    <w:div w:id="821044198">
                      <w:marLeft w:val="0"/>
                      <w:marRight w:val="0"/>
                      <w:marTop w:val="0"/>
                      <w:marBottom w:val="0"/>
                      <w:divBdr>
                        <w:top w:val="none" w:sz="0" w:space="0" w:color="auto"/>
                        <w:left w:val="none" w:sz="0" w:space="0" w:color="auto"/>
                        <w:bottom w:val="none" w:sz="0" w:space="0" w:color="auto"/>
                        <w:right w:val="none" w:sz="0" w:space="0" w:color="auto"/>
                      </w:divBdr>
                    </w:div>
                  </w:divsChild>
                </w:div>
                <w:div w:id="1683821918">
                  <w:marLeft w:val="0"/>
                  <w:marRight w:val="0"/>
                  <w:marTop w:val="0"/>
                  <w:marBottom w:val="0"/>
                  <w:divBdr>
                    <w:top w:val="none" w:sz="0" w:space="0" w:color="auto"/>
                    <w:left w:val="none" w:sz="0" w:space="0" w:color="auto"/>
                    <w:bottom w:val="none" w:sz="0" w:space="0" w:color="auto"/>
                    <w:right w:val="none" w:sz="0" w:space="0" w:color="auto"/>
                  </w:divBdr>
                  <w:divsChild>
                    <w:div w:id="77950996">
                      <w:marLeft w:val="0"/>
                      <w:marRight w:val="0"/>
                      <w:marTop w:val="0"/>
                      <w:marBottom w:val="0"/>
                      <w:divBdr>
                        <w:top w:val="none" w:sz="0" w:space="0" w:color="auto"/>
                        <w:left w:val="none" w:sz="0" w:space="0" w:color="auto"/>
                        <w:bottom w:val="none" w:sz="0" w:space="0" w:color="auto"/>
                        <w:right w:val="none" w:sz="0" w:space="0" w:color="auto"/>
                      </w:divBdr>
                      <w:divsChild>
                        <w:div w:id="1015110893">
                          <w:marLeft w:val="0"/>
                          <w:marRight w:val="0"/>
                          <w:marTop w:val="0"/>
                          <w:marBottom w:val="0"/>
                          <w:divBdr>
                            <w:top w:val="none" w:sz="0" w:space="0" w:color="auto"/>
                            <w:left w:val="none" w:sz="0" w:space="0" w:color="auto"/>
                            <w:bottom w:val="none" w:sz="0" w:space="0" w:color="auto"/>
                            <w:right w:val="none" w:sz="0" w:space="0" w:color="auto"/>
                          </w:divBdr>
                        </w:div>
                      </w:divsChild>
                    </w:div>
                    <w:div w:id="1247108519">
                      <w:marLeft w:val="0"/>
                      <w:marRight w:val="0"/>
                      <w:marTop w:val="0"/>
                      <w:marBottom w:val="0"/>
                      <w:divBdr>
                        <w:top w:val="none" w:sz="0" w:space="0" w:color="auto"/>
                        <w:left w:val="none" w:sz="0" w:space="0" w:color="auto"/>
                        <w:bottom w:val="none" w:sz="0" w:space="0" w:color="auto"/>
                        <w:right w:val="none" w:sz="0" w:space="0" w:color="auto"/>
                      </w:divBdr>
                      <w:divsChild>
                        <w:div w:id="173685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03584">
                  <w:marLeft w:val="0"/>
                  <w:marRight w:val="0"/>
                  <w:marTop w:val="0"/>
                  <w:marBottom w:val="0"/>
                  <w:divBdr>
                    <w:top w:val="none" w:sz="0" w:space="0" w:color="auto"/>
                    <w:left w:val="none" w:sz="0" w:space="0" w:color="auto"/>
                    <w:bottom w:val="none" w:sz="0" w:space="0" w:color="auto"/>
                    <w:right w:val="none" w:sz="0" w:space="0" w:color="auto"/>
                  </w:divBdr>
                  <w:divsChild>
                    <w:div w:id="896891687">
                      <w:marLeft w:val="0"/>
                      <w:marRight w:val="0"/>
                      <w:marTop w:val="0"/>
                      <w:marBottom w:val="0"/>
                      <w:divBdr>
                        <w:top w:val="none" w:sz="0" w:space="0" w:color="auto"/>
                        <w:left w:val="none" w:sz="0" w:space="0" w:color="auto"/>
                        <w:bottom w:val="none" w:sz="0" w:space="0" w:color="auto"/>
                        <w:right w:val="none" w:sz="0" w:space="0" w:color="auto"/>
                      </w:divBdr>
                      <w:divsChild>
                        <w:div w:id="1204556412">
                          <w:marLeft w:val="0"/>
                          <w:marRight w:val="0"/>
                          <w:marTop w:val="0"/>
                          <w:marBottom w:val="0"/>
                          <w:divBdr>
                            <w:top w:val="none" w:sz="0" w:space="0" w:color="auto"/>
                            <w:left w:val="none" w:sz="0" w:space="0" w:color="auto"/>
                            <w:bottom w:val="none" w:sz="0" w:space="0" w:color="auto"/>
                            <w:right w:val="none" w:sz="0" w:space="0" w:color="auto"/>
                          </w:divBdr>
                        </w:div>
                      </w:divsChild>
                    </w:div>
                    <w:div w:id="517744467">
                      <w:marLeft w:val="0"/>
                      <w:marRight w:val="0"/>
                      <w:marTop w:val="0"/>
                      <w:marBottom w:val="0"/>
                      <w:divBdr>
                        <w:top w:val="none" w:sz="0" w:space="0" w:color="auto"/>
                        <w:left w:val="none" w:sz="0" w:space="0" w:color="auto"/>
                        <w:bottom w:val="none" w:sz="0" w:space="0" w:color="auto"/>
                        <w:right w:val="none" w:sz="0" w:space="0" w:color="auto"/>
                      </w:divBdr>
                      <w:divsChild>
                        <w:div w:id="11877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667026">
                  <w:marLeft w:val="0"/>
                  <w:marRight w:val="0"/>
                  <w:marTop w:val="0"/>
                  <w:marBottom w:val="0"/>
                  <w:divBdr>
                    <w:top w:val="none" w:sz="0" w:space="0" w:color="auto"/>
                    <w:left w:val="none" w:sz="0" w:space="0" w:color="auto"/>
                    <w:bottom w:val="none" w:sz="0" w:space="0" w:color="auto"/>
                    <w:right w:val="none" w:sz="0" w:space="0" w:color="auto"/>
                  </w:divBdr>
                  <w:divsChild>
                    <w:div w:id="696976928">
                      <w:marLeft w:val="0"/>
                      <w:marRight w:val="0"/>
                      <w:marTop w:val="0"/>
                      <w:marBottom w:val="0"/>
                      <w:divBdr>
                        <w:top w:val="none" w:sz="0" w:space="0" w:color="auto"/>
                        <w:left w:val="none" w:sz="0" w:space="0" w:color="auto"/>
                        <w:bottom w:val="none" w:sz="0" w:space="0" w:color="auto"/>
                        <w:right w:val="none" w:sz="0" w:space="0" w:color="auto"/>
                      </w:divBdr>
                      <w:divsChild>
                        <w:div w:id="1696495745">
                          <w:marLeft w:val="0"/>
                          <w:marRight w:val="0"/>
                          <w:marTop w:val="0"/>
                          <w:marBottom w:val="0"/>
                          <w:divBdr>
                            <w:top w:val="none" w:sz="0" w:space="0" w:color="auto"/>
                            <w:left w:val="none" w:sz="0" w:space="0" w:color="auto"/>
                            <w:bottom w:val="none" w:sz="0" w:space="0" w:color="auto"/>
                            <w:right w:val="none" w:sz="0" w:space="0" w:color="auto"/>
                          </w:divBdr>
                        </w:div>
                      </w:divsChild>
                    </w:div>
                    <w:div w:id="424807954">
                      <w:marLeft w:val="0"/>
                      <w:marRight w:val="0"/>
                      <w:marTop w:val="0"/>
                      <w:marBottom w:val="0"/>
                      <w:divBdr>
                        <w:top w:val="none" w:sz="0" w:space="0" w:color="auto"/>
                        <w:left w:val="none" w:sz="0" w:space="0" w:color="auto"/>
                        <w:bottom w:val="none" w:sz="0" w:space="0" w:color="auto"/>
                        <w:right w:val="none" w:sz="0" w:space="0" w:color="auto"/>
                      </w:divBdr>
                      <w:divsChild>
                        <w:div w:id="130441170">
                          <w:marLeft w:val="0"/>
                          <w:marRight w:val="0"/>
                          <w:marTop w:val="0"/>
                          <w:marBottom w:val="0"/>
                          <w:divBdr>
                            <w:top w:val="none" w:sz="0" w:space="0" w:color="auto"/>
                            <w:left w:val="none" w:sz="0" w:space="0" w:color="auto"/>
                            <w:bottom w:val="none" w:sz="0" w:space="0" w:color="auto"/>
                            <w:right w:val="none" w:sz="0" w:space="0" w:color="auto"/>
                          </w:divBdr>
                        </w:div>
                      </w:divsChild>
                    </w:div>
                    <w:div w:id="1096176786">
                      <w:marLeft w:val="0"/>
                      <w:marRight w:val="0"/>
                      <w:marTop w:val="0"/>
                      <w:marBottom w:val="0"/>
                      <w:divBdr>
                        <w:top w:val="none" w:sz="0" w:space="0" w:color="auto"/>
                        <w:left w:val="none" w:sz="0" w:space="0" w:color="auto"/>
                        <w:bottom w:val="none" w:sz="0" w:space="0" w:color="auto"/>
                        <w:right w:val="none" w:sz="0" w:space="0" w:color="auto"/>
                      </w:divBdr>
                      <w:divsChild>
                        <w:div w:id="14412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676">
                  <w:marLeft w:val="0"/>
                  <w:marRight w:val="0"/>
                  <w:marTop w:val="0"/>
                  <w:marBottom w:val="0"/>
                  <w:divBdr>
                    <w:top w:val="none" w:sz="0" w:space="0" w:color="auto"/>
                    <w:left w:val="none" w:sz="0" w:space="0" w:color="auto"/>
                    <w:bottom w:val="none" w:sz="0" w:space="0" w:color="auto"/>
                    <w:right w:val="none" w:sz="0" w:space="0" w:color="auto"/>
                  </w:divBdr>
                  <w:divsChild>
                    <w:div w:id="457382697">
                      <w:marLeft w:val="0"/>
                      <w:marRight w:val="0"/>
                      <w:marTop w:val="0"/>
                      <w:marBottom w:val="0"/>
                      <w:divBdr>
                        <w:top w:val="none" w:sz="0" w:space="0" w:color="auto"/>
                        <w:left w:val="none" w:sz="0" w:space="0" w:color="auto"/>
                        <w:bottom w:val="none" w:sz="0" w:space="0" w:color="auto"/>
                        <w:right w:val="none" w:sz="0" w:space="0" w:color="auto"/>
                      </w:divBdr>
                      <w:divsChild>
                        <w:div w:id="1696268672">
                          <w:marLeft w:val="0"/>
                          <w:marRight w:val="0"/>
                          <w:marTop w:val="0"/>
                          <w:marBottom w:val="0"/>
                          <w:divBdr>
                            <w:top w:val="none" w:sz="0" w:space="0" w:color="auto"/>
                            <w:left w:val="none" w:sz="0" w:space="0" w:color="auto"/>
                            <w:bottom w:val="none" w:sz="0" w:space="0" w:color="auto"/>
                            <w:right w:val="none" w:sz="0" w:space="0" w:color="auto"/>
                          </w:divBdr>
                        </w:div>
                      </w:divsChild>
                    </w:div>
                    <w:div w:id="1525166953">
                      <w:marLeft w:val="0"/>
                      <w:marRight w:val="0"/>
                      <w:marTop w:val="0"/>
                      <w:marBottom w:val="0"/>
                      <w:divBdr>
                        <w:top w:val="none" w:sz="0" w:space="0" w:color="auto"/>
                        <w:left w:val="none" w:sz="0" w:space="0" w:color="auto"/>
                        <w:bottom w:val="none" w:sz="0" w:space="0" w:color="auto"/>
                        <w:right w:val="none" w:sz="0" w:space="0" w:color="auto"/>
                      </w:divBdr>
                      <w:divsChild>
                        <w:div w:id="6253835">
                          <w:marLeft w:val="0"/>
                          <w:marRight w:val="0"/>
                          <w:marTop w:val="0"/>
                          <w:marBottom w:val="0"/>
                          <w:divBdr>
                            <w:top w:val="none" w:sz="0" w:space="0" w:color="auto"/>
                            <w:left w:val="none" w:sz="0" w:space="0" w:color="auto"/>
                            <w:bottom w:val="none" w:sz="0" w:space="0" w:color="auto"/>
                            <w:right w:val="none" w:sz="0" w:space="0" w:color="auto"/>
                          </w:divBdr>
                        </w:div>
                      </w:divsChild>
                    </w:div>
                    <w:div w:id="1283422973">
                      <w:marLeft w:val="0"/>
                      <w:marRight w:val="0"/>
                      <w:marTop w:val="0"/>
                      <w:marBottom w:val="0"/>
                      <w:divBdr>
                        <w:top w:val="none" w:sz="0" w:space="0" w:color="auto"/>
                        <w:left w:val="none" w:sz="0" w:space="0" w:color="auto"/>
                        <w:bottom w:val="none" w:sz="0" w:space="0" w:color="auto"/>
                        <w:right w:val="none" w:sz="0" w:space="0" w:color="auto"/>
                      </w:divBdr>
                      <w:divsChild>
                        <w:div w:id="180843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6272">
                  <w:marLeft w:val="0"/>
                  <w:marRight w:val="0"/>
                  <w:marTop w:val="0"/>
                  <w:marBottom w:val="0"/>
                  <w:divBdr>
                    <w:top w:val="none" w:sz="0" w:space="0" w:color="auto"/>
                    <w:left w:val="none" w:sz="0" w:space="0" w:color="auto"/>
                    <w:bottom w:val="none" w:sz="0" w:space="0" w:color="auto"/>
                    <w:right w:val="none" w:sz="0" w:space="0" w:color="auto"/>
                  </w:divBdr>
                  <w:divsChild>
                    <w:div w:id="1060981062">
                      <w:marLeft w:val="0"/>
                      <w:marRight w:val="0"/>
                      <w:marTop w:val="0"/>
                      <w:marBottom w:val="0"/>
                      <w:divBdr>
                        <w:top w:val="none" w:sz="0" w:space="0" w:color="auto"/>
                        <w:left w:val="none" w:sz="0" w:space="0" w:color="auto"/>
                        <w:bottom w:val="none" w:sz="0" w:space="0" w:color="auto"/>
                        <w:right w:val="none" w:sz="0" w:space="0" w:color="auto"/>
                      </w:divBdr>
                      <w:divsChild>
                        <w:div w:id="974217708">
                          <w:marLeft w:val="0"/>
                          <w:marRight w:val="0"/>
                          <w:marTop w:val="0"/>
                          <w:marBottom w:val="0"/>
                          <w:divBdr>
                            <w:top w:val="none" w:sz="0" w:space="0" w:color="auto"/>
                            <w:left w:val="none" w:sz="0" w:space="0" w:color="auto"/>
                            <w:bottom w:val="none" w:sz="0" w:space="0" w:color="auto"/>
                            <w:right w:val="none" w:sz="0" w:space="0" w:color="auto"/>
                          </w:divBdr>
                        </w:div>
                      </w:divsChild>
                    </w:div>
                    <w:div w:id="1384208308">
                      <w:marLeft w:val="0"/>
                      <w:marRight w:val="0"/>
                      <w:marTop w:val="0"/>
                      <w:marBottom w:val="0"/>
                      <w:divBdr>
                        <w:top w:val="none" w:sz="0" w:space="0" w:color="auto"/>
                        <w:left w:val="none" w:sz="0" w:space="0" w:color="auto"/>
                        <w:bottom w:val="none" w:sz="0" w:space="0" w:color="auto"/>
                        <w:right w:val="none" w:sz="0" w:space="0" w:color="auto"/>
                      </w:divBdr>
                      <w:divsChild>
                        <w:div w:id="379867581">
                          <w:marLeft w:val="0"/>
                          <w:marRight w:val="0"/>
                          <w:marTop w:val="0"/>
                          <w:marBottom w:val="0"/>
                          <w:divBdr>
                            <w:top w:val="none" w:sz="0" w:space="0" w:color="auto"/>
                            <w:left w:val="none" w:sz="0" w:space="0" w:color="auto"/>
                            <w:bottom w:val="none" w:sz="0" w:space="0" w:color="auto"/>
                            <w:right w:val="none" w:sz="0" w:space="0" w:color="auto"/>
                          </w:divBdr>
                        </w:div>
                      </w:divsChild>
                    </w:div>
                    <w:div w:id="1804731081">
                      <w:marLeft w:val="0"/>
                      <w:marRight w:val="0"/>
                      <w:marTop w:val="0"/>
                      <w:marBottom w:val="0"/>
                      <w:divBdr>
                        <w:top w:val="none" w:sz="0" w:space="0" w:color="auto"/>
                        <w:left w:val="none" w:sz="0" w:space="0" w:color="auto"/>
                        <w:bottom w:val="none" w:sz="0" w:space="0" w:color="auto"/>
                        <w:right w:val="none" w:sz="0" w:space="0" w:color="auto"/>
                      </w:divBdr>
                      <w:divsChild>
                        <w:div w:id="772628473">
                          <w:marLeft w:val="0"/>
                          <w:marRight w:val="0"/>
                          <w:marTop w:val="0"/>
                          <w:marBottom w:val="0"/>
                          <w:divBdr>
                            <w:top w:val="none" w:sz="0" w:space="0" w:color="auto"/>
                            <w:left w:val="none" w:sz="0" w:space="0" w:color="auto"/>
                            <w:bottom w:val="none" w:sz="0" w:space="0" w:color="auto"/>
                            <w:right w:val="none" w:sz="0" w:space="0" w:color="auto"/>
                          </w:divBdr>
                        </w:div>
                      </w:divsChild>
                    </w:div>
                    <w:div w:id="1362197281">
                      <w:marLeft w:val="0"/>
                      <w:marRight w:val="0"/>
                      <w:marTop w:val="0"/>
                      <w:marBottom w:val="0"/>
                      <w:divBdr>
                        <w:top w:val="none" w:sz="0" w:space="0" w:color="auto"/>
                        <w:left w:val="none" w:sz="0" w:space="0" w:color="auto"/>
                        <w:bottom w:val="none" w:sz="0" w:space="0" w:color="auto"/>
                        <w:right w:val="none" w:sz="0" w:space="0" w:color="auto"/>
                      </w:divBdr>
                      <w:divsChild>
                        <w:div w:id="17222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55221">
                  <w:marLeft w:val="0"/>
                  <w:marRight w:val="0"/>
                  <w:marTop w:val="0"/>
                  <w:marBottom w:val="0"/>
                  <w:divBdr>
                    <w:top w:val="none" w:sz="0" w:space="0" w:color="auto"/>
                    <w:left w:val="none" w:sz="0" w:space="0" w:color="auto"/>
                    <w:bottom w:val="none" w:sz="0" w:space="0" w:color="auto"/>
                    <w:right w:val="none" w:sz="0" w:space="0" w:color="auto"/>
                  </w:divBdr>
                  <w:divsChild>
                    <w:div w:id="848059751">
                      <w:marLeft w:val="0"/>
                      <w:marRight w:val="0"/>
                      <w:marTop w:val="0"/>
                      <w:marBottom w:val="0"/>
                      <w:divBdr>
                        <w:top w:val="none" w:sz="0" w:space="0" w:color="auto"/>
                        <w:left w:val="none" w:sz="0" w:space="0" w:color="auto"/>
                        <w:bottom w:val="none" w:sz="0" w:space="0" w:color="auto"/>
                        <w:right w:val="none" w:sz="0" w:space="0" w:color="auto"/>
                      </w:divBdr>
                      <w:divsChild>
                        <w:div w:id="1252006178">
                          <w:marLeft w:val="0"/>
                          <w:marRight w:val="0"/>
                          <w:marTop w:val="0"/>
                          <w:marBottom w:val="0"/>
                          <w:divBdr>
                            <w:top w:val="none" w:sz="0" w:space="0" w:color="auto"/>
                            <w:left w:val="none" w:sz="0" w:space="0" w:color="auto"/>
                            <w:bottom w:val="none" w:sz="0" w:space="0" w:color="auto"/>
                            <w:right w:val="none" w:sz="0" w:space="0" w:color="auto"/>
                          </w:divBdr>
                        </w:div>
                      </w:divsChild>
                    </w:div>
                    <w:div w:id="810443195">
                      <w:marLeft w:val="0"/>
                      <w:marRight w:val="0"/>
                      <w:marTop w:val="0"/>
                      <w:marBottom w:val="0"/>
                      <w:divBdr>
                        <w:top w:val="none" w:sz="0" w:space="0" w:color="auto"/>
                        <w:left w:val="none" w:sz="0" w:space="0" w:color="auto"/>
                        <w:bottom w:val="none" w:sz="0" w:space="0" w:color="auto"/>
                        <w:right w:val="none" w:sz="0" w:space="0" w:color="auto"/>
                      </w:divBdr>
                      <w:divsChild>
                        <w:div w:id="1467774945">
                          <w:marLeft w:val="0"/>
                          <w:marRight w:val="0"/>
                          <w:marTop w:val="0"/>
                          <w:marBottom w:val="0"/>
                          <w:divBdr>
                            <w:top w:val="none" w:sz="0" w:space="0" w:color="auto"/>
                            <w:left w:val="none" w:sz="0" w:space="0" w:color="auto"/>
                            <w:bottom w:val="none" w:sz="0" w:space="0" w:color="auto"/>
                            <w:right w:val="none" w:sz="0" w:space="0" w:color="auto"/>
                          </w:divBdr>
                        </w:div>
                      </w:divsChild>
                    </w:div>
                    <w:div w:id="1872911912">
                      <w:marLeft w:val="0"/>
                      <w:marRight w:val="0"/>
                      <w:marTop w:val="0"/>
                      <w:marBottom w:val="0"/>
                      <w:divBdr>
                        <w:top w:val="none" w:sz="0" w:space="0" w:color="auto"/>
                        <w:left w:val="none" w:sz="0" w:space="0" w:color="auto"/>
                        <w:bottom w:val="none" w:sz="0" w:space="0" w:color="auto"/>
                        <w:right w:val="none" w:sz="0" w:space="0" w:color="auto"/>
                      </w:divBdr>
                      <w:divsChild>
                        <w:div w:id="181366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07372">
                  <w:marLeft w:val="0"/>
                  <w:marRight w:val="0"/>
                  <w:marTop w:val="0"/>
                  <w:marBottom w:val="0"/>
                  <w:divBdr>
                    <w:top w:val="none" w:sz="0" w:space="0" w:color="auto"/>
                    <w:left w:val="none" w:sz="0" w:space="0" w:color="auto"/>
                    <w:bottom w:val="none" w:sz="0" w:space="0" w:color="auto"/>
                    <w:right w:val="none" w:sz="0" w:space="0" w:color="auto"/>
                  </w:divBdr>
                  <w:divsChild>
                    <w:div w:id="261035978">
                      <w:marLeft w:val="0"/>
                      <w:marRight w:val="0"/>
                      <w:marTop w:val="0"/>
                      <w:marBottom w:val="0"/>
                      <w:divBdr>
                        <w:top w:val="none" w:sz="0" w:space="0" w:color="auto"/>
                        <w:left w:val="none" w:sz="0" w:space="0" w:color="auto"/>
                        <w:bottom w:val="none" w:sz="0" w:space="0" w:color="auto"/>
                        <w:right w:val="none" w:sz="0" w:space="0" w:color="auto"/>
                      </w:divBdr>
                      <w:divsChild>
                        <w:div w:id="774979265">
                          <w:marLeft w:val="0"/>
                          <w:marRight w:val="0"/>
                          <w:marTop w:val="0"/>
                          <w:marBottom w:val="0"/>
                          <w:divBdr>
                            <w:top w:val="none" w:sz="0" w:space="0" w:color="auto"/>
                            <w:left w:val="none" w:sz="0" w:space="0" w:color="auto"/>
                            <w:bottom w:val="none" w:sz="0" w:space="0" w:color="auto"/>
                            <w:right w:val="none" w:sz="0" w:space="0" w:color="auto"/>
                          </w:divBdr>
                        </w:div>
                      </w:divsChild>
                    </w:div>
                    <w:div w:id="1392582735">
                      <w:marLeft w:val="0"/>
                      <w:marRight w:val="0"/>
                      <w:marTop w:val="0"/>
                      <w:marBottom w:val="0"/>
                      <w:divBdr>
                        <w:top w:val="none" w:sz="0" w:space="0" w:color="auto"/>
                        <w:left w:val="none" w:sz="0" w:space="0" w:color="auto"/>
                        <w:bottom w:val="none" w:sz="0" w:space="0" w:color="auto"/>
                        <w:right w:val="none" w:sz="0" w:space="0" w:color="auto"/>
                      </w:divBdr>
                      <w:divsChild>
                        <w:div w:id="564338402">
                          <w:marLeft w:val="0"/>
                          <w:marRight w:val="0"/>
                          <w:marTop w:val="0"/>
                          <w:marBottom w:val="0"/>
                          <w:divBdr>
                            <w:top w:val="none" w:sz="0" w:space="0" w:color="auto"/>
                            <w:left w:val="none" w:sz="0" w:space="0" w:color="auto"/>
                            <w:bottom w:val="none" w:sz="0" w:space="0" w:color="auto"/>
                            <w:right w:val="none" w:sz="0" w:space="0" w:color="auto"/>
                          </w:divBdr>
                        </w:div>
                      </w:divsChild>
                    </w:div>
                    <w:div w:id="1324041007">
                      <w:marLeft w:val="0"/>
                      <w:marRight w:val="0"/>
                      <w:marTop w:val="0"/>
                      <w:marBottom w:val="0"/>
                      <w:divBdr>
                        <w:top w:val="none" w:sz="0" w:space="0" w:color="auto"/>
                        <w:left w:val="none" w:sz="0" w:space="0" w:color="auto"/>
                        <w:bottom w:val="none" w:sz="0" w:space="0" w:color="auto"/>
                        <w:right w:val="none" w:sz="0" w:space="0" w:color="auto"/>
                      </w:divBdr>
                      <w:divsChild>
                        <w:div w:id="2087144799">
                          <w:marLeft w:val="0"/>
                          <w:marRight w:val="0"/>
                          <w:marTop w:val="0"/>
                          <w:marBottom w:val="0"/>
                          <w:divBdr>
                            <w:top w:val="none" w:sz="0" w:space="0" w:color="auto"/>
                            <w:left w:val="none" w:sz="0" w:space="0" w:color="auto"/>
                            <w:bottom w:val="none" w:sz="0" w:space="0" w:color="auto"/>
                            <w:right w:val="none" w:sz="0" w:space="0" w:color="auto"/>
                          </w:divBdr>
                        </w:div>
                      </w:divsChild>
                    </w:div>
                    <w:div w:id="375197873">
                      <w:marLeft w:val="0"/>
                      <w:marRight w:val="0"/>
                      <w:marTop w:val="0"/>
                      <w:marBottom w:val="0"/>
                      <w:divBdr>
                        <w:top w:val="none" w:sz="0" w:space="0" w:color="auto"/>
                        <w:left w:val="none" w:sz="0" w:space="0" w:color="auto"/>
                        <w:bottom w:val="none" w:sz="0" w:space="0" w:color="auto"/>
                        <w:right w:val="none" w:sz="0" w:space="0" w:color="auto"/>
                      </w:divBdr>
                      <w:divsChild>
                        <w:div w:id="21332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4027">
                  <w:marLeft w:val="0"/>
                  <w:marRight w:val="0"/>
                  <w:marTop w:val="0"/>
                  <w:marBottom w:val="0"/>
                  <w:divBdr>
                    <w:top w:val="none" w:sz="0" w:space="0" w:color="auto"/>
                    <w:left w:val="none" w:sz="0" w:space="0" w:color="auto"/>
                    <w:bottom w:val="none" w:sz="0" w:space="0" w:color="auto"/>
                    <w:right w:val="none" w:sz="0" w:space="0" w:color="auto"/>
                  </w:divBdr>
                  <w:divsChild>
                    <w:div w:id="1824809348">
                      <w:marLeft w:val="0"/>
                      <w:marRight w:val="0"/>
                      <w:marTop w:val="0"/>
                      <w:marBottom w:val="0"/>
                      <w:divBdr>
                        <w:top w:val="none" w:sz="0" w:space="0" w:color="auto"/>
                        <w:left w:val="none" w:sz="0" w:space="0" w:color="auto"/>
                        <w:bottom w:val="none" w:sz="0" w:space="0" w:color="auto"/>
                        <w:right w:val="none" w:sz="0" w:space="0" w:color="auto"/>
                      </w:divBdr>
                      <w:divsChild>
                        <w:div w:id="708140391">
                          <w:marLeft w:val="0"/>
                          <w:marRight w:val="0"/>
                          <w:marTop w:val="0"/>
                          <w:marBottom w:val="0"/>
                          <w:divBdr>
                            <w:top w:val="none" w:sz="0" w:space="0" w:color="auto"/>
                            <w:left w:val="none" w:sz="0" w:space="0" w:color="auto"/>
                            <w:bottom w:val="none" w:sz="0" w:space="0" w:color="auto"/>
                            <w:right w:val="none" w:sz="0" w:space="0" w:color="auto"/>
                          </w:divBdr>
                        </w:div>
                      </w:divsChild>
                    </w:div>
                    <w:div w:id="1987663698">
                      <w:marLeft w:val="0"/>
                      <w:marRight w:val="0"/>
                      <w:marTop w:val="0"/>
                      <w:marBottom w:val="0"/>
                      <w:divBdr>
                        <w:top w:val="none" w:sz="0" w:space="0" w:color="auto"/>
                        <w:left w:val="none" w:sz="0" w:space="0" w:color="auto"/>
                        <w:bottom w:val="none" w:sz="0" w:space="0" w:color="auto"/>
                        <w:right w:val="none" w:sz="0" w:space="0" w:color="auto"/>
                      </w:divBdr>
                      <w:divsChild>
                        <w:div w:id="453793174">
                          <w:marLeft w:val="0"/>
                          <w:marRight w:val="0"/>
                          <w:marTop w:val="0"/>
                          <w:marBottom w:val="0"/>
                          <w:divBdr>
                            <w:top w:val="none" w:sz="0" w:space="0" w:color="auto"/>
                            <w:left w:val="none" w:sz="0" w:space="0" w:color="auto"/>
                            <w:bottom w:val="none" w:sz="0" w:space="0" w:color="auto"/>
                            <w:right w:val="none" w:sz="0" w:space="0" w:color="auto"/>
                          </w:divBdr>
                        </w:div>
                      </w:divsChild>
                    </w:div>
                    <w:div w:id="128934383">
                      <w:marLeft w:val="0"/>
                      <w:marRight w:val="0"/>
                      <w:marTop w:val="0"/>
                      <w:marBottom w:val="0"/>
                      <w:divBdr>
                        <w:top w:val="none" w:sz="0" w:space="0" w:color="auto"/>
                        <w:left w:val="none" w:sz="0" w:space="0" w:color="auto"/>
                        <w:bottom w:val="none" w:sz="0" w:space="0" w:color="auto"/>
                        <w:right w:val="none" w:sz="0" w:space="0" w:color="auto"/>
                      </w:divBdr>
                      <w:divsChild>
                        <w:div w:id="137115552">
                          <w:marLeft w:val="0"/>
                          <w:marRight w:val="0"/>
                          <w:marTop w:val="0"/>
                          <w:marBottom w:val="0"/>
                          <w:divBdr>
                            <w:top w:val="none" w:sz="0" w:space="0" w:color="auto"/>
                            <w:left w:val="none" w:sz="0" w:space="0" w:color="auto"/>
                            <w:bottom w:val="none" w:sz="0" w:space="0" w:color="auto"/>
                            <w:right w:val="none" w:sz="0" w:space="0" w:color="auto"/>
                          </w:divBdr>
                        </w:div>
                      </w:divsChild>
                    </w:div>
                    <w:div w:id="1630277314">
                      <w:marLeft w:val="0"/>
                      <w:marRight w:val="0"/>
                      <w:marTop w:val="0"/>
                      <w:marBottom w:val="0"/>
                      <w:divBdr>
                        <w:top w:val="none" w:sz="0" w:space="0" w:color="auto"/>
                        <w:left w:val="none" w:sz="0" w:space="0" w:color="auto"/>
                        <w:bottom w:val="none" w:sz="0" w:space="0" w:color="auto"/>
                        <w:right w:val="none" w:sz="0" w:space="0" w:color="auto"/>
                      </w:divBdr>
                      <w:divsChild>
                        <w:div w:id="105435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d26c6947-7193-433e-9fee-b9383e5fa34c" xsi:nil="true"/>
    <lcf76f155ced4ddcb4097134ff3c332f xmlns="d26c6947-7193-433e-9fee-b9383e5fa34c">
      <Terms xmlns="http://schemas.microsoft.com/office/infopath/2007/PartnerControls"/>
    </lcf76f155ced4ddcb4097134ff3c332f>
    <TaxCatchAll xmlns="4e491ae2-bd53-4995-98ac-e251fc1d93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47492F976CBF46A6AE218298779E84" ma:contentTypeVersion="14" ma:contentTypeDescription="Create a new document." ma:contentTypeScope="" ma:versionID="8e962dba40445628f1c5b4f54e22807d">
  <xsd:schema xmlns:xsd="http://www.w3.org/2001/XMLSchema" xmlns:xs="http://www.w3.org/2001/XMLSchema" xmlns:p="http://schemas.microsoft.com/office/2006/metadata/properties" xmlns:ns2="d26c6947-7193-433e-9fee-b9383e5fa34c" xmlns:ns3="4e491ae2-bd53-4995-98ac-e251fc1d93db" targetNamespace="http://schemas.microsoft.com/office/2006/metadata/properties" ma:root="true" ma:fieldsID="fabb74d6aa14c965a5d5bd6b7d960d7e" ns2:_="" ns3:_="">
    <xsd:import namespace="d26c6947-7193-433e-9fee-b9383e5fa34c"/>
    <xsd:import namespace="4e491ae2-bd53-4995-98ac-e251fc1d93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6947-7193-433e-9fee-b9383e5fa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d074e46-be42-49cb-8029-13db79c297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491ae2-bd53-4995-98ac-e251fc1d93d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9b0d3b-acb5-4b54-bf8f-581fcd62b9ea}" ma:internalName="TaxCatchAll" ma:showField="CatchAllData" ma:web="4e491ae2-bd53-4995-98ac-e251fc1d9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43692-1362-4447-BCAF-0457D0330704}">
  <ds:schemaRefs>
    <ds:schemaRef ds:uri="http://schemas.microsoft.com/office/2006/metadata/properties"/>
    <ds:schemaRef ds:uri="http://schemas.microsoft.com/office/infopath/2007/PartnerControls"/>
    <ds:schemaRef ds:uri="d26c6947-7193-433e-9fee-b9383e5fa34c"/>
    <ds:schemaRef ds:uri="4e491ae2-bd53-4995-98ac-e251fc1d93db"/>
  </ds:schemaRefs>
</ds:datastoreItem>
</file>

<file path=customXml/itemProps2.xml><?xml version="1.0" encoding="utf-8"?>
<ds:datastoreItem xmlns:ds="http://schemas.openxmlformats.org/officeDocument/2006/customXml" ds:itemID="{26BB9094-A93B-49C5-8048-D27BF7618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6947-7193-433e-9fee-b9383e5fa34c"/>
    <ds:schemaRef ds:uri="4e491ae2-bd53-4995-98ac-e251fc1d9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3703D-92FE-44D3-86E2-703A8580D068}">
  <ds:schemaRefs>
    <ds:schemaRef ds:uri="http://schemas.microsoft.com/sharepoint/v3/contenttype/forms"/>
  </ds:schemaRefs>
</ds:datastoreItem>
</file>

<file path=customXml/itemProps4.xml><?xml version="1.0" encoding="utf-8"?>
<ds:datastoreItem xmlns:ds="http://schemas.openxmlformats.org/officeDocument/2006/customXml" ds:itemID="{1F20F947-71FC-4C27-A20F-A6CE651D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1175</Words>
  <Characters>6698</Characters>
  <Application>Microsoft Office Word</Application>
  <DocSecurity>0</DocSecurity>
  <Lines>55</Lines>
  <Paragraphs>15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2023-04-14T09:54:00Z</dcterms:created>
  <dcterms:modified xsi:type="dcterms:W3CDTF">2023-04-14T10:02:00Z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3540800</vt:r8>
  </property>
  <property fmtid="{D5CDD505-2E9C-101B-9397-08002B2CF9AE}" pid="3" name="ContentTypeId">
    <vt:lpwstr>0x0101005D47492F976CBF46A6AE218298779E84</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