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2414" w14:textId="77777777" w:rsidR="00C03FC3" w:rsidRDefault="00C03FC3" w:rsidP="00C03FC3">
      <w:pPr>
        <w:widowControl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24A19CB3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7E3FBAB2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56DABBC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00A8D" id="Rovná spojnica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11pAEAADYDAAAOAAAAZHJzL2Uyb0RvYy54bWysUs2OEzEMviPxDlHudGarFlajTvewq+Wy&#10;goplH8DNZDqBJI7i0Jk+Ds/Ci+GkPxS4IXKw/JfP/myv7iZnxV5HMuhbeTOrpdBeYWf8rpUvnx/f&#10;3EpBCXwHFr1u5UGTvFu/frUaQ6PnOKDtdBQM4qkZQyuHlEJTVaQG7YBmGLTnYI/RQWIz7qouwsjo&#10;zlbzun5bjRi7EFFpIvY+HINyXfD7Xqv0se9JJ2Fbyb2lImOR2yyr9QqaXYQwGHVqA/6hCwfGc9EL&#10;1AMkEN+i+QvKGRWRsE8zha7CvjdKFw7M5qb+g83zAEEXLjwcCpcx0f+DVR/2myhM18qFFB4cr+gT&#10;7v2P74ICfvFGgVjkIY2BGs6995uYaarJP4cnVF+JY9VvwWxQOKZNfXQ5nXmKqQz9cBm6npJQ7Fy+&#10;u60X9VIKxbH5clF2UkFz/hsipfcanchKK63xeSTQwP6JUq4OzTkluz0+GmvLWq3PDkJruuwrRtxt&#10;720Ue8j3UF5mxxhXaWwdv+pyQKcyv3hlbYvdYRPP5Hk5BeR0SHn71zbr1+e+/gkAAP//AwBQSwME&#10;FAAGAAgAAAAhAG4gs33bAAAABQEAAA8AAABkcnMvZG93bnJldi54bWxMjsFOwzAQRO9I/IO1SFyq&#10;1qZA1IRsKgTkxoUC6nWbLElEvE5jtw18PeYEx9GM3rx8PdleHXn0nROEq4UBxVK5upMG4e21nK9A&#10;+UBSU++EEb7Yw7o4P8spq91JXvi4CY2KEPEZIbQhDJnWvmrZkl+4gSV2H260FGIcG12PdIpw2+ul&#10;MYm21El8aGngh5arz83BIvjynffl96yame1143i5f3x+IsTLi+n+DlTgKfyN4Vc/qkMRnXbuILVX&#10;PcL8Jg4RbhNQsU1NmoLaISQGdJHr//bFDwAAAP//AwBQSwECLQAUAAYACAAAACEAtoM4kv4AAADh&#10;AQAAEwAAAAAAAAAAAAAAAAAAAAAAW0NvbnRlbnRfVHlwZXNdLnhtbFBLAQItABQABgAIAAAAIQA4&#10;/SH/1gAAAJQBAAALAAAAAAAAAAAAAAAAAC8BAABfcmVscy8ucmVsc1BLAQItABQABgAIAAAAIQA1&#10;Qr11pAEAADYDAAAOAAAAAAAAAAAAAAAAAC4CAABkcnMvZTJvRG9jLnhtbFBLAQItABQABgAIAAAA&#10;IQBuILN92wAAAAUBAAAPAAAAAAAAAAAAAAAAAP4DAABkcnMvZG93bnJldi54bWxQSwUGAAAAAAQA&#10;BADzAAAABgUAAAAA&#10;">
                <o:lock v:ext="edit" shapetype="f"/>
              </v:line>
            </w:pict>
          </mc:Fallback>
        </mc:AlternateContent>
      </w:r>
    </w:p>
    <w:p w14:paraId="43778668" w14:textId="3F4EF664" w:rsidR="004C177D" w:rsidRPr="00C03FC3" w:rsidRDefault="004C177D" w:rsidP="004C177D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Kotlebovci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Naše Slovensko</w:t>
      </w:r>
      <w:r w:rsidR="00222BC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Marek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="00222BC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Martin Beluský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predkladajú do Národnej rady Slovenskej republiky návrh zákona, ktorým sa mení a dopĺňa zákon č. 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106/2018 Z. z. o prevádzke vozidiel v cestnej premávke a o zmene a doplnení niektorých zákonov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14:paraId="5B6C0CE9" w14:textId="37B55E5E" w:rsidR="004C177D" w:rsidRDefault="004C177D" w:rsidP="004C177D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Cieľom návrhu zákona je predĺženie platnosti lehôt TK kategórie vozidiel L (motocykle a </w:t>
      </w:r>
      <w:proofErr w:type="spellStart"/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štvorkolky</w:t>
      </w:r>
      <w:proofErr w:type="spellEnd"/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) pri prvom prihlásení do evidencie vozidiel zo štyroch rokov na šesť rokov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 potom periodicky v štvorročných lehotách.  Dôvod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predloženia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predmetn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ého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návrh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zákona je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že vozidlá kategórie L sú sezónne vozidlá  a využívajú sa prevažne na relaxačnú jazdu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čiže nie sú vystavené takému opotrebeniu a vplyvom počasia (dážď, sneh, posypová soľ) ako sú vozidlá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ktoré sú využívané celoročne. </w:t>
      </w:r>
      <w:r w:rsidR="00187F0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Lehoty platnosti </w:t>
      </w:r>
      <w:r w:rsidR="00535E5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187F0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TK pre vozidlá kategórie L </w:t>
      </w:r>
      <w:r w:rsid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konkrétne </w:t>
      </w:r>
      <w:r w:rsidR="00680C3D"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neurčuje</w:t>
      </w:r>
      <w:r w:rsidR="00187F08"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ani </w:t>
      </w:r>
      <w:r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smernica EÚ 2014/45EÚ článok 5 odsek 2</w:t>
      </w:r>
      <w:r w:rsidR="00680C3D"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ktorá sa týka</w:t>
      </w:r>
      <w:r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TK pre vozidlá kategórie L.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Členské štáty stanovia vhodné intervaly, v ktorých sa vozidlá kategórie L3e, L4e, L5e a L7e s objemom motora presahujúcim 125 cm</w:t>
      </w:r>
      <w:r w:rsidRPr="00B07B69">
        <w:rPr>
          <w:rFonts w:ascii="Book Antiqua" w:hAnsi="Book Antiqua" w:cs="Arial"/>
          <w:color w:val="000000"/>
          <w:kern w:val="0"/>
          <w:sz w:val="22"/>
          <w:szCs w:val="22"/>
          <w:vertAlign w:val="superscript"/>
          <w:lang w:bidi="ar-SA"/>
        </w:rPr>
        <w:t>3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majú podrobiť kontrole technického stavu. Preto </w:t>
      </w:r>
      <w:r w:rsidR="007067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niektoré 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členské štáty</w:t>
      </w:r>
      <w:r w:rsidR="007067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EÚ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TK na vozidlá kategórie L ani nerobia. Tieto lehoty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ktoré navrhujeme my</w:t>
      </w:r>
      <w:r w:rsidRPr="003D6D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schválila aj susedná Česká republika</w:t>
      </w:r>
      <w:r w:rsidR="00187F08" w:rsidRPr="003D6D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3D6D9E" w:rsidRPr="003D6D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</w:t>
      </w:r>
      <w:r w:rsidR="00535E5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roku</w:t>
      </w:r>
      <w:r w:rsidR="003D6D9E" w:rsidRPr="003D6D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2018</w:t>
      </w:r>
      <w:r w:rsidRPr="003D6D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 w:rsidR="00680C3D" w:rsidRPr="003D6D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</w:t>
      </w:r>
      <w:r w:rsid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základe vyššie uvedeného </w:t>
      </w:r>
      <w:r w:rsidR="00680C3D"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považujeme </w:t>
      </w:r>
      <w:r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súčasné nastavenie platnosti lehôt TK pre vozidlá kategórie L </w:t>
      </w:r>
      <w:r w:rsidR="00680C3D" w:rsidRP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za ne</w:t>
      </w:r>
      <w:r w:rsidR="00680C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opodstatnené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 w:rsidR="007E115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Tento návrh zákona  sa vzťahuje aj na kategóriu O2</w:t>
      </w:r>
      <w:r w:rsidR="00535E5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E115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brzdený príves do 3500KG ktorý je tiež využívaný mnohými motoristami len príležitostne. Aj keď je príves využívaný na podnikanie tak skoro vždy</w:t>
      </w:r>
      <w:r w:rsidR="009F6A2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je príves polovicu danej trasy nevyťažený. </w:t>
      </w:r>
      <w:r w:rsidR="00535E5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Dá sa teda povedať že každý príves za osobné motorové vozidlo prejde ½ z celového počtu najazdených kilometrov prázdny.  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Ďalší cie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ľ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tohto návrhu zákona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je ustanovenie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pravideln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ých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leh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ôt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 TK zákonom a nie vykonávacím predpisom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by lehoty  TK schvaľovala NR SR a nie MV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SR, </w:t>
      </w:r>
      <w:r w:rsidRPr="000220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keďže sa to bytostne dotýka skoro každého občana SR vlastniaceho vozidlo.</w:t>
      </w:r>
    </w:p>
    <w:p w14:paraId="5B382B46" w14:textId="77777777" w:rsidR="004C177D" w:rsidRPr="00C03FC3" w:rsidRDefault="004C177D" w:rsidP="004C177D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0423B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Návrh zákona má pozitívny vplyv na podnikateľské prostredie a sociálne vplyvy. Návrh zákona má a neutrálny vplyv na ostatné posudzované oblasti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14:paraId="672A6659" w14:textId="77777777" w:rsidR="00C03FC3" w:rsidRDefault="00C03FC3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w14:paraId="404AC2F4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6D4E27CF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A1B1A7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692C" id="Rovná spojnica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z3pQEAADYDAAAOAAAAZHJzL2Uyb0RvYy54bWysUs1u2zAMvg/YOwi6L3KNZiuMOD206C7F&#10;FqzrAzCyHGuTREHUbOdx9ix7sUnKz7LtVlQHgn/6yI/k6na2ho0qkEbX8qtFxZlyEjvtdi1//vrw&#10;7oYziuA6MOhUy/eK+O367ZvV5BtV44CmU4ElEEfN5Fs+xOgbIUgOygIt0CuXgj0GCzGZYSe6AFNC&#10;t0bUVfVeTBg6H1AqouS9PwT5uuD3vZLxc9+Tisy0PPUWiwxFbrMU6xU0uwB+0PLYBrygCwvapaJn&#10;qHuIwH4E/R+U1TIgYR8XEq3AvtdSFQ6JzVX1D5unAbwqXNJwyJ/HRK8HKz+Nm8B01/KaMwc2regL&#10;ju7XT0YevzktgdV5SJOnJuXeuU3INOXsnvwjyu+UYuKvYDbIH9LmPticnniyuQx9fx66miOTybn8&#10;cFNdV0vOZIrVy+uyEwHN6a8PFD8qtCwrLTfa5ZFAA+MjxVwdmlNKdjt80MaUtRqXHYRGd9lXjLDb&#10;3pnARsj3UF5mlzAu0pJ1+KrKAR3L/OGVtS12+004kU/LKSDHQ8rbv7STfnnu698AAAD//wMAUEsD&#10;BBQABgAIAAAAIQBuILN92wAAAAUBAAAPAAAAZHJzL2Rvd25yZXYueG1sTI7BTsMwEETvSPyDtUhc&#10;qtamQNSEbCoE5MaFAup1myxJRLxOY7cNfD3mBMfRjN68fD3ZXh159J0ThKuFAcVSubqTBuHttZyv&#10;QPlAUlPvhBG+2MO6OD/LKavdSV74uAmNihDxGSG0IQyZ1r5q2ZJfuIEldh9utBRiHBtdj3SKcNvr&#10;pTGJttRJfGhp4IeWq8/NwSL48p335fesmpntdeN4uX98fiLEy4vp/g5U4Cn8jeFXP6pDEZ127iC1&#10;Vz3C/CYOEW4TULFNTZqC2iEkBnSR6//2xQ8AAAD//wMAUEsBAi0AFAAGAAgAAAAhALaDOJL+AAAA&#10;4QEAABMAAAAAAAAAAAAAAAAAAAAAAFtDb250ZW50X1R5cGVzXS54bWxQSwECLQAUAAYACAAAACEA&#10;OP0h/9YAAACUAQAACwAAAAAAAAAAAAAAAAAvAQAAX3JlbHMvLnJlbHNQSwECLQAUAAYACAAAACEA&#10;xfzc96UBAAA2AwAADgAAAAAAAAAAAAAAAAAuAgAAZHJzL2Uyb0RvYy54bWxQSwECLQAUAAYACAAA&#10;ACEAbiCzfdsAAAAFAQAADwAAAAAAAAAAAAAAAAD/AwAAZHJzL2Rvd25yZXYueG1sUEsFBgAAAAAE&#10;AAQA8wAAAAcFAAAAAA==&#10;">
                <o:lock v:ext="edit" shapetype="f"/>
              </v:line>
            </w:pict>
          </mc:Fallback>
        </mc:AlternateContent>
      </w:r>
    </w:p>
    <w:p w14:paraId="3972CB42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14:paraId="52D9392A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1 </w:t>
      </w:r>
    </w:p>
    <w:p w14:paraId="2F5B3383" w14:textId="5BF18F38" w:rsidR="00202D73" w:rsidRDefault="005A7CF0" w:rsidP="000A6FC3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Upravujú sa lehoty technickej kontroly pravidelnej </w:t>
      </w:r>
      <w:r w:rsidR="000A6FC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pre vybrané kategórie vozidiel</w:t>
      </w: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.</w:t>
      </w:r>
    </w:p>
    <w:p w14:paraId="5D103647" w14:textId="77777777" w:rsidR="000A6FC3" w:rsidRPr="00202D73" w:rsidRDefault="000A6FC3" w:rsidP="000A6FC3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</w:p>
    <w:p w14:paraId="4F14E747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14:paraId="39476AF6" w14:textId="77777777" w:rsidR="00EE5B23" w:rsidRDefault="00EE5B23" w:rsidP="000A6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Legislatívno-technická zmena nadväzujúca na bod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1</w:t>
      </w: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.</w:t>
      </w:r>
    </w:p>
    <w:p w14:paraId="0FE7100A" w14:textId="26351155" w:rsidR="00EE5B23" w:rsidRDefault="00EE5B23" w:rsidP="00EE5B2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3</w:t>
      </w:r>
    </w:p>
    <w:p w14:paraId="5800CC8C" w14:textId="191DBBFB" w:rsidR="00202D73" w:rsidRDefault="00EE5B23" w:rsidP="000A6FC3">
      <w:pPr>
        <w:ind w:firstLine="708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Legislatívno-technická zmena nadväzujúca na bod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2</w:t>
      </w: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.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br/>
      </w:r>
    </w:p>
    <w:p w14:paraId="52B8FF75" w14:textId="77777777" w:rsidR="00766C7B" w:rsidRDefault="00766C7B" w:rsidP="00766C7B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</w:p>
    <w:p w14:paraId="1770F061" w14:textId="1852DA23" w:rsidR="00766C7B" w:rsidRDefault="00766C7B" w:rsidP="00766C7B"/>
    <w:p w14:paraId="5DAB6C7B" w14:textId="77777777" w:rsid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14:paraId="09C087FC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 w:rsidRPr="115D94DF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Čl. II</w:t>
      </w:r>
    </w:p>
    <w:p w14:paraId="70267B4D" w14:textId="56FC3D6B" w:rsidR="00C03FC3" w:rsidRPr="00766C7B" w:rsidRDefault="00C03FC3" w:rsidP="00766C7B">
      <w:pPr>
        <w:pStyle w:val="Default"/>
        <w:ind w:firstLine="720"/>
        <w:jc w:val="both"/>
        <w:rPr>
          <w:rFonts w:ascii="Book Antiqua" w:hAnsi="Book Antiqua"/>
          <w:sz w:val="22"/>
        </w:rPr>
      </w:pPr>
      <w:r w:rsidRPr="115D94DF">
        <w:rPr>
          <w:rFonts w:ascii="Book Antiqua" w:hAnsi="Book Antiqua"/>
          <w:color w:val="000000" w:themeColor="text1"/>
          <w:sz w:val="22"/>
          <w:szCs w:val="22"/>
        </w:rPr>
        <w:t>Navrhuje sa účinnosť zákona</w:t>
      </w:r>
      <w:r w:rsidR="00EE5B23" w:rsidRPr="00E679A9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 w:rsidR="00EE5B23" w:rsidRPr="00E679A9">
        <w:rPr>
          <w:rFonts w:ascii="Book Antiqua" w:hAnsi="Book Antiqua"/>
          <w:sz w:val="22"/>
        </w:rPr>
        <w:t>pätnástym dňom po jeho vyhlásení v Zbierke zákonov</w:t>
      </w:r>
      <w:r w:rsidR="00766C7B">
        <w:rPr>
          <w:rFonts w:ascii="Book Antiqua" w:hAnsi="Book Antiqua"/>
          <w:sz w:val="22"/>
        </w:rPr>
        <w:t>.</w:t>
      </w:r>
    </w:p>
    <w:p w14:paraId="02EB378F" w14:textId="54523AA8" w:rsidR="00D04AD0" w:rsidRDefault="00D04AD0"/>
    <w:sectPr w:rsidR="00D0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94CB" w14:textId="77777777" w:rsidR="002979F0" w:rsidRDefault="002979F0" w:rsidP="00C03FC3">
      <w:r>
        <w:separator/>
      </w:r>
    </w:p>
  </w:endnote>
  <w:endnote w:type="continuationSeparator" w:id="0">
    <w:p w14:paraId="79E99C8B" w14:textId="77777777" w:rsidR="002979F0" w:rsidRDefault="002979F0" w:rsidP="00C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2379" w14:textId="77777777" w:rsidR="002979F0" w:rsidRDefault="002979F0" w:rsidP="00C03FC3">
      <w:r>
        <w:separator/>
      </w:r>
    </w:p>
  </w:footnote>
  <w:footnote w:type="continuationSeparator" w:id="0">
    <w:p w14:paraId="570D6804" w14:textId="77777777" w:rsidR="002979F0" w:rsidRDefault="002979F0" w:rsidP="00C0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E2F"/>
    <w:multiLevelType w:val="multilevel"/>
    <w:tmpl w:val="397A6E38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15110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C3"/>
    <w:rsid w:val="000A6FC3"/>
    <w:rsid w:val="00174846"/>
    <w:rsid w:val="00187F08"/>
    <w:rsid w:val="00202D73"/>
    <w:rsid w:val="00222BC8"/>
    <w:rsid w:val="00242776"/>
    <w:rsid w:val="0029287F"/>
    <w:rsid w:val="002979F0"/>
    <w:rsid w:val="003C5F22"/>
    <w:rsid w:val="003D6D9E"/>
    <w:rsid w:val="00403F29"/>
    <w:rsid w:val="004C177D"/>
    <w:rsid w:val="00535E5C"/>
    <w:rsid w:val="005A661E"/>
    <w:rsid w:val="005A7CF0"/>
    <w:rsid w:val="005D652C"/>
    <w:rsid w:val="00680C3D"/>
    <w:rsid w:val="006A47E1"/>
    <w:rsid w:val="00706753"/>
    <w:rsid w:val="00766C7B"/>
    <w:rsid w:val="0079216E"/>
    <w:rsid w:val="007E1157"/>
    <w:rsid w:val="00842329"/>
    <w:rsid w:val="009F6A28"/>
    <w:rsid w:val="00A20574"/>
    <w:rsid w:val="00A20D3F"/>
    <w:rsid w:val="00C03FC3"/>
    <w:rsid w:val="00C66EB7"/>
    <w:rsid w:val="00CF1DD1"/>
    <w:rsid w:val="00D04AD0"/>
    <w:rsid w:val="00D502F8"/>
    <w:rsid w:val="00EE5B23"/>
    <w:rsid w:val="00FC3FE0"/>
    <w:rsid w:val="00FE273B"/>
    <w:rsid w:val="00FF5AA6"/>
    <w:rsid w:val="1137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FE74"/>
  <w15:docId w15:val="{D99DD1BB-522C-4FB8-BD70-06D7D0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FC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C03FC3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qFormat/>
    <w:rsid w:val="00766C7B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5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53"/>
    <w:rPr>
      <w:rFonts w:ascii="Segoe UI" w:eastAsia="Times New Roma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Lihocka</dc:creator>
  <cp:lastModifiedBy>Simona D</cp:lastModifiedBy>
  <cp:revision>2</cp:revision>
  <cp:lastPrinted>2021-08-31T06:28:00Z</cp:lastPrinted>
  <dcterms:created xsi:type="dcterms:W3CDTF">2023-04-10T21:19:00Z</dcterms:created>
  <dcterms:modified xsi:type="dcterms:W3CDTF">2023-04-10T21:19:00Z</dcterms:modified>
</cp:coreProperties>
</file>