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9E21" w14:textId="77777777" w:rsidR="004F4CC6" w:rsidRPr="004F4CC6" w:rsidRDefault="004F4CC6" w:rsidP="004F4CC6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C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0D9E4FA7" w14:textId="77777777" w:rsidR="004F4CC6" w:rsidRPr="004F4CC6" w:rsidRDefault="004F4CC6" w:rsidP="004F4CC6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C6">
        <w:rPr>
          <w:rFonts w:ascii="Times New Roman" w:hAnsi="Times New Roman" w:cs="Times New Roman"/>
          <w:b/>
          <w:sz w:val="24"/>
          <w:szCs w:val="24"/>
        </w:rPr>
        <w:t xml:space="preserve">návrhu zákona s právom Európskej únie </w:t>
      </w:r>
    </w:p>
    <w:p w14:paraId="0D62704B" w14:textId="77777777" w:rsidR="004F4CC6" w:rsidRPr="004F4CC6" w:rsidRDefault="004F4CC6" w:rsidP="004F4CC6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AB0AF" w14:textId="77777777" w:rsidR="004F4CC6" w:rsidRPr="0076799E" w:rsidRDefault="004F4CC6" w:rsidP="004F4CC6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CC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F4CC6">
        <w:rPr>
          <w:rFonts w:ascii="Times New Roman" w:hAnsi="Times New Roman" w:cs="Times New Roman"/>
          <w:sz w:val="24"/>
          <w:szCs w:val="24"/>
        </w:rPr>
        <w:t xml:space="preserve"> </w:t>
      </w:r>
      <w:r w:rsidRPr="0076799E">
        <w:rPr>
          <w:rFonts w:ascii="Times New Roman" w:hAnsi="Times New Roman" w:cs="Times New Roman"/>
          <w:sz w:val="24"/>
          <w:szCs w:val="24"/>
        </w:rPr>
        <w:t>Poslanec Národnej rady Slovenskej republiky Miloš Svrček.</w:t>
      </w:r>
    </w:p>
    <w:p w14:paraId="41D8EF55" w14:textId="77777777" w:rsidR="004F4CC6" w:rsidRPr="0076799E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26DD7" w14:textId="77777777" w:rsidR="004F4CC6" w:rsidRPr="004F4CC6" w:rsidRDefault="004F4CC6" w:rsidP="004F4CC6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99E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76799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6799E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p</w:t>
      </w:r>
      <w:r w:rsidRPr="0076799E">
        <w:rPr>
          <w:rFonts w:ascii="Times New Roman" w:hAnsi="Times New Roman" w:cs="Times New Roman"/>
          <w:sz w:val="24"/>
          <w:szCs w:val="24"/>
        </w:rPr>
        <w:t>oslanca Národnej rady Slovenskej republiky Miloša Svrčeka</w:t>
      </w:r>
      <w:r w:rsidRPr="004F4CC6">
        <w:rPr>
          <w:rFonts w:ascii="Times New Roman" w:hAnsi="Times New Roman" w:cs="Times New Roman"/>
          <w:sz w:val="24"/>
          <w:szCs w:val="24"/>
        </w:rPr>
        <w:t xml:space="preserve"> na vydanie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zákona,</w:t>
      </w:r>
      <w:r w:rsidRPr="004F4C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338/2000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> 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vnútrozemskej plavbe a o zmene a doplnení niektorých zákonov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sz w:val="24"/>
          <w:szCs w:val="24"/>
        </w:rPr>
        <w:t>a ktorým sa menia a dopĺňajú niektoré zákony</w:t>
      </w:r>
    </w:p>
    <w:p w14:paraId="6D1CA266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Style w:val="Zstupntext"/>
          <w:b/>
          <w:sz w:val="24"/>
          <w:szCs w:val="24"/>
        </w:rPr>
      </w:pPr>
      <w:r w:rsidRPr="004F4CC6">
        <w:rPr>
          <w:rStyle w:val="Zstupntext"/>
          <w:b/>
          <w:color w:val="000000"/>
          <w:sz w:val="24"/>
          <w:szCs w:val="24"/>
        </w:rPr>
        <w:t xml:space="preserve"> </w:t>
      </w:r>
    </w:p>
    <w:p w14:paraId="7E8F2653" w14:textId="77777777" w:rsidR="004F4CC6" w:rsidRPr="004F4CC6" w:rsidRDefault="004F4CC6" w:rsidP="004F4CC6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CC6">
        <w:rPr>
          <w:rFonts w:ascii="Times New Roman" w:hAnsi="Times New Roman" w:cs="Times New Roman"/>
          <w:b/>
          <w:sz w:val="24"/>
          <w:szCs w:val="24"/>
        </w:rPr>
        <w:t xml:space="preserve"> Predmet návrhu zákona je upravený v práve Európskej únie:</w:t>
      </w:r>
    </w:p>
    <w:p w14:paraId="54BE4758" w14:textId="77777777" w:rsidR="004F4CC6" w:rsidRPr="004F4CC6" w:rsidRDefault="004F4CC6" w:rsidP="004F4CC6">
      <w:pPr>
        <w:spacing w:after="0" w:line="240" w:lineRule="auto"/>
        <w:ind w:left="360"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3EB4A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sz w:val="24"/>
          <w:szCs w:val="24"/>
        </w:rPr>
      </w:pPr>
      <w:r w:rsidRPr="004F4CC6">
        <w:rPr>
          <w:rFonts w:ascii="Times New Roman" w:hAnsi="Times New Roman" w:cs="Times New Roman"/>
          <w:sz w:val="24"/>
          <w:szCs w:val="24"/>
        </w:rPr>
        <w:t xml:space="preserve">a) je upravený v primárnom práve Európskej únie v tretej časti Hlave VI čl. 90 až 100 a Hlave XVI Zmluvy o fungovaní Európskej únie, </w:t>
      </w:r>
    </w:p>
    <w:p w14:paraId="51263413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1A88D9A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sz w:val="24"/>
          <w:szCs w:val="24"/>
        </w:rPr>
      </w:pPr>
      <w:r w:rsidRPr="004F4CC6">
        <w:rPr>
          <w:rFonts w:ascii="Times New Roman" w:hAnsi="Times New Roman" w:cs="Times New Roman"/>
          <w:sz w:val="24"/>
          <w:szCs w:val="24"/>
        </w:rPr>
        <w:t>b) je upravený v sekundárnom práve Európske únie v delegovanej smernici Komisie (EÚ) 2022/2407 z 20. septembra 2022, ktorou sa menia prílohy k smernici Európskeho parlamentu a Rady 2008/68/ES, aby sa zohľadnil vedecký a technický pokrok (</w:t>
      </w:r>
      <w:r w:rsidRPr="004F4CC6">
        <w:rPr>
          <w:rFonts w:ascii="Times New Roman" w:hAnsi="Times New Roman" w:cs="Times New Roman"/>
          <w:iCs/>
          <w:sz w:val="24"/>
          <w:szCs w:val="24"/>
        </w:rPr>
        <w:t xml:space="preserve">Ú. v. EÚ L 317, 9. 12. </w:t>
      </w:r>
      <w:r w:rsidRPr="004F4CC6">
        <w:rPr>
          <w:rFonts w:ascii="Times New Roman" w:hAnsi="Times New Roman" w:cs="Times New Roman"/>
          <w:sz w:val="24"/>
          <w:szCs w:val="24"/>
        </w:rPr>
        <w:t>2022) a v smernici Európskeho parlamentu a Rady 2008/68/ES o vnútrozemskej preprave nebezpečného tovaru (Ú. v. EÚ L 260 30.9.2008) v platnom znení, ktorých gestorom je Ministerstvo dopravy SR,</w:t>
      </w:r>
    </w:p>
    <w:p w14:paraId="7A4D1878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0B764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CC6">
        <w:rPr>
          <w:rFonts w:ascii="Times New Roman" w:hAnsi="Times New Roman" w:cs="Times New Roman"/>
          <w:sz w:val="24"/>
          <w:szCs w:val="24"/>
        </w:rPr>
        <w:t xml:space="preserve">c) nie je obsiahnutý </w:t>
      </w:r>
      <w:r w:rsidRPr="004F4CC6">
        <w:rPr>
          <w:rFonts w:ascii="Times New Roman" w:hAnsi="Times New Roman" w:cs="Times New Roman"/>
          <w:color w:val="000000"/>
          <w:sz w:val="24"/>
          <w:szCs w:val="24"/>
        </w:rPr>
        <w:t>v judikatúre Súdneho dvora Európskej únie.</w:t>
      </w:r>
    </w:p>
    <w:p w14:paraId="687864A5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A0EBE" w14:textId="77777777" w:rsidR="004F4CC6" w:rsidRPr="004F4CC6" w:rsidRDefault="004F4CC6" w:rsidP="004F4CC6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C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Záväzky Slovenskej republiky vo vzťahu k Európskej únii:</w:t>
      </w:r>
    </w:p>
    <w:p w14:paraId="15D47215" w14:textId="77777777" w:rsidR="004F4CC6" w:rsidRPr="004F4CC6" w:rsidRDefault="004F4CC6" w:rsidP="004F4CC6">
      <w:pPr>
        <w:pStyle w:val="Odsekzoznamu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2294834" w14:textId="77777777" w:rsidR="004F4CC6" w:rsidRPr="004F4CC6" w:rsidRDefault="004F4CC6" w:rsidP="004F4CC6">
      <w:pPr>
        <w:pStyle w:val="Odsekzoznamu"/>
        <w:numPr>
          <w:ilvl w:val="0"/>
          <w:numId w:val="17"/>
        </w:numPr>
        <w:tabs>
          <w:tab w:val="left" w:pos="993"/>
        </w:tabs>
        <w:spacing w:after="0" w:line="240" w:lineRule="auto"/>
        <w:ind w:left="6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lehota na </w:t>
      </w:r>
      <w:r w:rsidRPr="004F4CC6">
        <w:rPr>
          <w:rFonts w:ascii="Times New Roman" w:hAnsi="Times New Roman" w:cs="Times New Roman"/>
          <w:sz w:val="24"/>
          <w:szCs w:val="24"/>
        </w:rPr>
        <w:t>prebratie delegovanej smernice Komisie (EÚ) 2022/2407 z 20. septembra 2022, ktorou sa menia prílohy k smernici Európskeho parlamentu a Rady 2008/68/ES, aby sa zohľadnil vedecký a technický pokrok (</w:t>
      </w:r>
      <w:r w:rsidRPr="004F4CC6">
        <w:rPr>
          <w:rFonts w:ascii="Times New Roman" w:hAnsi="Times New Roman" w:cs="Times New Roman"/>
          <w:iCs/>
          <w:sz w:val="24"/>
          <w:szCs w:val="24"/>
        </w:rPr>
        <w:t xml:space="preserve">Ú. v. EÚ L 317, 9. 12. </w:t>
      </w:r>
      <w:r w:rsidRPr="004F4CC6">
        <w:rPr>
          <w:rFonts w:ascii="Times New Roman" w:hAnsi="Times New Roman" w:cs="Times New Roman"/>
          <w:sz w:val="24"/>
          <w:szCs w:val="24"/>
        </w:rPr>
        <w:t>2022)</w:t>
      </w:r>
    </w:p>
    <w:p w14:paraId="54C3ABAF" w14:textId="77777777" w:rsidR="004F4CC6" w:rsidRPr="004F4CC6" w:rsidRDefault="004F4CC6" w:rsidP="004F4CC6">
      <w:pPr>
        <w:pStyle w:val="Odsekzoznamu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719E4CA3" w14:textId="77777777" w:rsidR="004F4CC6" w:rsidRPr="004F4CC6" w:rsidRDefault="004F4CC6" w:rsidP="004F4CC6">
      <w:pPr>
        <w:pStyle w:val="Odsekzoznamu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sz w:val="24"/>
          <w:szCs w:val="24"/>
        </w:rPr>
        <w:t>do 30. júna 2023,</w:t>
      </w:r>
    </w:p>
    <w:p w14:paraId="60EEF0EA" w14:textId="77777777" w:rsidR="004F4CC6" w:rsidRPr="004F4CC6" w:rsidRDefault="004F4CC6" w:rsidP="004F4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</w:p>
    <w:p w14:paraId="499D29D5" w14:textId="77777777" w:rsidR="004F4CC6" w:rsidRPr="004F4CC6" w:rsidRDefault="004F4CC6" w:rsidP="004F4CC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b) informácia o začatí konania v rámci „EÚ Pilot“ alebo o začatí postupu Európskej komisie, alebo o konaní Súdneho dvora Európskej únie proti Slovenskej republike podľa čl. 258 a 260 Zmluvy o fungovaní Európskej únie v jej platnom znení </w:t>
      </w:r>
    </w:p>
    <w:p w14:paraId="2D5AAEA4" w14:textId="77777777" w:rsidR="004F4CC6" w:rsidRPr="004F4CC6" w:rsidRDefault="004F4CC6" w:rsidP="004F4CC6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AEA9064" w14:textId="77777777" w:rsidR="004F4CC6" w:rsidRPr="004F4CC6" w:rsidRDefault="004F4CC6" w:rsidP="004F4CC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nebolo začaté žiadne konanie,</w:t>
      </w:r>
    </w:p>
    <w:p w14:paraId="63B1F264" w14:textId="77777777" w:rsidR="004F4CC6" w:rsidRPr="004F4CC6" w:rsidRDefault="004F4CC6" w:rsidP="004F4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CACCAA8" w14:textId="77777777" w:rsidR="004F4CC6" w:rsidRPr="004F4CC6" w:rsidRDefault="004F4CC6" w:rsidP="004F4CC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c) informácia o právnych predpisoch, v ktorých sú uvádzané právne akty Európskej únie už prebrané spolu s uvedením rozsahu ich prebratia, príp. potreby prijatia ďalších úprav</w:t>
      </w:r>
    </w:p>
    <w:p w14:paraId="4BE77130" w14:textId="77777777" w:rsidR="004F4CC6" w:rsidRPr="004F4CC6" w:rsidRDefault="004F4CC6" w:rsidP="004F4CC6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8EE1655" w14:textId="77777777" w:rsidR="004F4CC6" w:rsidRPr="004F4CC6" w:rsidRDefault="004F4CC6" w:rsidP="004F4CC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čl. I bod 3 delegovanej smernice </w:t>
      </w:r>
      <w:r w:rsidRPr="004F4CC6">
        <w:rPr>
          <w:rFonts w:ascii="Times New Roman" w:hAnsi="Times New Roman" w:cs="Times New Roman"/>
          <w:sz w:val="24"/>
          <w:szCs w:val="24"/>
        </w:rPr>
        <w:t xml:space="preserve">Komisie (EÚ) 2022/2407 z 20. septembra 2022, ktorou sa menia prílohy k smernici Európskeho parlamentu a Rady 2008/68/ES, aby sa zohľadnil vedecký a technický pokrok sa preberá návrhom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4F4C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4F4CC6">
        <w:rPr>
          <w:rFonts w:ascii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338/2000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> 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vnútrozemskej plavbe a o zmene a doplnení niektorých zákonov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4F4CC6">
        <w:rPr>
          <w:rFonts w:ascii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4F4CC6">
        <w:rPr>
          <w:rFonts w:ascii="Times New Roman" w:hAnsi="Times New Roman" w:cs="Times New Roman"/>
          <w:sz w:val="24"/>
          <w:szCs w:val="24"/>
        </w:rPr>
        <w:t>a ktorým sa menia a dopĺňajú niektoré zákony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30DB70D4" w14:textId="77777777" w:rsidR="004F4CC6" w:rsidRPr="004F4CC6" w:rsidRDefault="004F4CC6" w:rsidP="004F4CC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čl. I body 1 a 2 budú prebrané vládnym návrhom zákona, ktorým sa mení a dopĺňa zákon č. 56/2012 Z. z. o cestnej doprave v znení neskorších predpisov a čl. IV vládneho návrhu zákona, ktorým sa mení a dopĺňa zákon č. 513/2009 Z. z. o dráhach a o zmene a doplnení </w:t>
      </w: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lastRenderedPageBreak/>
        <w:t>niektorých zákonov v znení neskorších predpisov a ktorým sa menia a dopĺňajú niektoré zákony, ktoré boli predložené do NR SR.</w:t>
      </w:r>
    </w:p>
    <w:p w14:paraId="6D844676" w14:textId="77777777" w:rsidR="004F4CC6" w:rsidRPr="004F4CC6" w:rsidRDefault="004F4CC6" w:rsidP="004F4CC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69007B8" w14:textId="77777777" w:rsidR="004F4CC6" w:rsidRPr="004F4CC6" w:rsidRDefault="004F4CC6" w:rsidP="004F4CC6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F4CC6">
        <w:rPr>
          <w:rFonts w:ascii="Times New Roman" w:hAnsi="Times New Roman" w:cs="Times New Roman"/>
          <w:b/>
          <w:sz w:val="24"/>
          <w:szCs w:val="24"/>
        </w:rPr>
        <w:t>Návrh zákona je zlučiteľný s právom Európskej únie:</w:t>
      </w:r>
      <w:r w:rsidRPr="004F4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4D238" w14:textId="77777777" w:rsidR="004F4CC6" w:rsidRPr="004F4CC6" w:rsidRDefault="004F4CC6" w:rsidP="004F4CC6">
      <w:pPr>
        <w:spacing w:after="0" w:line="240" w:lineRule="auto"/>
        <w:ind w:left="644" w:right="7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F4C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úplne</w:t>
      </w:r>
    </w:p>
    <w:p w14:paraId="3C3FE61C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D73FAFB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B58AEC5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94C6A73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9D315AC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E0C4894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DA53D1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DA756C0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71554FD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02CE3F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3FADFEA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4263EE1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2103514" w14:textId="155666EA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EB6E046" w14:textId="38C698EC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5E5781E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B8FC7B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ECBA24B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96EA264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4522E02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3A50862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7BBB90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4DFDB40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41EC7A7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F726E5E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86E9CFF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74DC856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6BE81F6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148F6F1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0FCC3DD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A910C5C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F6C4B3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6527F16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F0C2A5E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84BE2E6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1DEC2A4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0153047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3C437BB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59C660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E5F6079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08AFD20" w14:textId="77777777" w:rsidR="004F4CC6" w:rsidRDefault="004F4CC6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A8F1517" w14:textId="1F1DA4CC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</w:t>
      </w:r>
      <w:r w:rsidR="004F0B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6E28EE17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28AFA9F9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342E74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2283FEB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6186FC0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234D1B4A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CD4E51E" w14:textId="77777777" w:rsidR="001B23B7" w:rsidRDefault="00D2092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="00D300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ktorým sa mení a dopĺňa zákon č. 338/2000 Z. z. </w:t>
            </w:r>
            <w:r w:rsidR="00D30095" w:rsidRPr="00D300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vnútrozemskej plavbe a o zmene a doplnení niektorých zákonov</w:t>
            </w:r>
            <w:r w:rsidR="00D300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ktorým sa menia a dopĺňajú niektoré zákony</w:t>
            </w:r>
          </w:p>
          <w:p w14:paraId="13C26298" w14:textId="4B8BCA18" w:rsidR="00F81228" w:rsidRPr="00B043B4" w:rsidRDefault="00F8122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8A39D0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01CB6F4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4D0DD58F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B44EC" w14:textId="11C2D05E" w:rsidR="001B23B7" w:rsidRPr="0076799E" w:rsidRDefault="00794979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679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Poslanec Národnej rady Slovenskej republiky Miloš Svrček</w:t>
            </w:r>
          </w:p>
          <w:p w14:paraId="5C1FDA7D" w14:textId="77777777" w:rsidR="001B23B7" w:rsidRPr="0076799E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DBF696E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26C6BB39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1093F3E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F69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36629E10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33C566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CCADAFF" w14:textId="77777777" w:rsidR="001B23B7" w:rsidRPr="00B043B4" w:rsidRDefault="00BB30E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D4049F8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766B8F3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056A60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72C28B2" w14:textId="15073FC6" w:rsidR="001B23B7" w:rsidRPr="00B043B4" w:rsidRDefault="000326CE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421F97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7E75712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7632116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31BEAA9E" w14:textId="77777777" w:rsidR="000326CE" w:rsidRDefault="000326C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C8BC385" w14:textId="77777777" w:rsidR="001B23B7" w:rsidRDefault="000326CE" w:rsidP="000326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26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Delegovaná smernica Komisie (EÚ) 2022/2407</w:t>
            </w:r>
            <w:r w:rsidRPr="00032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Pr="000326CE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(Ú. v. EÚ L 317, 9. 12. 2022).</w:t>
            </w:r>
          </w:p>
          <w:p w14:paraId="50F913B2" w14:textId="70A0312F" w:rsidR="00F81228" w:rsidRPr="000326CE" w:rsidRDefault="00F81228" w:rsidP="000326C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AF660FF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A839932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8E1" w14:textId="2D00312A" w:rsidR="001B23B7" w:rsidRPr="00B043B4" w:rsidRDefault="00B759BE" w:rsidP="005F54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9. – 20. 3. 2023</w:t>
            </w:r>
          </w:p>
        </w:tc>
      </w:tr>
      <w:tr w:rsidR="001B23B7" w:rsidRPr="00B043B4" w14:paraId="373438BA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8F41EDB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A17" w14:textId="0907261C" w:rsidR="001B23B7" w:rsidRPr="00B043B4" w:rsidRDefault="00B759B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22. – 30. 3. 2023</w:t>
            </w:r>
          </w:p>
        </w:tc>
      </w:tr>
      <w:tr w:rsidR="001B23B7" w:rsidRPr="00B043B4" w14:paraId="653CA3C6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70FF46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A1D" w14:textId="325458CE" w:rsidR="001B23B7" w:rsidRPr="00B043B4" w:rsidRDefault="00B759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1B23B7" w:rsidRPr="00B043B4" w14:paraId="1184EFDB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263C994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D20" w14:textId="584418C2" w:rsidR="001B23B7" w:rsidRPr="00B043B4" w:rsidRDefault="00B759B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1B23B7" w:rsidRPr="00B043B4" w14:paraId="75448AA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F2661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625E1F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87146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753B5E5D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4B4EF" w14:textId="2392345C" w:rsidR="00536E23" w:rsidRDefault="00536E23" w:rsidP="00536E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Súčasný právny stav nedostatočným spôsobom reflektuje potrebu efektívneho a súčasne hospodárneho riešenia vybraných problémov týkajúcich sa neuhrádzania pohľadávok, poplatkov </w:t>
            </w:r>
            <w:r w:rsidR="00854F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užívanie </w:t>
            </w:r>
            <w:r w:rsidR="00854F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verejných </w:t>
            </w: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prístavov bez uzatvorenej zmluvy s prevádzkovateľom prístavu ako aj potrebu riešenia situácie</w:t>
            </w:r>
            <w:r w:rsidR="00854F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kedy sú  na území </w:t>
            </w:r>
            <w:r w:rsidR="00854F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verejných </w:t>
            </w: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prístavov prevádzkované plavidlá bez platného lodného osvedčenia. </w:t>
            </w:r>
            <w:r w:rsidRPr="00D45E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Jedným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hlavných nedostatkov je absencia úpravy, ktorá by </w:t>
            </w:r>
            <w:r w:rsidR="00F755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stanovovala, že užívanie verejného prístavu bez uzatvorenej zmluvy s prevádzkovateľom verejného prístavu sa považuje za neoprávnené, zároveň neexistujú oprávnenia prevádzkovateľa voči takémuto neoprávnenému užívateľovi zakročiť na účely zabezpečenia efektívnej nápravy protiprávneho stavu. Register plavidiel nie je v zmysle súčasnej právnej úpravy považovaný na účely súdneho konania alebo exekučného konania za úradný register, pričom táto situácia sťažuje proces dokazovania v týchto konaniach.</w:t>
            </w: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A980921" w14:textId="77777777" w:rsidR="001B23B7" w:rsidRDefault="00536E23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E38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Súčasný právny stav zároveň nedostatočným spôsobom reflektuje potrebnú výšku sankcií za nedodržiavanie povinností ustanovených zákonom zo strany prevádzkovateľov plavidiel. V rámci aplikačnej praxe dochádza k opakovanému naplneniu skutkových podstát týkajúcich sa povinností prevádzkovateľov pravidiel, čo je spôsobené roky nezmenenou výškou sankcií, ktoré tak majú pre prevádzkovateľa marginálny charakter. Porušovaním zákona dochádza k opakovanému ohrozeniu bezpečnosti a života osôb na palube plavidla, dôsledkom čoho vznikla potreba reflektovať na opakované porušenia prostredníctvom sankcií, a to takým spôsobom, aby bol zabezpečený ich represívny charakter.</w:t>
            </w:r>
          </w:p>
          <w:p w14:paraId="002EBD2A" w14:textId="77777777" w:rsidR="000326CE" w:rsidRDefault="000326CE" w:rsidP="000326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je potrebné prebratie d</w:t>
            </w:r>
            <w:r w:rsidRPr="000326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elegovan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ej smernice</w:t>
            </w:r>
            <w:r w:rsidRPr="000326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Komisie (EÚ) 2022/2407</w:t>
            </w:r>
            <w:r w:rsidRPr="00032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Pr="000326CE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(Ú. v. EÚ L 317, 9. 12. 2022)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do 30.06.2023</w:t>
            </w:r>
            <w:r w:rsidRPr="000326CE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  <w:p w14:paraId="25DB9DA4" w14:textId="212AC0AF" w:rsidR="00F81228" w:rsidRPr="00B043B4" w:rsidRDefault="00F81228" w:rsidP="000326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727BBF0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A0021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448EA0B9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DC37" w14:textId="6B40B3E7" w:rsidR="00E27F49" w:rsidRDefault="00E27F49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Hlk11994066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navrhovanej právnej úpravy je precizovanie platnej právnej úpravy na úseku vnútrozemskej plavby s prihliadnutím na poznatky, ktoré vyplynuli z aplikačnej praxe. 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ákladn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ým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cie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ľom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navrhovanej právnej úpravy je eliminovať protiprávne konanie zvýšením zákonom </w:t>
            </w:r>
            <w:r w:rsidR="00F755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stanovených sadzieb pokút a zavedením nových skutkových podstát priestupkov a iných správnych deliktov</w:t>
            </w:r>
            <w:r w:rsidR="00854F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čím dôjde k zvýšeniu preventívneho a represívneho účinku sankcií a zároveň aj k vyššej efektivite sankčného mechanizmu. Navrhovaná právna úprava ďalej predlžuje dobu platnosti niektorýc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 lodných listín a dokumentov a 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mení aj právnu úpravu týkajúcu sa povoľovacieho procesu pre požičovne plavidiel a pre verejné podujatia uskutočňované na vodnej ceste. </w:t>
            </w:r>
          </w:p>
          <w:p w14:paraId="4882C944" w14:textId="489D1607" w:rsidR="00E27F49" w:rsidRPr="00E27F49" w:rsidRDefault="00E27F49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Navrhovaná právna úprava zavádza proces zrýchleného konania pri zápisoch plavidiel do registra plavidiel. </w:t>
            </w:r>
          </w:p>
          <w:p w14:paraId="4A76727D" w14:textId="595E8E4F" w:rsidR="00E27F49" w:rsidRPr="00E27F49" w:rsidRDefault="00E27F49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týchto zmien v platnej legislatíve je jednak zníženie administratívneho zaťaženia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tak zo strany žiadateľov, ako aj zo strany správneho orgánu a taktiež výrazné zrýchlenie určitých typov konaní.</w:t>
            </w:r>
          </w:p>
          <w:p w14:paraId="74E64161" w14:textId="576DAB10" w:rsidR="00BC10C5" w:rsidRDefault="00E27F49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Prostredníctvom navrhovanej právnej úpravy zároveň vzniká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 prevádzkovateľovi plávajúceho zariadenia používajúceho verejný prístav povinnosť vypratať plávajúce zariadenie z verejného prístavu, pričom v prípade, ak si túto povinnosť nesplní, bude 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zo zákona 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oprávnený tak urobiť 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prevádzkovateľ verejného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prístav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 na náklady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prevádz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kovateľa plávajúceho zariadenia. Zároveň 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prevádzkovateľovi 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verejné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prístavu vznikne zádržné právo k plavidlu nachádzajúce sa vo verejnom prístave v prípade, ak 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prevádzkovateľ verejného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prístav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bude mať voči prevádzkovateľovi plavidla pohľadávku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ac ako 90 dní po jej splatnosti.</w:t>
            </w:r>
          </w:p>
          <w:p w14:paraId="7060B92D" w14:textId="77777777" w:rsidR="00E27F49" w:rsidRDefault="00E27F49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tratou technickej spôsobilosti plavidla bude 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prevádzkovateľ verejného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prístav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oprávnený toto plavidlo zlikvidovať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ak prevádzkovateľ plavidla nebude rešpektovať výzvu</w:t>
            </w:r>
            <w:r w:rsidR="00BC10C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prevádzkovateľ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verejného prístavu na odstránenie plavidla z verejného prístavu</w:t>
            </w:r>
            <w:r w:rsidR="000A1D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bookmarkEnd w:id="0"/>
          </w:p>
          <w:p w14:paraId="49ACEAB5" w14:textId="77777777" w:rsidR="000326CE" w:rsidRPr="000326CE" w:rsidRDefault="000326CE" w:rsidP="00854F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A2FDE17" w14:textId="77777777" w:rsidR="000326CE" w:rsidRDefault="000326CE" w:rsidP="000326CE">
            <w:pPr>
              <w:jc w:val="both"/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Čo sa transpozície delegovanej smernice </w:t>
            </w:r>
            <w:r w:rsidRPr="000326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(EÚ) 2022/2407</w:t>
            </w:r>
            <w:r w:rsidRPr="00032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týka, menená s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mernica Európskeho parlamentu a Rady 2008/68/ES z 24. septembra 2008 o vnútrozemskej preprave nebezpečného tovaru sa odkazuje v </w:t>
            </w:r>
            <w:r w:rsidR="00561F88"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oddiel</w:t>
            </w:r>
            <w:r w:rsidR="00561F88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III.1 prílohy III na ustanovenia medzinárodn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doh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ody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vnútrozemskej preprave nebezpečného tovaru po vnútrozemských vodných cestách (ADN), ktor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 aktualizuj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každé dva roky. V dôsledku toho sa posledn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zmenen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verzi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ejto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doh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ody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začal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uplatňovať od 1. januára 202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prechodným obdobím do 30. júna 202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. Zmenené a doplnené prílohy k t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ejto dohode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budú uverejnené prostredníctvom oznámenia Ministerstva zahraničných vecí a európskych záležitostí SR v Zbierke zákonov Slovenskej republiky 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najneskôr </w:t>
            </w:r>
            <w:r w:rsidRPr="000326CE"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>do 30. júna</w:t>
            </w:r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a už od januára 2023 sú uverejnené na webovom sídle MD SR: </w:t>
            </w:r>
            <w:hyperlink r:id="rId9" w:history="1">
              <w:r w:rsidRPr="00104A00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https://www.mindop.sk/ministerstvo-1/doprava-3/ministerstvo-doprava-3-preprava-nebezpecneho-tovaru/po-vnutrozemskych-vodnych-cestach/europska-dohoda-o-medzinarodnej-preprave-nebezpecneho-tovaru-po-vnutrozemskych-vodnych-cestach-adn/znenie-dohody-adn-s-ucinnostou-od-1-1-2023-71492</w:t>
              </w:r>
            </w:hyperlink>
            <w:r>
              <w:rPr>
                <w:rStyle w:val="awspa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5FEA8F77" w14:textId="41B57AAC" w:rsidR="00F81228" w:rsidRPr="00B043B4" w:rsidRDefault="00F81228" w:rsidP="00032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7BF3A4F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EB8A08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043B4" w14:paraId="01E0CD2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649C" w14:textId="77777777" w:rsidR="00D06D5C" w:rsidRDefault="00E27F49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prevádzkovateľ verejných prístavov, Dopravný úrad, štátne orgány ochrany prírody a krajiny,</w:t>
            </w:r>
            <w:r w:rsidRPr="00BB30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BB30E5" w:rsidRPr="00BB30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žívatelia verejných prístavov</w:t>
            </w:r>
            <w:r w:rsidR="00BB30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BB30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revádzkovatelia </w:t>
            </w:r>
            <w:r w:rsidR="00333C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plavidiel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prevádzkovatelia požičovní plavidiel bez vlastného strojného pohonu, usporiadatelia podujatí na vode</w:t>
            </w:r>
          </w:p>
          <w:p w14:paraId="23EAD3B9" w14:textId="77777777" w:rsidR="00F81228" w:rsidRDefault="00F81228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77E4318" w14:textId="73552149" w:rsidR="00F81228" w:rsidRPr="007120B1" w:rsidRDefault="00F81228" w:rsidP="008D5C3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1E063BE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2B3E6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3CEC3F74" w14:textId="77777777" w:rsidTr="00DA30BD">
        <w:trPr>
          <w:trHeight w:val="103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E86A" w14:textId="32276523" w:rsidR="001B23B7" w:rsidRDefault="00E27F49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Vzhľadom na aplikačnú prax a súčasný stav na úseku vnútrozemskej plavby nie je možné identifikovať iné – alternatívne riešenia k stanovenému cieľu. Návrh zákona zjednodušuje a odbremeňuje prevádzkovateľov plavidiel </w:t>
            </w:r>
            <w:r w:rsidR="008D5C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tam kde je to možné </w:t>
            </w:r>
            <w:r w:rsidRP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 ich činnosti a na druhej strane adekvátnym spôsobom – preventívne zapôsobí na dodržiavanie právnych predpisov na úseku vnútrozemskej plavby.</w:t>
            </w:r>
          </w:p>
          <w:p w14:paraId="73E44C97" w14:textId="77777777" w:rsidR="00FB109B" w:rsidRDefault="00FB109B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– neprijatím navrhovanej právnej úpravy sa budú hromadiť vo verejných prístavoch neprevádzkované plavidlá (vraky), ktoré už v súčasnosti majú negatívny vplyv na životné prostredie (hlavne na stav vôd), budú zaberať stále viac a viac aktívnych polôh na prevádzkovanie prístavu a budú mať negatívny vplyv na bezpečnú prevádzku v prístavoch.</w:t>
            </w:r>
          </w:p>
          <w:p w14:paraId="2B8545C0" w14:textId="77777777" w:rsidR="008D5C3F" w:rsidRDefault="008D5C3F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C5FAC42" w14:textId="459C21C9" w:rsidR="008D5C3F" w:rsidRDefault="008D5C3F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Nulové riešenie nie je prípustné pri prebratí delegovanej smernice (EU) 2022/2407 – záväzky SR voči EÚ je potrebné plniť.</w:t>
            </w:r>
          </w:p>
          <w:p w14:paraId="32D1AC65" w14:textId="77777777" w:rsidR="008D5C3F" w:rsidRDefault="008D5C3F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620ED3A" w14:textId="77777777" w:rsidR="00FB109B" w:rsidRDefault="00FB109B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Navrhovaným riešením k dosiahnutiu cieľov uvedených v bode 3 doložky je predložený návrh zákona. </w:t>
            </w:r>
          </w:p>
          <w:p w14:paraId="70350420" w14:textId="778FE3BE" w:rsidR="00F81228" w:rsidRPr="00E27F49" w:rsidRDefault="00F81228" w:rsidP="008D5C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3243DC9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4B1A7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554A48FD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35D8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4D72257" w14:textId="77777777" w:rsidR="001B23B7" w:rsidRPr="00B043B4" w:rsidRDefault="000E253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4D1C7B" w14:textId="77777777" w:rsidR="001B23B7" w:rsidRPr="00B043B4" w:rsidRDefault="000E253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15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01EA2C6A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F57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D7CA59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9DA646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FB690B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34E01A5F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0874B0C" w14:textId="7F1771B9" w:rsidR="001B23B7" w:rsidRDefault="004D52E3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</w:t>
            </w:r>
            <w:r w:rsidR="008D5C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preberá delegovanú smernicu </w:t>
            </w:r>
            <w:r w:rsidR="008D5C3F" w:rsidRPr="000326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Komisie (EÚ) 2022/2407</w:t>
            </w:r>
            <w:r w:rsidR="008D5C3F" w:rsidRPr="00032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 20. septembra 2022, ktorou sa menia prílohy k smernici Európskeho parlamentu a Rady 2008/68/ES, aby sa zohľadnil vedecký a technický pokrok</w:t>
            </w:r>
            <w:r w:rsidR="008D5C3F" w:rsidRPr="000326CE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(Ú. v. EÚ L 317, 9. 12. 2022)</w:t>
            </w:r>
            <w:r w:rsidR="008D5C3F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  <w:p w14:paraId="7A4B4697" w14:textId="0D9AA3B7" w:rsidR="00FB109B" w:rsidRPr="00B043B4" w:rsidRDefault="00FB109B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579DA7E2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FB109B" w:rsidRPr="002F6ADB" w14:paraId="22A71AF1" w14:textId="77777777" w:rsidTr="00AE5EB7">
              <w:trPr>
                <w:trHeight w:val="90"/>
              </w:trPr>
              <w:tc>
                <w:tcPr>
                  <w:tcW w:w="8643" w:type="dxa"/>
                </w:tcPr>
                <w:p w14:paraId="0D196793" w14:textId="77777777" w:rsidR="00FB109B" w:rsidRPr="002F6ADB" w:rsidRDefault="00FB109B" w:rsidP="00FB109B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FB109B" w:rsidRPr="002F6ADB" w14:paraId="27EFCE63" w14:textId="77777777" w:rsidTr="00AE5EB7">
              <w:trPr>
                <w:trHeight w:val="296"/>
              </w:trPr>
              <w:tc>
                <w:tcPr>
                  <w:tcW w:w="8643" w:type="dxa"/>
                </w:tcPr>
                <w:p w14:paraId="7FC14D4A" w14:textId="6B31D4AD" w:rsidR="00FB109B" w:rsidRPr="002F6ADB" w:rsidRDefault="00FB109B" w:rsidP="00FB109B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5BF0380" w14:textId="77777777" w:rsidR="00FB109B" w:rsidRPr="002F6ADB" w:rsidRDefault="00FB109B" w:rsidP="00FB109B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BF60376" w14:textId="77777777" w:rsidR="00FB109B" w:rsidRPr="002F6ADB" w:rsidRDefault="00FB109B" w:rsidP="00FB109B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</w:tbl>
          <w:p w14:paraId="146090BF" w14:textId="77777777" w:rsidR="001B23B7" w:rsidRPr="00B043B4" w:rsidRDefault="001B23B7" w:rsidP="00FB1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32274C1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3E614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52C58DD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0F81" w14:textId="728290C3" w:rsidR="008D5C3F" w:rsidRPr="00B043B4" w:rsidRDefault="00F93B34" w:rsidP="009D459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</w:t>
            </w:r>
            <w:r w:rsidR="007120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návrhu zákona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D45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môže byť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vykonávané priebežne </w:t>
            </w:r>
            <w:r w:rsidR="009D45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(najneskôr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</w:t>
            </w:r>
            <w:r w:rsidR="009D45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piatich rokoch a v tomto intervale)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pričom sa budú zohľadňovať praktické skúsenosti jeho adresátov</w:t>
            </w:r>
            <w:r w:rsidR="009D45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potreba precizovania existujúcej právnej úpravy a 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1B23B7" w:rsidRPr="00B043B4" w14:paraId="1BD2FC8D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DF8A5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B65E018" w14:textId="77777777" w:rsidR="00FB109B" w:rsidRPr="002F6ADB" w:rsidRDefault="00FB109B" w:rsidP="00FB109B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E52C214" w14:textId="77777777" w:rsidR="00FB109B" w:rsidRPr="002F6ADB" w:rsidRDefault="00FB109B" w:rsidP="00FB10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37EC3D14" w14:textId="77777777" w:rsidR="00FB109B" w:rsidRPr="002F6ADB" w:rsidRDefault="00FB109B" w:rsidP="00FB10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B8F9670" w14:textId="77777777"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8B29E4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1FD67F96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82F763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14:paraId="7DE856CD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E9570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CBCE14A" w14:textId="10405060" w:rsidR="001B23B7" w:rsidRPr="00B043B4" w:rsidRDefault="00E27F49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1BB8B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8B07E0" w14:textId="7831ADD1" w:rsidR="001B23B7" w:rsidRPr="00B043B4" w:rsidRDefault="00DA30BD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7B9CE5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E2E3275" w14:textId="77777777"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526B3A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4E728A5C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56E24B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1343FC6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4C7F5151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B5F67B8" w14:textId="77777777"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1AD43D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4CEC31" w14:textId="5782DA44" w:rsidR="001B23B7" w:rsidRPr="00B043B4" w:rsidRDefault="00CF77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0E114F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BAC0C3" w14:textId="77777777"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81FA78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3B394F8C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32D12D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78F7874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0CAA1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E63E26" w14:textId="77777777" w:rsidR="003145AE" w:rsidRPr="00B043B4" w:rsidRDefault="002049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EB1311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2475627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C1146C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17429AA5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0AD7F4F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3AF9BE2F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A01EBAA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BAA36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11AE382" w14:textId="686D9692" w:rsidR="003145AE" w:rsidRPr="00B043B4" w:rsidRDefault="00CF77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96C43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F1A76E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B0E4B4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B109B" w:rsidRPr="00B043B4" w14:paraId="60BC58E1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5BDFC696" w14:textId="2EA76658" w:rsidR="00FB109B" w:rsidRDefault="00FB109B" w:rsidP="00FB109B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2D24568" w14:textId="670E1017" w:rsidR="00FB109B" w:rsidRDefault="00FB109B" w:rsidP="00FB109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BD6340" w14:textId="218C1F32" w:rsidR="00FB109B" w:rsidRPr="00B043B4" w:rsidRDefault="00FB109B" w:rsidP="00FB1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955821" w14:textId="77777777" w:rsidR="00FB109B" w:rsidRDefault="00FB109B" w:rsidP="00FB1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62C793" w14:textId="77777777" w:rsidR="00FB109B" w:rsidRPr="00B043B4" w:rsidRDefault="00FB109B" w:rsidP="00FB1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8F2739" w14:textId="7B7D336E" w:rsidR="00FB109B" w:rsidRDefault="009D4599" w:rsidP="00FB109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E080DD" w14:textId="5BF625C2" w:rsidR="00FB109B" w:rsidRPr="00B043B4" w:rsidRDefault="00FB109B" w:rsidP="00FB109B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60022D66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3369D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C6FEB91" w14:textId="713A93AD" w:rsidR="003145AE" w:rsidRPr="00B043B4" w:rsidRDefault="0022343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ACF5C3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5D1CBF" w14:textId="0EAF2D76" w:rsidR="003145AE" w:rsidRPr="00B043B4" w:rsidRDefault="0022343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249C3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C8A8343" w14:textId="40EC1B72" w:rsidR="003145AE" w:rsidRPr="00B043B4" w:rsidRDefault="005B70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A7689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2061EA09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E9494C5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351C26EE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40E3861" w14:textId="0FD91588" w:rsidR="003145AE" w:rsidRPr="00B043B4" w:rsidRDefault="00E27F49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959265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1DE62A" w14:textId="7DF3408E" w:rsidR="003145AE" w:rsidRPr="00B043B4" w:rsidRDefault="00036C60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1398F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DF7062" w14:textId="5317286D" w:rsidR="003145AE" w:rsidRPr="00B043B4" w:rsidRDefault="005B70EA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E752D8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42BBBADD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75C0C45" w14:textId="77777777"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514FAB5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6C7D72" w14:textId="521C680A" w:rsidR="003145AE" w:rsidRPr="00B043B4" w:rsidRDefault="00E27F4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566A3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F6E87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01FDC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A32D8F" w14:textId="4B0AADB7" w:rsidR="003145AE" w:rsidRPr="00B043B4" w:rsidRDefault="00E27F4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C3B4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7CD48F91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6FC8E7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1F277CD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A9DA9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AF19FC" w14:textId="77777777" w:rsidR="003145AE" w:rsidRPr="00B043B4" w:rsidRDefault="002049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4BE3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3827D3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A0E54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218AEC7A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94B2D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9D19F3" w14:textId="52A055F5" w:rsidR="003145AE" w:rsidRPr="00B043B4" w:rsidRDefault="00D0391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95C30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528BBC" w14:textId="03E13E3C" w:rsidR="003145AE" w:rsidRPr="00B043B4" w:rsidRDefault="00D0391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76D2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B38AC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F8F58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019DBAAF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9EBF10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A14B23D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69770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EC9641" w14:textId="77777777" w:rsidR="003145AE" w:rsidRPr="00B043B4" w:rsidRDefault="002049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D0B0A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AD46CA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18A27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4B3A1478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0F8E1D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BAD67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C8169C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1813B8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96AC2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418A6A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67DA9A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4D7FCE5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302739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85D7133" w14:textId="56213D6C" w:rsidR="000F2BE9" w:rsidRPr="00B043B4" w:rsidRDefault="00E27F4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CC93E8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A531814" w14:textId="18D2CBC9" w:rsidR="000F2BE9" w:rsidRPr="00B043B4" w:rsidRDefault="0043765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CF8737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4831B8D" w14:textId="2BE9E164" w:rsidR="000F2BE9" w:rsidRPr="00B043B4" w:rsidRDefault="000953A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C4D081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70B52F5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1C9609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2B49F5A" w14:textId="0B7BF0B4" w:rsidR="000F2BE9" w:rsidRPr="00B043B4" w:rsidRDefault="00E27F4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520F7E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293FC5" w14:textId="18D0DDC0" w:rsidR="000F2BE9" w:rsidRPr="00B043B4" w:rsidRDefault="00E27F4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805117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7B3C81C" w14:textId="30646B0C" w:rsidR="000F2BE9" w:rsidRPr="00B043B4" w:rsidRDefault="000953A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B1A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0E39E9A1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1E741ED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D90906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C029F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3D66A1" w14:textId="77777777" w:rsidR="00A340BB" w:rsidRPr="00B043B4" w:rsidRDefault="00DA126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6F24C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DA3635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7EF9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EC490CA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5A266B0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F3844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0991F8B2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EE530E8" w14:textId="77777777" w:rsidR="001B23B7" w:rsidRPr="00B043B4" w:rsidRDefault="001B23B7" w:rsidP="0005398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1F65397C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FE71EC" w14:textId="16E29276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07EFB37A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2038" w14:textId="31B0D9F2" w:rsidR="00A40A81" w:rsidRPr="007F63C1" w:rsidRDefault="00A40A81" w:rsidP="007949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F7BED1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1C50C7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03C6E219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B6F1" w14:textId="4E5C9160" w:rsidR="00053981" w:rsidRPr="00C5061F" w:rsidRDefault="007120B1" w:rsidP="000539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 podnety z </w:t>
            </w:r>
            <w:r w:rsidR="00053981" w:rsidRPr="00C506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praxe a z verejných prístavov</w:t>
            </w:r>
            <w:r w:rsidR="00E27F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podnety Dopravného úradu</w:t>
            </w:r>
            <w:r w:rsidR="004244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štatistika Dopravného úradu</w:t>
            </w:r>
          </w:p>
          <w:p w14:paraId="78E26C22" w14:textId="5B6DFDB7" w:rsidR="00E27F49" w:rsidRDefault="00053981" w:rsidP="000539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506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konzultácie so spolo</w:t>
            </w:r>
            <w:r w:rsidR="00D06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čnosťou Verejné prístavy, a. s., ktorá podlieha výkonu akcionárskych práv zo strany </w:t>
            </w:r>
            <w:r w:rsidRPr="00C506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Ministerstva dopravy Slovenskej republiky</w:t>
            </w:r>
          </w:p>
          <w:p w14:paraId="1CD831D9" w14:textId="3224BC1B" w:rsidR="001B23B7" w:rsidRDefault="00E27F49" w:rsidP="007120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943D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konzultácie s Dopravným úradom</w:t>
            </w:r>
          </w:p>
          <w:p w14:paraId="3A2A6A28" w14:textId="3F0F7048" w:rsidR="008F16F3" w:rsidRPr="007120B1" w:rsidRDefault="008F16F3" w:rsidP="007120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konzultácie so spoločnosťou Slovenská plavba a prístavy a.s.</w:t>
            </w:r>
          </w:p>
          <w:p w14:paraId="2CFD12C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0A7FDB9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DC7F38" w14:textId="635737CA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DB435E">
              <w:rPr>
                <w:rFonts w:ascii="Times New Roman" w:eastAsia="Calibri" w:hAnsi="Times New Roman" w:cs="Times New Roman"/>
                <w:b/>
              </w:rPr>
              <w:t>041/2023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490972A4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335FC69F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EE4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640199D2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57AD8C3" w14:textId="77777777" w:rsidR="001B23B7" w:rsidRPr="00B043B4" w:rsidRDefault="000E253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4DA940C" w14:textId="77777777" w:rsidR="001B23B7" w:rsidRPr="00B043B4" w:rsidRDefault="000E253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06E56B8" w14:textId="73F8E848" w:rsidR="001B23B7" w:rsidRPr="00B043B4" w:rsidRDefault="000E253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35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C770A59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DD4B1E0" w14:textId="07BDD6A6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00D1BC7" w14:textId="77777777" w:rsidR="00DB435E" w:rsidRPr="00DB435E" w:rsidRDefault="00DB435E" w:rsidP="00DB435E">
            <w:pPr>
              <w:jc w:val="both"/>
              <w:rPr>
                <w:sz w:val="20"/>
                <w:szCs w:val="20"/>
              </w:rPr>
            </w:pPr>
            <w:r w:rsidRPr="00DB435E">
              <w:rPr>
                <w:rFonts w:ascii="Arial" w:hAnsi="Arial" w:cs="Arial"/>
                <w:b/>
                <w:bCs/>
                <w:sz w:val="20"/>
                <w:szCs w:val="20"/>
              </w:rPr>
              <w:t>II. P</w:t>
            </w:r>
            <w:r w:rsidRPr="00DB435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B435E">
              <w:rPr>
                <w:rFonts w:ascii="Arial" w:hAnsi="Arial" w:cs="Arial"/>
                <w:b/>
                <w:bCs/>
                <w:sz w:val="20"/>
                <w:szCs w:val="20"/>
              </w:rPr>
              <w:t>ipomienky a návrhy zm</w:t>
            </w:r>
            <w:r w:rsidRPr="00DB435E"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Pr="00DB4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n: </w:t>
            </w:r>
            <w:r w:rsidRPr="00DB435E">
              <w:rPr>
                <w:rFonts w:ascii="Arial" w:hAnsi="Arial" w:cs="Arial"/>
                <w:bCs/>
                <w:sz w:val="20"/>
                <w:szCs w:val="20"/>
              </w:rPr>
              <w:t>Komisia uplatňuje k materiálu nasledovné pripomienky a odporúčania:</w:t>
            </w:r>
          </w:p>
          <w:p w14:paraId="11EF62A2" w14:textId="77777777" w:rsidR="00DB435E" w:rsidRPr="00DB435E" w:rsidRDefault="00DB435E" w:rsidP="00DB435E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A7A351" w14:textId="77777777" w:rsidR="00DB435E" w:rsidRPr="00DB435E" w:rsidRDefault="00DB435E" w:rsidP="00DB435E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35E">
              <w:rPr>
                <w:rFonts w:ascii="Arial" w:hAnsi="Arial" w:cs="Arial"/>
                <w:b/>
                <w:bCs/>
                <w:sz w:val="20"/>
                <w:szCs w:val="20"/>
              </w:rPr>
              <w:t>K vplyvom na rozpočet verejnej správy</w:t>
            </w:r>
          </w:p>
          <w:p w14:paraId="65311FFA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35E">
              <w:rPr>
                <w:rFonts w:ascii="Arial" w:hAnsi="Arial" w:cs="Arial"/>
                <w:sz w:val="20"/>
                <w:szCs w:val="20"/>
              </w:rPr>
              <w:t>Predkladateľ predpokladá pozitívny vplyv na rozpočet verejnej správy v dôsledku zavedenia nových správnych poplatkov ako aj zvýšenia už existujúcich správnych poplatkov. V roku 2023 sa predpokladá zvýšenie príjmov štátneho rozpočtu o 25,9 tis. eur, v roku 2024 o 27,6 tis. eur, v roku 2025 o 28,3 tis. eur a v roku 2026 o 30,1 tis. eur (kapitola VPS). V súvislosti so zmenou výšky pokút za priestupky a iné správne delikty sa vzhľadom na očakávaný preventívny účinok navrhovaných zmien nepredpokladajú vyššie príjmy z uložených pokút.</w:t>
            </w:r>
          </w:p>
          <w:p w14:paraId="28A4A15F" w14:textId="1F190BA6" w:rsid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35E">
              <w:rPr>
                <w:rFonts w:ascii="Arial" w:hAnsi="Arial" w:cs="Arial"/>
                <w:sz w:val="20"/>
                <w:szCs w:val="20"/>
              </w:rPr>
              <w:t xml:space="preserve">Vzhľadom na navrhovanú účinnosť zákona od </w:t>
            </w:r>
            <w:r w:rsidR="00F64127">
              <w:rPr>
                <w:rFonts w:ascii="Arial" w:hAnsi="Arial" w:cs="Arial"/>
                <w:sz w:val="20"/>
                <w:szCs w:val="20"/>
              </w:rPr>
              <w:t>30</w:t>
            </w:r>
            <w:r w:rsidRPr="00DB435E">
              <w:rPr>
                <w:rFonts w:ascii="Arial" w:hAnsi="Arial" w:cs="Arial"/>
                <w:sz w:val="20"/>
                <w:szCs w:val="20"/>
              </w:rPr>
              <w:t>.</w:t>
            </w:r>
            <w:r w:rsidR="00F64127">
              <w:rPr>
                <w:rFonts w:ascii="Arial" w:hAnsi="Arial" w:cs="Arial"/>
                <w:sz w:val="20"/>
                <w:szCs w:val="20"/>
              </w:rPr>
              <w:t>6</w:t>
            </w:r>
            <w:r w:rsidRPr="00DB435E">
              <w:rPr>
                <w:rFonts w:ascii="Arial" w:hAnsi="Arial" w:cs="Arial"/>
                <w:sz w:val="20"/>
                <w:szCs w:val="20"/>
              </w:rPr>
              <w:t>.2023 odporúča Komisia prepočítať vplyv na rozpočet v roku 2023.</w:t>
            </w:r>
          </w:p>
          <w:p w14:paraId="1BEDB480" w14:textId="0E0E4750" w:rsidR="00DB435E" w:rsidRPr="00DB435E" w:rsidRDefault="00DB435E" w:rsidP="00DB435E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435E">
              <w:rPr>
                <w:rFonts w:ascii="Arial" w:hAnsi="Arial" w:cs="Arial"/>
                <w:color w:val="FF0000"/>
                <w:sz w:val="20"/>
                <w:szCs w:val="20"/>
              </w:rPr>
              <w:t>- Pripomienka bola akceptovaná a vplyv na rozpočet v roku 2023 bol prepracovaný k dátumu predpokladanej účinnosti (</w:t>
            </w:r>
            <w:r w:rsidR="00F64127">
              <w:rPr>
                <w:rFonts w:ascii="Arial" w:hAnsi="Arial" w:cs="Arial"/>
                <w:color w:val="FF0000"/>
                <w:sz w:val="20"/>
                <w:szCs w:val="20"/>
              </w:rPr>
              <w:t>30.6</w:t>
            </w:r>
            <w:r w:rsidRPr="00DB435E">
              <w:rPr>
                <w:rFonts w:ascii="Arial" w:hAnsi="Arial" w:cs="Arial"/>
                <w:color w:val="FF0000"/>
                <w:sz w:val="20"/>
                <w:szCs w:val="20"/>
              </w:rPr>
              <w:t>.2023) tak, že výber správnych poplatkov bol vo všetkých položkách ponížený o polovicu.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Z uvedeného vyplýva, že predložený predpokladaný vplyv na </w:t>
            </w:r>
            <w:r w:rsidRPr="00DB435E">
              <w:rPr>
                <w:rFonts w:ascii="Arial" w:hAnsi="Arial" w:cs="Arial"/>
                <w:color w:val="FF0000"/>
                <w:sz w:val="20"/>
                <w:szCs w:val="20"/>
              </w:rPr>
              <w:t>rozpočet v roku 2023, ktorý predpoklad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al</w:t>
            </w:r>
            <w:r w:rsidRPr="00DB435E">
              <w:rPr>
                <w:rFonts w:ascii="Arial" w:hAnsi="Arial" w:cs="Arial"/>
                <w:color w:val="FF0000"/>
                <w:sz w:val="20"/>
                <w:szCs w:val="20"/>
              </w:rPr>
              <w:t xml:space="preserve"> zvýšenie príjmov štátneho rozpočtu o 25,9 tis. eur bol </w:t>
            </w:r>
            <w:r w:rsidRPr="00DB435E">
              <w:rPr>
                <w:rFonts w:ascii="Arial" w:hAnsi="Arial" w:cs="Arial"/>
                <w:b/>
                <w:color w:val="FF0000"/>
                <w:sz w:val="20"/>
                <w:szCs w:val="20"/>
              </w:rPr>
              <w:t>prepočítaný na 12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 w:rsidRPr="00DB435E"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tis.</w:t>
            </w:r>
            <w:r w:rsidRPr="00DB435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eur.</w:t>
            </w:r>
          </w:p>
          <w:p w14:paraId="4ECF9466" w14:textId="77777777" w:rsidR="00DB435E" w:rsidRPr="00DB435E" w:rsidRDefault="00DB435E" w:rsidP="00DB43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0C7CF38F" w14:textId="77777777" w:rsidR="00DB435E" w:rsidRPr="00DB435E" w:rsidRDefault="00DB435E" w:rsidP="00DB43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DB435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K vplyvom na podnikateľské prostredie</w:t>
            </w:r>
          </w:p>
          <w:p w14:paraId="30987B02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35E">
              <w:rPr>
                <w:rFonts w:ascii="Arial" w:hAnsi="Arial" w:cs="Arial"/>
                <w:sz w:val="20"/>
                <w:szCs w:val="20"/>
              </w:rPr>
              <w:t xml:space="preserve">Komisia žiada predkladateľa v Kalkulačke nákladov v časti B. Iné poplatky o prepočítanie sumy na celé podnikateľské prostredie. </w:t>
            </w:r>
          </w:p>
          <w:p w14:paraId="64B3CF32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35E">
              <w:rPr>
                <w:rFonts w:ascii="Arial" w:hAnsi="Arial" w:cs="Arial"/>
                <w:sz w:val="20"/>
                <w:szCs w:val="20"/>
                <w:u w:val="single"/>
              </w:rPr>
              <w:t>Odôvodnenie:</w:t>
            </w:r>
            <w:r w:rsidRPr="00DB435E">
              <w:rPr>
                <w:rFonts w:ascii="Arial" w:hAnsi="Arial" w:cs="Arial"/>
                <w:sz w:val="20"/>
                <w:szCs w:val="20"/>
              </w:rPr>
              <w:t xml:space="preserve"> V časti B. Iné poplatky je potrebné uviesť sumu na celé podnikateľské prostredie, nakoľko sa v prípade uvedenia len jednotlivej ceny poplatku neodzrkadlí suma v konečnom výsledku výšky IN-ov alebo OUT-ov. Následne je potrebné aktualizovať aj údaje v Analýze vplyvov na podnikateľské prostredie v časti 3.1 pri tabuľkách č. 1 a č. 2 a rovnako aj v doplňujúcich informáciách. V prípade potreby konzultácie pri dopracovaní Analýzy vplyvov na podnikateľské prostredie alebo Kalkulačky nákladov môžete kontaktovať MH SR na mailovej adrese </w:t>
            </w:r>
            <w:hyperlink r:id="rId10" w:history="1">
              <w:r w:rsidRPr="00DB435E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1in2out@mhsr.sk</w:t>
              </w:r>
            </w:hyperlink>
          </w:p>
          <w:p w14:paraId="61209857" w14:textId="6FAAD3B4" w:rsidR="00DB435E" w:rsidRPr="00DB435E" w:rsidRDefault="00DB435E" w:rsidP="00DB435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- Pripomienka bola v plnom rozsahu akceptovaná a zapracovaná </w:t>
            </w:r>
            <w:r w:rsidR="0057774F">
              <w:rPr>
                <w:rFonts w:ascii="Arial" w:hAnsi="Arial" w:cs="Arial"/>
                <w:color w:val="FF0000"/>
                <w:sz w:val="20"/>
                <w:szCs w:val="20"/>
              </w:rPr>
              <w:t>do Kalkulačky v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 časti B. Iné poplatky</w:t>
            </w:r>
            <w:r w:rsidR="0057774F">
              <w:rPr>
                <w:rFonts w:ascii="Arial" w:hAnsi="Arial" w:cs="Arial"/>
                <w:color w:val="FF0000"/>
                <w:sz w:val="20"/>
                <w:szCs w:val="20"/>
              </w:rPr>
              <w:t>, kde boli prepočítané poplatky na celé podnikateľské prostredie a bola prepracovaná aj časť 3.1 v Analýze vplyvov na PP.</w:t>
            </w:r>
          </w:p>
          <w:p w14:paraId="61494013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60E33" w14:textId="77777777" w:rsidR="00DB435E" w:rsidRPr="00DB435E" w:rsidRDefault="00DB435E" w:rsidP="00DB43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35E">
              <w:rPr>
                <w:rFonts w:ascii="Arial" w:hAnsi="Arial" w:cs="Arial"/>
                <w:b/>
                <w:sz w:val="20"/>
                <w:szCs w:val="20"/>
              </w:rPr>
              <w:t>K vplyvom na služby verejnej správy pre občana</w:t>
            </w:r>
          </w:p>
          <w:p w14:paraId="114B7EB7" w14:textId="77777777" w:rsidR="00DB435E" w:rsidRPr="00DB435E" w:rsidRDefault="00DB435E" w:rsidP="00DB43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>Komisia po preskúmaní predmetného materiálu súhlasí s vyznačením pozitívneho vplyvu na služby verejnej správy na občana a na procesy služieb vo verejnej správe. Predkladateľovi však navrhuje v doložke vybraných vplyvov vyznačiť okrem vplyvov pozitívnych aj vplyvy negatívne, a to na služby verejnej správy na občana a na procesy služieb vo verejnej správe.</w:t>
            </w:r>
          </w:p>
          <w:p w14:paraId="1848F133" w14:textId="77777777" w:rsidR="00DB435E" w:rsidRPr="00DB435E" w:rsidRDefault="00DB435E" w:rsidP="00DB435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:u w:val="single"/>
                <w14:ligatures w14:val="standardContextual"/>
              </w:rPr>
              <w:t>Odôvodnenie: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Pr="00DB435E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>V bode 7.2.1 Náklady - Zvýšenie priamych finančných nákladov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v  Analýze vplyvov na služby verejnej správy pre občana predkladateľ uviedol:  „</w:t>
            </w:r>
            <w:r w:rsidRPr="00DB435E"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Novelou zákona dochádza k zmene v zákone č. 145/1995 Zb. o správnych poplatkoch v znení neskorších predpisov týkajúcej sa sadzieb správnych poplatkov v Položke 94 písm. a), f), g), m) bod 2., n) až q) a ustanovenie nových správnych poplatkov za vydanie kontrolnej knihy odovzdaných olejov, za vykonanie zápisu malého plavidla do registra plavidiel urýchlene do 3 pracovných dní a vydanie potvrdenia o vydaní lodného denníka.“</w:t>
            </w:r>
          </w:p>
          <w:p w14:paraId="4159E647" w14:textId="0E256D95" w:rsidR="00DB435E" w:rsidRPr="0057774F" w:rsidRDefault="0057774F" w:rsidP="00DB435E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bCs/>
                <w:color w:val="FF0000"/>
                <w:sz w:val="20"/>
                <w:szCs w:val="20"/>
                <w14:ligatures w14:val="standardContextual"/>
              </w:rPr>
              <w:t xml:space="preserve">- Pripomienka bola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  <w14:ligatures w14:val="standardContextual"/>
              </w:rPr>
              <w:t>akceptovaná</w:t>
            </w:r>
            <w:r w:rsidRPr="0057774F">
              <w:rPr>
                <w:rFonts w:ascii="Arial" w:hAnsi="Arial" w:cs="Arial"/>
                <w:bCs/>
                <w:color w:val="FF0000"/>
                <w:sz w:val="20"/>
                <w:szCs w:val="20"/>
                <w14:ligatures w14:val="standardContextual"/>
              </w:rPr>
              <w:t xml:space="preserve">. V </w:t>
            </w: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doložke vybraných vplyvov sa vyznačili aj vplyvy negatívne, a to na služby verejnej správy na občana a aj na procesy služieb vo verejnej správe.</w:t>
            </w:r>
          </w:p>
          <w:p w14:paraId="30E406D6" w14:textId="77777777" w:rsidR="00DB435E" w:rsidRPr="00DB435E" w:rsidRDefault="00DB435E" w:rsidP="00DB435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>V bode 7.2.4 Vyplývajú z návrhu pre občana pri vybavení svojej požiadavky nové povinnosti alebo zanikajú už existujúce povinnosti?  - Nové povinnosti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v  Analýze vplyvov na služby verejnej správy pre občana predkladateľ uviedol:  „</w:t>
            </w:r>
            <w:r w:rsidRPr="00DB435E"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Návrh zákona ustanovuje pre prípady uskutočňovania podujatí v chránenom území alebo ochrannom pásme chráneného územia vydanie súhlasu Dopravného úradu, ktoré je podmienené predložením súhlasu štátneho orgánu ochrany prírody a krajiny.“</w:t>
            </w:r>
          </w:p>
          <w:p w14:paraId="48C68D99" w14:textId="77777777" w:rsidR="0057774F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Zvýšenie priamych finančných nákladov a vznik nových povinností pre občana predpokladajú negatívny vplyv na služby verejnej správy na občana.   </w:t>
            </w:r>
          </w:p>
          <w:p w14:paraId="36E71FCD" w14:textId="484CC2A3" w:rsidR="00DB435E" w:rsidRPr="00DB435E" w:rsidRDefault="0057774F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- Prepracované</w:t>
            </w:r>
            <w:r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 xml:space="preserve"> – uvedené iba vplyvy na občana – nepodnikateľa.</w:t>
            </w:r>
            <w:r w:rsidR="00DB435E" w:rsidRPr="00DB435E"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    </w:t>
            </w:r>
          </w:p>
          <w:p w14:paraId="4F29F8C9" w14:textId="77777777" w:rsidR="00DB435E" w:rsidRPr="00DB435E" w:rsidRDefault="00DB435E" w:rsidP="00DB435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 xml:space="preserve">V bode 7.3.2 Vyplývajú z návrhu pre orgán verejnej správy pri vybavení požiadavky nové povinnosti alebo zanikajú už existujúce povinnosti? Nové povinnosti (identifikujte) 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predkladateľ uviedol: </w:t>
            </w:r>
            <w:r w:rsidRPr="00DB435E"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„Z návrhu zákona vyplýva vo veci usporiadania podujatia na vode v chránenom území alebo v ochrannom pásme chráneného územia nová povinnosť štátnemu orgánu ochrany prírody a krajiny nakoľko vydáva súhlas na usporiadanie podujatia Dopravnému úradu.“</w:t>
            </w:r>
          </w:p>
          <w:p w14:paraId="183A2458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>Zavádzanie nových povinností pre orgán verejnej správy predpokladá negatívny vplyv na procesy služieb vo verejnej správe.</w:t>
            </w:r>
          </w:p>
          <w:p w14:paraId="305FF7D0" w14:textId="6CBE47D0" w:rsidR="0057774F" w:rsidRDefault="0057774F" w:rsidP="00DB435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- Prepracované</w:t>
            </w:r>
            <w:r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 xml:space="preserve"> – uvedené iba vplyvy na občana – nepodnikateľa.</w:t>
            </w:r>
          </w:p>
          <w:p w14:paraId="1985C12F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V zmysle metodického postupu pre analýzu vplyvov na služby verejnej správy pre občana je cieľom služieb uspokojovať ľudské potreby, a preto je nevyhnutné organizovať výkon verejnej správy a jej služieb tak, aby bol stredobodom pozornosti občan a uspokojenie jeho životných potrieb. Občanom je v kontexte tejto analýzy fyzická osoba, ktorá nevykonáva podnikateľskú činnosť alebo inú činnosť ako samostatne zárobkovo činná osoba. Službou verejnej správy v kontexte tejto analýzy je potrebné chápať úkony, ktoré sú realizované a poskytované občanom v rámci jednotlivých segmentov verejnej správy. Uspokojovanie životných potrieb občanov pri kontakte s orgánmi verejnej správy sa premieta do tzv. životných situácií  (napr. narodenie dieťaťa, sobáš, presťahovanie), ktoré sú chápané ako situácie, v ktorých sa občan môže počas svojich životných etáp ocitnúť, t.j. životné situácie týkajúce sa interakcie občana a verejnej správy.</w:t>
            </w:r>
          </w:p>
          <w:p w14:paraId="3B50E49E" w14:textId="6317E405" w:rsidR="00DB435E" w:rsidRDefault="0057774F" w:rsidP="00DB435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- Prepracované</w:t>
            </w:r>
            <w:r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 xml:space="preserve"> – uvedené iba vplyvy na občana – nepodnikateľa.</w:t>
            </w:r>
          </w:p>
          <w:p w14:paraId="295F523F" w14:textId="34991387" w:rsid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Na základe vyššie uvedeného navrhuje Komisia predkladateľovi, aby vo vypracovanej Analýze vplyvov na služby verejnej správy pre občana odstránil vypracované časti, ktoré sa nedotýkajú vplyvu na občana - ako fyzickej osoby – nepodnikateľa, napr. </w:t>
            </w:r>
            <w:r w:rsidRPr="00DB435E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>v bode  7.1.1 Predpokladá predložený návrh zmenu existujúcej služby verejnej správy alebo vytvorenie novej služby? - Zmena existujúcej služby (konkretizovať a popísať).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Rovnako Komisia predkladateľovi navrhuje, aby podľa svojho odborného uváženia zohľadnil túto skutočnosť aj v ďalších častiach predmetnej analýzy, nakoľko nie je celkom zrejmá.</w:t>
            </w:r>
          </w:p>
          <w:p w14:paraId="6F8EF968" w14:textId="082B8818" w:rsidR="0057774F" w:rsidRDefault="0057774F" w:rsidP="00DB435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- Prepracované</w:t>
            </w:r>
            <w:r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 xml:space="preserve"> – uvedené iba vplyvy na občana – nepodnikateľa.</w:t>
            </w:r>
          </w:p>
          <w:p w14:paraId="48E3145A" w14:textId="47D38644" w:rsid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DB435E">
              <w:rPr>
                <w:rFonts w:ascii="Arial" w:hAnsi="Arial" w:cs="Arial"/>
                <w:bCs/>
                <w:sz w:val="20"/>
                <w:szCs w:val="20"/>
                <w14:ligatures w14:val="standardContextual"/>
              </w:rPr>
              <w:t>V bode 7.2.1 Náklady - Zvýšenie priamych finančných nákladov a Zníženie priamych finančných nákladov</w:t>
            </w:r>
            <w:r w:rsidRPr="00DB435E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navrhuje Komisia predkladateľovi, aby uvedené náklady vyčíslil.</w:t>
            </w:r>
          </w:p>
          <w:p w14:paraId="18D2BAF1" w14:textId="4186B993" w:rsidR="0057774F" w:rsidRPr="0057774F" w:rsidRDefault="0057774F" w:rsidP="00DB435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</w:pPr>
            <w:r w:rsidRPr="0057774F">
              <w:rPr>
                <w:rFonts w:ascii="Arial" w:hAnsi="Arial" w:cs="Arial"/>
                <w:color w:val="FF0000"/>
                <w:sz w:val="20"/>
                <w:szCs w:val="20"/>
                <w14:ligatures w14:val="standardContextual"/>
              </w:rPr>
              <w:t>- Prepracované podľa požiadavky a doplnené uvedenie nákladov.</w:t>
            </w:r>
          </w:p>
          <w:p w14:paraId="4A9095E3" w14:textId="77777777" w:rsidR="00DB435E" w:rsidRPr="00DB435E" w:rsidRDefault="00DB435E" w:rsidP="00DB4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E6238" w14:textId="77777777" w:rsidR="00DB435E" w:rsidRPr="00DB435E" w:rsidRDefault="00DB435E" w:rsidP="00DB435E">
            <w:pPr>
              <w:pStyle w:val="norm00e1lny"/>
              <w:spacing w:line="240" w:lineRule="atLeast"/>
              <w:jc w:val="both"/>
            </w:pPr>
            <w:r w:rsidRPr="00DB435E">
              <w:rPr>
                <w:rStyle w:val="norm00e1lnychar1"/>
                <w:rFonts w:ascii="Arial" w:hAnsi="Arial" w:cs="Arial"/>
                <w:b/>
                <w:bCs/>
                <w:color w:val="000000"/>
                <w:lang w:eastAsia="ar-SA"/>
              </w:rPr>
              <w:t>I</w:t>
            </w:r>
            <w:r w:rsidRPr="00DB435E">
              <w:rPr>
                <w:rStyle w:val="norm00e1lnychar1"/>
                <w:rFonts w:ascii="Arial" w:hAnsi="Arial" w:cs="Arial"/>
                <w:b/>
                <w:bCs/>
              </w:rPr>
              <w:t xml:space="preserve">II. Záver: </w:t>
            </w:r>
            <w:r w:rsidRPr="00DB435E">
              <w:rPr>
                <w:rStyle w:val="norm00e1lnychar1"/>
                <w:rFonts w:ascii="Arial" w:hAnsi="Arial" w:cs="Arial"/>
              </w:rPr>
              <w:t xml:space="preserve">Stála pracovná komisia na posudzovanie vybraných vplyvov vyjadruje </w:t>
            </w:r>
          </w:p>
          <w:p w14:paraId="422ADBB4" w14:textId="77777777" w:rsidR="00DB435E" w:rsidRPr="00DB435E" w:rsidRDefault="00DB435E" w:rsidP="00DB435E">
            <w:pPr>
              <w:pStyle w:val="norm00e1lny"/>
            </w:pPr>
            <w:r w:rsidRPr="00DB435E">
              <w:t> </w:t>
            </w:r>
          </w:p>
          <w:p w14:paraId="013B6EAC" w14:textId="77777777" w:rsidR="00DB435E" w:rsidRPr="00DB435E" w:rsidRDefault="00DB435E" w:rsidP="00DB435E">
            <w:pPr>
              <w:pStyle w:val="norm00e1lny"/>
              <w:spacing w:line="240" w:lineRule="atLeast"/>
              <w:jc w:val="center"/>
            </w:pPr>
            <w:r w:rsidRPr="00DB435E">
              <w:rPr>
                <w:rStyle w:val="norm00e1lnychar1"/>
                <w:rFonts w:ascii="Arial" w:hAnsi="Arial" w:cs="Arial"/>
                <w:b/>
                <w:bCs/>
              </w:rPr>
              <w:t>nesúhlasné stanovisko</w:t>
            </w:r>
          </w:p>
          <w:p w14:paraId="60116DA3" w14:textId="77777777" w:rsidR="00DB435E" w:rsidRPr="00DB435E" w:rsidRDefault="00DB435E" w:rsidP="00DB435E">
            <w:pPr>
              <w:pStyle w:val="norm00e1lny"/>
            </w:pPr>
            <w:r w:rsidRPr="00DB435E">
              <w:t> </w:t>
            </w:r>
          </w:p>
          <w:p w14:paraId="17A7E60D" w14:textId="77777777" w:rsidR="00DB435E" w:rsidRPr="00DB435E" w:rsidRDefault="00DB435E" w:rsidP="00DB435E">
            <w:pPr>
              <w:pStyle w:val="norm00e1lny"/>
              <w:spacing w:line="240" w:lineRule="atLeast"/>
              <w:jc w:val="both"/>
            </w:pPr>
            <w:r w:rsidRPr="00DB435E">
              <w:rPr>
                <w:rStyle w:val="norm00e1lnychar1"/>
                <w:rFonts w:ascii="Arial" w:hAnsi="Arial" w:cs="Arial"/>
              </w:rPr>
              <w:t>s materiálom predloženým na predbežné pripomienkové konanie s odporúčaním na jeho dopracovanie podľa pripomienok v bode II.</w:t>
            </w:r>
          </w:p>
          <w:p w14:paraId="1F314BE1" w14:textId="77777777" w:rsidR="00DB435E" w:rsidRPr="00DB435E" w:rsidRDefault="00DB435E" w:rsidP="00DB435E">
            <w:pPr>
              <w:pStyle w:val="norm00e1lny"/>
            </w:pPr>
          </w:p>
          <w:p w14:paraId="4138B155" w14:textId="77777777" w:rsidR="00DB435E" w:rsidRPr="00DB435E" w:rsidRDefault="00DB435E" w:rsidP="00DB435E">
            <w:pPr>
              <w:pStyle w:val="norm00e1lny"/>
              <w:spacing w:line="240" w:lineRule="atLeast"/>
              <w:jc w:val="both"/>
            </w:pPr>
            <w:r w:rsidRPr="00DB435E">
              <w:rPr>
                <w:rStyle w:val="norm00e1lnychar1"/>
                <w:rFonts w:ascii="Arial" w:hAnsi="Arial" w:cs="Arial"/>
                <w:b/>
                <w:bCs/>
              </w:rPr>
              <w:t>IV. Poznámka:</w:t>
            </w:r>
            <w:r w:rsidRPr="00DB435E">
              <w:rPr>
                <w:rStyle w:val="norm00e1lnychar1"/>
                <w:rFonts w:ascii="Arial" w:hAnsi="Arial" w:cs="Arial"/>
              </w:rPr>
              <w:t xml:space="preserve"> Predkladateľ zapracuje pripomienky a odporúčania na úpravu uvedené v bode II a uvedie stanovisko Komisie do doložky vybraných vplyvov spolu s vyhodnotením pripomienok.</w:t>
            </w:r>
          </w:p>
          <w:p w14:paraId="36F7E55E" w14:textId="77777777" w:rsidR="00DB435E" w:rsidRPr="00DB435E" w:rsidRDefault="00DB435E" w:rsidP="00DB435E">
            <w:pPr>
              <w:pStyle w:val="norm00e1lny"/>
            </w:pPr>
            <w:r w:rsidRPr="00DB435E">
              <w:t> </w:t>
            </w:r>
          </w:p>
          <w:p w14:paraId="18E04C63" w14:textId="1CE2C342" w:rsidR="00DB435E" w:rsidRPr="0057774F" w:rsidRDefault="00DB435E" w:rsidP="0057774F">
            <w:pPr>
              <w:pStyle w:val="z00e1kladn00fd0020text"/>
              <w:spacing w:after="0" w:line="240" w:lineRule="atLeast"/>
              <w:jc w:val="both"/>
            </w:pPr>
            <w:r w:rsidRPr="00DB435E">
              <w:rPr>
                <w:rStyle w:val="z00e1kladn00fd0020textchar1"/>
                <w:rFonts w:ascii="Arial" w:hAnsi="Arial" w:cs="Arial"/>
              </w:rPr>
              <w:t>Nesúhlasné stanovisko Komisie neznamená 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 na opätovné schválenie Komisie, ktorá môže následne zmeniť svoje stanovisko.</w:t>
            </w:r>
          </w:p>
          <w:p w14:paraId="13B8CB6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2C9F6A7A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C538EE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5D0C9D02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AC4835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135A578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FEF8336" w14:textId="77777777" w:rsidR="001B23B7" w:rsidRPr="00B043B4" w:rsidRDefault="000E253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28989F5" w14:textId="77777777" w:rsidR="001B23B7" w:rsidRPr="00B043B4" w:rsidRDefault="000E253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17E3F96" w14:textId="77777777" w:rsidR="001B23B7" w:rsidRPr="00B043B4" w:rsidRDefault="000E253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BDDA8F2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1A714E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1D96BE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7F042BF" w14:textId="54C6D0EE" w:rsidR="00274130" w:rsidRDefault="000E2530"/>
    <w:p w14:paraId="6A4A2CF3" w14:textId="1737C84C" w:rsidR="00C91BE1" w:rsidRDefault="00C91BE1"/>
    <w:p w14:paraId="520BC5E7" w14:textId="3F3DDD55" w:rsidR="00C91BE1" w:rsidRDefault="00C91BE1"/>
    <w:p w14:paraId="4360D5D4" w14:textId="77777777" w:rsidR="004F4CC6" w:rsidRDefault="004F4CC6"/>
    <w:p w14:paraId="2B4CF332" w14:textId="2444BF10" w:rsidR="00C91BE1" w:rsidRDefault="00C91BE1"/>
    <w:p w14:paraId="7C6283DA" w14:textId="13668C5F" w:rsidR="00C91BE1" w:rsidRDefault="00C91BE1"/>
    <w:p w14:paraId="6023D1AE" w14:textId="77777777" w:rsidR="00C91BE1" w:rsidRDefault="00C91BE1"/>
    <w:p w14:paraId="32490CE2" w14:textId="77777777" w:rsidR="00C91BE1" w:rsidRPr="00C91BE1" w:rsidRDefault="00C91BE1" w:rsidP="00C91BE1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28"/>
        </w:rPr>
      </w:pPr>
      <w:bookmarkStart w:id="1" w:name="_GoBack"/>
      <w:bookmarkEnd w:id="1"/>
    </w:p>
    <w:p w14:paraId="377FFBD1" w14:textId="77777777" w:rsidR="00C91BE1" w:rsidRPr="00C91BE1" w:rsidRDefault="00C91BE1" w:rsidP="00C91BE1">
      <w:pPr>
        <w:pStyle w:val="Odsekzoznamu"/>
        <w:autoSpaceDE w:val="0"/>
        <w:autoSpaceDN w:val="0"/>
        <w:spacing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43EC3FDE" w14:textId="77777777" w:rsidR="00C91BE1" w:rsidRPr="00C91BE1" w:rsidRDefault="00C91BE1" w:rsidP="00C91BE1">
      <w:pPr>
        <w:pStyle w:val="Odsekzoznamu"/>
        <w:autoSpaceDE w:val="0"/>
        <w:autoSpaceDN w:val="0"/>
        <w:spacing w:line="240" w:lineRule="auto"/>
        <w:rPr>
          <w:rFonts w:ascii="Times New Roman" w:eastAsia="Calibri" w:hAnsi="Times New Roman" w:cs="Times New Roman"/>
          <w:bCs/>
          <w:color w:val="000000"/>
        </w:rPr>
      </w:pPr>
    </w:p>
    <w:p w14:paraId="7B6C3F71" w14:textId="77777777" w:rsidR="00C91BE1" w:rsidRDefault="00C91BE1"/>
    <w:sectPr w:rsidR="00C91BE1" w:rsidSect="00C91B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171D" w14:textId="77777777" w:rsidR="00E40E43" w:rsidRDefault="00E40E43" w:rsidP="001B23B7">
      <w:pPr>
        <w:spacing w:after="0" w:line="240" w:lineRule="auto"/>
      </w:pPr>
      <w:r>
        <w:separator/>
      </w:r>
    </w:p>
  </w:endnote>
  <w:endnote w:type="continuationSeparator" w:id="0">
    <w:p w14:paraId="206CDA4C" w14:textId="77777777" w:rsidR="00E40E43" w:rsidRDefault="00E40E4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E2B4" w14:textId="77777777" w:rsidR="002537B1" w:rsidRDefault="002537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83AB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A58E" w14:textId="77777777" w:rsidR="002537B1" w:rsidRDefault="002537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FCDCC" w14:textId="77777777" w:rsidR="00E40E43" w:rsidRDefault="00E40E43" w:rsidP="001B23B7">
      <w:pPr>
        <w:spacing w:after="0" w:line="240" w:lineRule="auto"/>
      </w:pPr>
      <w:r>
        <w:separator/>
      </w:r>
    </w:p>
  </w:footnote>
  <w:footnote w:type="continuationSeparator" w:id="0">
    <w:p w14:paraId="54AC079D" w14:textId="77777777" w:rsidR="00E40E43" w:rsidRDefault="00E40E43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B57C" w14:textId="77777777" w:rsidR="002537B1" w:rsidRDefault="002537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2965" w14:textId="77777777" w:rsidR="002537B1" w:rsidRDefault="002537B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23C" w14:textId="77777777" w:rsidR="002537B1" w:rsidRDefault="002537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35E"/>
    <w:multiLevelType w:val="hybridMultilevel"/>
    <w:tmpl w:val="4C4C75EE"/>
    <w:lvl w:ilvl="0" w:tplc="EF16E2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20748A4"/>
    <w:multiLevelType w:val="hybridMultilevel"/>
    <w:tmpl w:val="20DE35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871"/>
    <w:multiLevelType w:val="hybridMultilevel"/>
    <w:tmpl w:val="C03A19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767B8"/>
    <w:multiLevelType w:val="hybridMultilevel"/>
    <w:tmpl w:val="02561386"/>
    <w:lvl w:ilvl="0" w:tplc="FDAA17EC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DCD063C"/>
    <w:multiLevelType w:val="hybridMultilevel"/>
    <w:tmpl w:val="A1409C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31137"/>
    <w:multiLevelType w:val="hybridMultilevel"/>
    <w:tmpl w:val="DA7A198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A0E62"/>
    <w:multiLevelType w:val="hybridMultilevel"/>
    <w:tmpl w:val="F8F6A366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F1F6E"/>
    <w:multiLevelType w:val="hybridMultilevel"/>
    <w:tmpl w:val="58B80F30"/>
    <w:lvl w:ilvl="0" w:tplc="5C128D6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D1C6EE8"/>
    <w:multiLevelType w:val="hybridMultilevel"/>
    <w:tmpl w:val="1E9A83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15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26BC6"/>
    <w:rsid w:val="000326CE"/>
    <w:rsid w:val="00036C60"/>
    <w:rsid w:val="00043706"/>
    <w:rsid w:val="0004480C"/>
    <w:rsid w:val="00053981"/>
    <w:rsid w:val="000953A4"/>
    <w:rsid w:val="00097069"/>
    <w:rsid w:val="000A1D6E"/>
    <w:rsid w:val="000D348F"/>
    <w:rsid w:val="000D55D4"/>
    <w:rsid w:val="000E2530"/>
    <w:rsid w:val="000E4D50"/>
    <w:rsid w:val="000E56EF"/>
    <w:rsid w:val="000F2BE9"/>
    <w:rsid w:val="00107AE8"/>
    <w:rsid w:val="00114317"/>
    <w:rsid w:val="0014202C"/>
    <w:rsid w:val="00162CDD"/>
    <w:rsid w:val="001A01E9"/>
    <w:rsid w:val="001B23B7"/>
    <w:rsid w:val="001E3562"/>
    <w:rsid w:val="00203EE3"/>
    <w:rsid w:val="002049E2"/>
    <w:rsid w:val="00223435"/>
    <w:rsid w:val="0023360B"/>
    <w:rsid w:val="00243652"/>
    <w:rsid w:val="002537B1"/>
    <w:rsid w:val="002721FE"/>
    <w:rsid w:val="002A2BCF"/>
    <w:rsid w:val="002B074B"/>
    <w:rsid w:val="003145AE"/>
    <w:rsid w:val="00316D84"/>
    <w:rsid w:val="00333CFD"/>
    <w:rsid w:val="003355C4"/>
    <w:rsid w:val="003A057B"/>
    <w:rsid w:val="003B6F07"/>
    <w:rsid w:val="003C739A"/>
    <w:rsid w:val="003D019C"/>
    <w:rsid w:val="0042447E"/>
    <w:rsid w:val="004310A9"/>
    <w:rsid w:val="00437659"/>
    <w:rsid w:val="0046113C"/>
    <w:rsid w:val="0049476D"/>
    <w:rsid w:val="004A4383"/>
    <w:rsid w:val="004C19F7"/>
    <w:rsid w:val="004C6831"/>
    <w:rsid w:val="004D52E3"/>
    <w:rsid w:val="004F0B08"/>
    <w:rsid w:val="004F4CC6"/>
    <w:rsid w:val="005312F9"/>
    <w:rsid w:val="00536E23"/>
    <w:rsid w:val="00561F88"/>
    <w:rsid w:val="0057774F"/>
    <w:rsid w:val="00591EC6"/>
    <w:rsid w:val="005952FE"/>
    <w:rsid w:val="005B70EA"/>
    <w:rsid w:val="005F548C"/>
    <w:rsid w:val="00643E9E"/>
    <w:rsid w:val="0066761A"/>
    <w:rsid w:val="00671EFD"/>
    <w:rsid w:val="006878E7"/>
    <w:rsid w:val="006B6BC9"/>
    <w:rsid w:val="006F678E"/>
    <w:rsid w:val="006F6B62"/>
    <w:rsid w:val="007120B1"/>
    <w:rsid w:val="00720322"/>
    <w:rsid w:val="00722930"/>
    <w:rsid w:val="0074387A"/>
    <w:rsid w:val="0075197E"/>
    <w:rsid w:val="00757368"/>
    <w:rsid w:val="00761208"/>
    <w:rsid w:val="0076799E"/>
    <w:rsid w:val="00777019"/>
    <w:rsid w:val="00794979"/>
    <w:rsid w:val="00795045"/>
    <w:rsid w:val="007A4171"/>
    <w:rsid w:val="007A5A88"/>
    <w:rsid w:val="007B40C1"/>
    <w:rsid w:val="007E4469"/>
    <w:rsid w:val="007E531C"/>
    <w:rsid w:val="007F63C1"/>
    <w:rsid w:val="0081638D"/>
    <w:rsid w:val="00822BA1"/>
    <w:rsid w:val="00840851"/>
    <w:rsid w:val="00853548"/>
    <w:rsid w:val="00854FDB"/>
    <w:rsid w:val="00865E81"/>
    <w:rsid w:val="008801B5"/>
    <w:rsid w:val="008B222D"/>
    <w:rsid w:val="008C79B7"/>
    <w:rsid w:val="008D5C3F"/>
    <w:rsid w:val="008F16F3"/>
    <w:rsid w:val="00902797"/>
    <w:rsid w:val="00942150"/>
    <w:rsid w:val="009431E3"/>
    <w:rsid w:val="00943D7C"/>
    <w:rsid w:val="009475F5"/>
    <w:rsid w:val="009717F5"/>
    <w:rsid w:val="009C424C"/>
    <w:rsid w:val="009D4599"/>
    <w:rsid w:val="009E09F7"/>
    <w:rsid w:val="009F4832"/>
    <w:rsid w:val="009F5137"/>
    <w:rsid w:val="009F7B3B"/>
    <w:rsid w:val="00A052B8"/>
    <w:rsid w:val="00A26803"/>
    <w:rsid w:val="00A340BB"/>
    <w:rsid w:val="00A40A81"/>
    <w:rsid w:val="00A55037"/>
    <w:rsid w:val="00AC30D6"/>
    <w:rsid w:val="00AD566E"/>
    <w:rsid w:val="00AE0B5A"/>
    <w:rsid w:val="00AF3092"/>
    <w:rsid w:val="00B16564"/>
    <w:rsid w:val="00B2635B"/>
    <w:rsid w:val="00B547F5"/>
    <w:rsid w:val="00B64CF3"/>
    <w:rsid w:val="00B759BE"/>
    <w:rsid w:val="00B84F87"/>
    <w:rsid w:val="00B90559"/>
    <w:rsid w:val="00BA2BF4"/>
    <w:rsid w:val="00BB30E5"/>
    <w:rsid w:val="00BC10C5"/>
    <w:rsid w:val="00BD127E"/>
    <w:rsid w:val="00BD7E47"/>
    <w:rsid w:val="00C07178"/>
    <w:rsid w:val="00C20AC2"/>
    <w:rsid w:val="00C5061F"/>
    <w:rsid w:val="00C7708C"/>
    <w:rsid w:val="00C91BE1"/>
    <w:rsid w:val="00C94694"/>
    <w:rsid w:val="00CC0028"/>
    <w:rsid w:val="00CE6AAE"/>
    <w:rsid w:val="00CF1A25"/>
    <w:rsid w:val="00CF77AE"/>
    <w:rsid w:val="00D03916"/>
    <w:rsid w:val="00D06D5C"/>
    <w:rsid w:val="00D13287"/>
    <w:rsid w:val="00D20921"/>
    <w:rsid w:val="00D2313B"/>
    <w:rsid w:val="00D30095"/>
    <w:rsid w:val="00D45E0C"/>
    <w:rsid w:val="00D46A73"/>
    <w:rsid w:val="00D50F1E"/>
    <w:rsid w:val="00D74831"/>
    <w:rsid w:val="00DA1260"/>
    <w:rsid w:val="00DA30BD"/>
    <w:rsid w:val="00DB435E"/>
    <w:rsid w:val="00DD66B3"/>
    <w:rsid w:val="00DD795C"/>
    <w:rsid w:val="00DF357C"/>
    <w:rsid w:val="00E2442E"/>
    <w:rsid w:val="00E27F49"/>
    <w:rsid w:val="00E40E43"/>
    <w:rsid w:val="00E41F7B"/>
    <w:rsid w:val="00E51C8C"/>
    <w:rsid w:val="00E7663D"/>
    <w:rsid w:val="00EC50FA"/>
    <w:rsid w:val="00EC63D8"/>
    <w:rsid w:val="00ED1AC0"/>
    <w:rsid w:val="00EE6554"/>
    <w:rsid w:val="00F15D3E"/>
    <w:rsid w:val="00F42448"/>
    <w:rsid w:val="00F64127"/>
    <w:rsid w:val="00F755A0"/>
    <w:rsid w:val="00F81228"/>
    <w:rsid w:val="00F87681"/>
    <w:rsid w:val="00F93B34"/>
    <w:rsid w:val="00FA02DB"/>
    <w:rsid w:val="00FB109B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A8F0"/>
  <w15:docId w15:val="{A2E8C69C-C8F4-4B92-ADB0-F6BBC129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paragraph" w:styleId="Nadpis1">
    <w:name w:val="heading 1"/>
    <w:basedOn w:val="Normlny"/>
    <w:link w:val="Nadpis1Char"/>
    <w:uiPriority w:val="9"/>
    <w:qFormat/>
    <w:rsid w:val="00C9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22B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2B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2B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2B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2BA1"/>
    <w:rPr>
      <w:b/>
      <w:bCs/>
      <w:sz w:val="20"/>
      <w:szCs w:val="20"/>
    </w:rPr>
  </w:style>
  <w:style w:type="paragraph" w:customStyle="1" w:styleId="Default">
    <w:name w:val="Default"/>
    <w:rsid w:val="00FB1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">
    <w:name w:val="awspan"/>
    <w:basedOn w:val="Predvolenpsmoodseku"/>
    <w:rsid w:val="000326CE"/>
  </w:style>
  <w:style w:type="character" w:styleId="Hypertextovprepojenie">
    <w:name w:val="Hyperlink"/>
    <w:basedOn w:val="Predvolenpsmoodseku"/>
    <w:uiPriority w:val="99"/>
    <w:unhideWhenUsed/>
    <w:rsid w:val="000326CE"/>
    <w:rPr>
      <w:color w:val="0563C1" w:themeColor="hyperlink"/>
      <w:u w:val="single"/>
    </w:rPr>
  </w:style>
  <w:style w:type="character" w:customStyle="1" w:styleId="markedcontent">
    <w:name w:val="markedcontent"/>
    <w:basedOn w:val="Predvolenpsmoodseku"/>
    <w:rsid w:val="008D5C3F"/>
  </w:style>
  <w:style w:type="character" w:customStyle="1" w:styleId="norm00e1lnychar1">
    <w:name w:val="norm_00e1lny__char1"/>
    <w:rsid w:val="00DB435E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z00e1kladn00fd0020textchar1">
    <w:name w:val="z_00e1kladn_00fd_0020text__char1"/>
    <w:rsid w:val="00DB435E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DB435E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00e1kladn00fd0020text">
    <w:name w:val="z_00e1kladn_00fd_0020text"/>
    <w:basedOn w:val="Normlny"/>
    <w:rsid w:val="00DB435E"/>
    <w:pPr>
      <w:spacing w:after="12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C91BE1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91BE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C9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C9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C91BE1"/>
    <w:pPr>
      <w:ind w:left="720"/>
      <w:contextualSpacing/>
    </w:pPr>
  </w:style>
  <w:style w:type="paragraph" w:styleId="Revzia">
    <w:name w:val="Revision"/>
    <w:hidden/>
    <w:uiPriority w:val="99"/>
    <w:semiHidden/>
    <w:rsid w:val="00C91BE1"/>
    <w:pPr>
      <w:spacing w:after="0" w:line="240" w:lineRule="auto"/>
    </w:pPr>
  </w:style>
  <w:style w:type="character" w:customStyle="1" w:styleId="blog-post-title-font">
    <w:name w:val="blog-post-title-font"/>
    <w:basedOn w:val="Predvolenpsmoodseku"/>
    <w:rsid w:val="00C91BE1"/>
  </w:style>
  <w:style w:type="character" w:styleId="Zstupntext">
    <w:name w:val="Placeholder Text"/>
    <w:basedOn w:val="Predvolenpsmoodseku"/>
    <w:uiPriority w:val="99"/>
    <w:rsid w:val="004F4CC6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1in2out@mhsr.s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ndop.sk/ministerstvo-1/doprava-3/ministerstvo-doprava-3-preprava-nebezpecneho-tovaru/po-vnutrozemskych-vodnych-cestach/europska-dohoda-o-medzinarodnej-preprave-nebezpecneho-tovaru-po-vnutrozemskych-vodnych-cestach-adn/znenie-dohody-adn-s-ucinnostou-od-1-1-2023-714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A82241-21A9-40CE-93A0-F799F34D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Gašparíková, Jarmila</cp:lastModifiedBy>
  <cp:revision>2</cp:revision>
  <dcterms:created xsi:type="dcterms:W3CDTF">2023-04-12T12:04:00Z</dcterms:created>
  <dcterms:modified xsi:type="dcterms:W3CDTF">2023-04-12T12:04:00Z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