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4A" w:rsidRPr="00590278" w:rsidRDefault="0099354A" w:rsidP="0099354A">
      <w:pPr>
        <w:ind w:right="143"/>
        <w:jc w:val="center"/>
        <w:rPr>
          <w:b/>
          <w:caps/>
          <w:spacing w:val="30"/>
          <w:sz w:val="22"/>
          <w:szCs w:val="22"/>
        </w:rPr>
      </w:pPr>
      <w:r w:rsidRPr="00590278">
        <w:rPr>
          <w:b/>
          <w:caps/>
          <w:spacing w:val="30"/>
          <w:sz w:val="22"/>
          <w:szCs w:val="22"/>
        </w:rPr>
        <w:t>Doložka zlučiteľnosti</w:t>
      </w:r>
    </w:p>
    <w:p w:rsidR="0099354A" w:rsidRPr="00590278" w:rsidRDefault="0099354A" w:rsidP="0099354A">
      <w:pPr>
        <w:ind w:right="143"/>
        <w:jc w:val="center"/>
        <w:rPr>
          <w:b/>
          <w:sz w:val="22"/>
          <w:szCs w:val="22"/>
        </w:rPr>
      </w:pPr>
      <w:r w:rsidRPr="00590278">
        <w:rPr>
          <w:b/>
          <w:sz w:val="22"/>
          <w:szCs w:val="22"/>
        </w:rPr>
        <w:t xml:space="preserve"> návrhu zákona s právom Európskej únie </w:t>
      </w:r>
    </w:p>
    <w:p w:rsidR="0099354A" w:rsidRPr="00590278" w:rsidRDefault="0099354A" w:rsidP="0099354A">
      <w:pPr>
        <w:ind w:right="143"/>
        <w:rPr>
          <w:sz w:val="22"/>
          <w:szCs w:val="22"/>
        </w:rPr>
      </w:pPr>
    </w:p>
    <w:p w:rsidR="0099354A" w:rsidRPr="00590278" w:rsidRDefault="0099354A" w:rsidP="0099354A">
      <w:pPr>
        <w:pStyle w:val="Odsekzoznamu"/>
        <w:widowControl w:val="0"/>
        <w:numPr>
          <w:ilvl w:val="0"/>
          <w:numId w:val="1"/>
        </w:numPr>
        <w:autoSpaceDE w:val="0"/>
        <w:autoSpaceDN w:val="0"/>
        <w:adjustRightInd w:val="0"/>
        <w:spacing w:after="0" w:line="240" w:lineRule="auto"/>
        <w:ind w:left="360" w:right="143"/>
        <w:rPr>
          <w:rFonts w:ascii="Times New Roman" w:hAnsi="Times New Roman"/>
          <w:b/>
        </w:rPr>
      </w:pPr>
      <w:r w:rsidRPr="00590278">
        <w:rPr>
          <w:rFonts w:ascii="Times New Roman" w:hAnsi="Times New Roman"/>
          <w:b/>
        </w:rPr>
        <w:t>Navrhovateľ zákona:</w:t>
      </w:r>
      <w:r w:rsidRPr="00590278">
        <w:rPr>
          <w:rFonts w:ascii="Times New Roman" w:hAnsi="Times New Roman"/>
        </w:rPr>
        <w:t xml:space="preserve"> </w:t>
      </w:r>
    </w:p>
    <w:p w:rsidR="0099354A" w:rsidRDefault="0099354A" w:rsidP="0099354A">
      <w:pPr>
        <w:tabs>
          <w:tab w:val="left" w:pos="284"/>
          <w:tab w:val="left" w:pos="426"/>
        </w:tabs>
        <w:spacing w:before="120"/>
        <w:ind w:left="360" w:right="142"/>
        <w:rPr>
          <w:sz w:val="22"/>
          <w:szCs w:val="22"/>
        </w:rPr>
      </w:pPr>
      <w:r>
        <w:rPr>
          <w:sz w:val="22"/>
          <w:szCs w:val="22"/>
        </w:rPr>
        <w:t>Poslanec Národnej rady Slovenskej republiky Miloš Svrček</w:t>
      </w:r>
    </w:p>
    <w:p w:rsidR="0099354A" w:rsidRPr="00590278" w:rsidRDefault="0099354A" w:rsidP="0099354A">
      <w:pPr>
        <w:tabs>
          <w:tab w:val="left" w:pos="284"/>
          <w:tab w:val="left" w:pos="426"/>
        </w:tabs>
        <w:spacing w:before="120"/>
        <w:ind w:left="360" w:right="142"/>
        <w:rPr>
          <w:sz w:val="22"/>
          <w:szCs w:val="22"/>
        </w:rPr>
      </w:pPr>
    </w:p>
    <w:p w:rsidR="0099354A" w:rsidRPr="00590278" w:rsidRDefault="0099354A" w:rsidP="0099354A">
      <w:pPr>
        <w:pStyle w:val="Odsekzoznamu"/>
        <w:widowControl w:val="0"/>
        <w:numPr>
          <w:ilvl w:val="0"/>
          <w:numId w:val="1"/>
        </w:numPr>
        <w:autoSpaceDE w:val="0"/>
        <w:autoSpaceDN w:val="0"/>
        <w:adjustRightInd w:val="0"/>
        <w:spacing w:after="0" w:line="240" w:lineRule="auto"/>
        <w:ind w:left="426" w:right="143" w:hanging="426"/>
        <w:rPr>
          <w:rFonts w:ascii="Times New Roman" w:hAnsi="Times New Roman"/>
        </w:rPr>
      </w:pPr>
      <w:r w:rsidRPr="00590278">
        <w:rPr>
          <w:rFonts w:ascii="Times New Roman" w:hAnsi="Times New Roman"/>
          <w:b/>
        </w:rPr>
        <w:t>Názov návrhu zákona:</w:t>
      </w:r>
      <w:r w:rsidRPr="00590278">
        <w:rPr>
          <w:rFonts w:ascii="Times New Roman" w:hAnsi="Times New Roman"/>
        </w:rPr>
        <w:t xml:space="preserve"> </w:t>
      </w:r>
    </w:p>
    <w:p w:rsidR="0099354A" w:rsidRPr="00590278" w:rsidRDefault="0099354A" w:rsidP="0099354A">
      <w:pPr>
        <w:pStyle w:val="Odsekzoznamu"/>
        <w:spacing w:before="120"/>
        <w:ind w:left="425" w:right="142"/>
        <w:contextualSpacing w:val="0"/>
        <w:rPr>
          <w:rFonts w:ascii="Times New Roman" w:hAnsi="Times New Roman"/>
          <w:lang w:val="x-none" w:eastAsia="x-none"/>
        </w:rPr>
      </w:pPr>
      <w:r w:rsidRPr="00590278">
        <w:rPr>
          <w:rFonts w:ascii="Times New Roman" w:hAnsi="Times New Roman"/>
          <w:bCs/>
          <w:lang w:val="x-none" w:eastAsia="x-none"/>
        </w:rPr>
        <w:t xml:space="preserve">Zákon, ktorým sa mení a dopĺňa zákon č. </w:t>
      </w:r>
      <w:r w:rsidRPr="00590278">
        <w:rPr>
          <w:rFonts w:ascii="Times New Roman" w:hAnsi="Times New Roman"/>
          <w:bCs/>
          <w:lang w:eastAsia="x-none"/>
        </w:rPr>
        <w:t>150</w:t>
      </w:r>
      <w:r w:rsidRPr="00590278">
        <w:rPr>
          <w:rFonts w:ascii="Times New Roman" w:hAnsi="Times New Roman"/>
          <w:bCs/>
          <w:lang w:val="x-none" w:eastAsia="x-none"/>
        </w:rPr>
        <w:t>/201</w:t>
      </w:r>
      <w:r w:rsidRPr="00590278">
        <w:rPr>
          <w:rFonts w:ascii="Times New Roman" w:hAnsi="Times New Roman"/>
          <w:bCs/>
          <w:lang w:eastAsia="x-none"/>
        </w:rPr>
        <w:t>3</w:t>
      </w:r>
      <w:r w:rsidRPr="00590278">
        <w:rPr>
          <w:rFonts w:ascii="Times New Roman" w:hAnsi="Times New Roman"/>
          <w:bCs/>
          <w:lang w:val="x-none" w:eastAsia="x-none"/>
        </w:rPr>
        <w:t xml:space="preserve"> Z. z. o </w:t>
      </w:r>
      <w:r w:rsidRPr="00590278">
        <w:rPr>
          <w:rFonts w:ascii="Times New Roman" w:hAnsi="Times New Roman"/>
          <w:bCs/>
          <w:lang w:eastAsia="x-none"/>
        </w:rPr>
        <w:t>Štátnom fonde rozvoja bývania</w:t>
      </w:r>
      <w:r w:rsidRPr="00590278">
        <w:rPr>
          <w:rFonts w:ascii="Times New Roman" w:hAnsi="Times New Roman"/>
          <w:bCs/>
          <w:lang w:val="x-none" w:eastAsia="x-none"/>
        </w:rPr>
        <w:t xml:space="preserve"> v znení neskorších predpisov</w:t>
      </w:r>
      <w:r w:rsidRPr="00590278">
        <w:rPr>
          <w:rFonts w:ascii="Times New Roman" w:hAnsi="Times New Roman"/>
          <w:bCs/>
          <w:lang w:eastAsia="x-none"/>
        </w:rPr>
        <w:t xml:space="preserve"> a ktorým sa menia a dopĺňajú niektoré zákony</w:t>
      </w:r>
      <w:r w:rsidRPr="00590278">
        <w:rPr>
          <w:rFonts w:ascii="Times New Roman" w:hAnsi="Times New Roman"/>
          <w:bCs/>
          <w:lang w:val="x-none" w:eastAsia="x-none"/>
        </w:rPr>
        <w:t xml:space="preserve"> </w:t>
      </w:r>
    </w:p>
    <w:p w:rsidR="0099354A" w:rsidRPr="00590278" w:rsidRDefault="0099354A" w:rsidP="0099354A">
      <w:pPr>
        <w:ind w:left="360" w:right="143" w:hanging="360"/>
        <w:rPr>
          <w:b/>
          <w:sz w:val="22"/>
          <w:szCs w:val="22"/>
        </w:rPr>
      </w:pPr>
      <w:r w:rsidRPr="00590278">
        <w:rPr>
          <w:b/>
          <w:sz w:val="22"/>
          <w:szCs w:val="22"/>
        </w:rPr>
        <w:t>3. Predmet návrhu zákona je upravený v práve Európskej únie:</w:t>
      </w:r>
    </w:p>
    <w:p w:rsidR="0099354A" w:rsidRPr="00590278" w:rsidRDefault="0099354A" w:rsidP="0099354A">
      <w:pPr>
        <w:ind w:right="143" w:firstLine="360"/>
        <w:rPr>
          <w:sz w:val="22"/>
          <w:szCs w:val="22"/>
        </w:rPr>
      </w:pPr>
    </w:p>
    <w:p w:rsidR="0099354A" w:rsidRPr="00590278" w:rsidRDefault="0099354A" w:rsidP="0099354A">
      <w:pPr>
        <w:pStyle w:val="Odsekzoznamu"/>
        <w:widowControl w:val="0"/>
        <w:numPr>
          <w:ilvl w:val="0"/>
          <w:numId w:val="2"/>
        </w:numPr>
        <w:autoSpaceDE w:val="0"/>
        <w:autoSpaceDN w:val="0"/>
        <w:adjustRightInd w:val="0"/>
        <w:spacing w:after="0" w:line="240" w:lineRule="auto"/>
        <w:ind w:right="143"/>
        <w:rPr>
          <w:rFonts w:ascii="Times New Roman" w:hAnsi="Times New Roman"/>
        </w:rPr>
      </w:pPr>
      <w:r w:rsidRPr="00590278">
        <w:rPr>
          <w:rFonts w:ascii="Times New Roman" w:hAnsi="Times New Roman"/>
        </w:rPr>
        <w:t>v primárnom práve,</w:t>
      </w:r>
    </w:p>
    <w:p w:rsidR="0099354A" w:rsidRPr="00590278" w:rsidRDefault="0099354A" w:rsidP="0099354A">
      <w:pPr>
        <w:numPr>
          <w:ilvl w:val="0"/>
          <w:numId w:val="6"/>
        </w:numPr>
        <w:autoSpaceDE w:val="0"/>
        <w:autoSpaceDN w:val="0"/>
        <w:ind w:left="1134" w:hanging="283"/>
        <w:rPr>
          <w:sz w:val="22"/>
          <w:szCs w:val="22"/>
        </w:rPr>
      </w:pPr>
      <w:r w:rsidRPr="00590278">
        <w:rPr>
          <w:sz w:val="22"/>
          <w:szCs w:val="22"/>
        </w:rPr>
        <w:t>čl. 18, 107 až 109 a 174 až 178 Zmluvy o fungovaní Európskej únie (Ú. v. EÚ C 202, 7.6.2016),</w:t>
      </w:r>
    </w:p>
    <w:p w:rsidR="0099354A" w:rsidRPr="00590278" w:rsidRDefault="0099354A" w:rsidP="0099354A">
      <w:pPr>
        <w:numPr>
          <w:ilvl w:val="0"/>
          <w:numId w:val="6"/>
        </w:numPr>
        <w:autoSpaceDE w:val="0"/>
        <w:autoSpaceDN w:val="0"/>
        <w:ind w:left="1134" w:right="143" w:hanging="283"/>
        <w:rPr>
          <w:sz w:val="22"/>
          <w:szCs w:val="22"/>
        </w:rPr>
      </w:pPr>
      <w:r w:rsidRPr="00590278">
        <w:rPr>
          <w:sz w:val="22"/>
          <w:szCs w:val="22"/>
        </w:rPr>
        <w:t>čl. 2, 6 a 9 Zmluvy o Európskej únii (Ú. v. EÚ C 202, 7.6.2016 ),</w:t>
      </w:r>
    </w:p>
    <w:p w:rsidR="0099354A" w:rsidRPr="00590278" w:rsidRDefault="0099354A" w:rsidP="0099354A">
      <w:pPr>
        <w:numPr>
          <w:ilvl w:val="0"/>
          <w:numId w:val="6"/>
        </w:numPr>
        <w:autoSpaceDE w:val="0"/>
        <w:autoSpaceDN w:val="0"/>
        <w:ind w:left="1134" w:right="143" w:hanging="283"/>
        <w:rPr>
          <w:sz w:val="22"/>
          <w:szCs w:val="22"/>
        </w:rPr>
      </w:pPr>
      <w:r w:rsidRPr="00590278">
        <w:rPr>
          <w:sz w:val="22"/>
          <w:szCs w:val="22"/>
        </w:rPr>
        <w:t>čl. 20 a 21 Charty základných práv Európskej únie (Ú. v. EÚ C 202, 7.6.2016)</w:t>
      </w:r>
    </w:p>
    <w:p w:rsidR="0099354A" w:rsidRPr="00590278" w:rsidRDefault="0099354A" w:rsidP="0099354A">
      <w:pPr>
        <w:pStyle w:val="Odsekzoznamu"/>
        <w:widowControl w:val="0"/>
        <w:numPr>
          <w:ilvl w:val="0"/>
          <w:numId w:val="2"/>
        </w:numPr>
        <w:autoSpaceDE w:val="0"/>
        <w:autoSpaceDN w:val="0"/>
        <w:adjustRightInd w:val="0"/>
        <w:spacing w:before="120" w:after="0" w:line="240" w:lineRule="auto"/>
        <w:ind w:right="144"/>
        <w:rPr>
          <w:rFonts w:ascii="Times New Roman" w:hAnsi="Times New Roman"/>
        </w:rPr>
      </w:pPr>
      <w:r w:rsidRPr="00590278">
        <w:rPr>
          <w:rFonts w:ascii="Times New Roman" w:hAnsi="Times New Roman"/>
        </w:rPr>
        <w:t>v sekundárnom práve,</w:t>
      </w:r>
    </w:p>
    <w:p w:rsidR="0099354A" w:rsidRPr="00590278" w:rsidRDefault="0099354A" w:rsidP="0099354A">
      <w:pPr>
        <w:pStyle w:val="Odsekzoznamu"/>
        <w:widowControl w:val="0"/>
        <w:numPr>
          <w:ilvl w:val="0"/>
          <w:numId w:val="3"/>
        </w:numPr>
        <w:autoSpaceDE w:val="0"/>
        <w:autoSpaceDN w:val="0"/>
        <w:adjustRightInd w:val="0"/>
        <w:spacing w:after="0" w:line="240" w:lineRule="auto"/>
        <w:ind w:right="143"/>
        <w:jc w:val="both"/>
        <w:rPr>
          <w:rFonts w:ascii="Times New Roman" w:hAnsi="Times New Roman"/>
        </w:rPr>
      </w:pPr>
      <w:r w:rsidRPr="00590278">
        <w:rPr>
          <w:rFonts w:ascii="Times New Roman" w:hAnsi="Times New Roman"/>
        </w:rPr>
        <w:t>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v platnom znení (Gestori ÚV SR, MD SR, MŠVVŠ SR, MZ SR, MV SR, MPSVR SR, MH SR, MŽP SR, MF SR),</w:t>
      </w:r>
    </w:p>
    <w:p w:rsidR="0099354A" w:rsidRPr="00590278" w:rsidRDefault="0099354A" w:rsidP="0099354A">
      <w:pPr>
        <w:pStyle w:val="Odsekzoznamu"/>
        <w:widowControl w:val="0"/>
        <w:numPr>
          <w:ilvl w:val="0"/>
          <w:numId w:val="3"/>
        </w:numPr>
        <w:autoSpaceDE w:val="0"/>
        <w:autoSpaceDN w:val="0"/>
        <w:adjustRightInd w:val="0"/>
        <w:spacing w:after="0" w:line="240" w:lineRule="auto"/>
        <w:ind w:right="143"/>
        <w:jc w:val="both"/>
        <w:rPr>
          <w:rFonts w:ascii="Times New Roman" w:hAnsi="Times New Roman"/>
        </w:rPr>
      </w:pPr>
      <w:r w:rsidRPr="00590278">
        <w:rPr>
          <w:rFonts w:ascii="Times New Roman" w:hAnsi="Times New Roman"/>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(Gestori ÚV SR, MD SR, MŠVVŠ SR, MZ SR, MV SR, MPSVR SR, MPRV SR, MH SR, MŽP SR, MF SR),</w:t>
      </w:r>
    </w:p>
    <w:p w:rsidR="0099354A" w:rsidRPr="00590278" w:rsidRDefault="0099354A" w:rsidP="0099354A">
      <w:pPr>
        <w:pStyle w:val="Odsekzoznamu"/>
        <w:widowControl w:val="0"/>
        <w:numPr>
          <w:ilvl w:val="0"/>
          <w:numId w:val="3"/>
        </w:numPr>
        <w:autoSpaceDE w:val="0"/>
        <w:autoSpaceDN w:val="0"/>
        <w:adjustRightInd w:val="0"/>
        <w:spacing w:after="0" w:line="240" w:lineRule="auto"/>
        <w:ind w:right="143"/>
        <w:jc w:val="both"/>
        <w:rPr>
          <w:rFonts w:ascii="Times New Roman" w:hAnsi="Times New Roman"/>
        </w:rPr>
      </w:pPr>
      <w:r w:rsidRPr="00590278">
        <w:rPr>
          <w:rFonts w:ascii="Times New Roman" w:hAnsi="Times New Roman"/>
        </w:rPr>
        <w:t>Nariadenie Európskeho parlamentu a Rady (EÚ) 2020/558 z 23. apríla 2020, ktorým sa menia nariadenia (EÚ) č. 1301/2013 a (EÚ) č. 1303/2013, pokiaľ ide o špecifické opatrenia na zabezpečenie mimoriadnej flexibility pri využívaní európskych štrukturálnych a investičných fondov v reakcii na výskyt ochorenia COVID-19 (Ú. v. EÚ L 130, 24.4.2020) (Gestori MIRRI SR, MF SR, MD SR,</w:t>
      </w:r>
      <w:r w:rsidRPr="00590278">
        <w:rPr>
          <w:rFonts w:ascii="Times New Roman" w:hAnsi="Times New Roman"/>
          <w:color w:val="FF0000"/>
        </w:rPr>
        <w:t xml:space="preserve"> </w:t>
      </w:r>
      <w:r w:rsidRPr="00590278">
        <w:rPr>
          <w:rFonts w:ascii="Times New Roman" w:hAnsi="Times New Roman"/>
        </w:rPr>
        <w:t>MŠVVŠ SR, MPSVR SR,</w:t>
      </w:r>
      <w:r w:rsidRPr="00590278">
        <w:rPr>
          <w:rFonts w:ascii="Times New Roman" w:hAnsi="Times New Roman"/>
          <w:color w:val="FF0000"/>
        </w:rPr>
        <w:t xml:space="preserve"> </w:t>
      </w:r>
      <w:r w:rsidRPr="00590278">
        <w:rPr>
          <w:rFonts w:ascii="Times New Roman" w:hAnsi="Times New Roman"/>
        </w:rPr>
        <w:t>MPRV SR, MH SR, MZ SR, MV SR,</w:t>
      </w:r>
      <w:r w:rsidRPr="00590278">
        <w:rPr>
          <w:rFonts w:ascii="Times New Roman" w:hAnsi="Times New Roman"/>
          <w:color w:val="FF0000"/>
        </w:rPr>
        <w:t xml:space="preserve"> </w:t>
      </w:r>
      <w:r w:rsidRPr="00590278">
        <w:rPr>
          <w:rFonts w:ascii="Times New Roman" w:hAnsi="Times New Roman"/>
        </w:rPr>
        <w:t>MŽP SR,)</w:t>
      </w:r>
    </w:p>
    <w:p w:rsidR="0099354A" w:rsidRPr="00590278" w:rsidRDefault="0099354A" w:rsidP="0099354A">
      <w:pPr>
        <w:pStyle w:val="Odsekzoznamu"/>
        <w:widowControl w:val="0"/>
        <w:numPr>
          <w:ilvl w:val="0"/>
          <w:numId w:val="2"/>
        </w:numPr>
        <w:autoSpaceDE w:val="0"/>
        <w:autoSpaceDN w:val="0"/>
        <w:adjustRightInd w:val="0"/>
        <w:spacing w:before="120" w:after="0" w:line="240" w:lineRule="auto"/>
        <w:ind w:right="144"/>
        <w:contextualSpacing w:val="0"/>
        <w:rPr>
          <w:rFonts w:ascii="Times New Roman" w:hAnsi="Times New Roman"/>
        </w:rPr>
      </w:pPr>
      <w:r w:rsidRPr="00590278">
        <w:rPr>
          <w:rFonts w:ascii="Times New Roman" w:hAnsi="Times New Roman"/>
        </w:rPr>
        <w:t>v judikatúre Súdneho dvora Európskej únie.</w:t>
      </w:r>
    </w:p>
    <w:p w:rsidR="0099354A" w:rsidRPr="00590278" w:rsidRDefault="0099354A" w:rsidP="0099354A">
      <w:pPr>
        <w:pStyle w:val="Odsekzoznamu"/>
        <w:ind w:right="143"/>
        <w:rPr>
          <w:rFonts w:ascii="Times New Roman" w:hAnsi="Times New Roman"/>
        </w:rPr>
      </w:pPr>
      <w:r w:rsidRPr="00590278">
        <w:rPr>
          <w:rFonts w:ascii="Times New Roman" w:hAnsi="Times New Roman"/>
        </w:rPr>
        <w:t>Problematika návrhu zákona nie je v judikatúre Súdneho dvora Európskej únie obsiahnutá.</w:t>
      </w:r>
    </w:p>
    <w:p w:rsidR="0099354A" w:rsidRPr="00590278" w:rsidRDefault="0099354A" w:rsidP="0099354A">
      <w:pPr>
        <w:jc w:val="both"/>
        <w:rPr>
          <w:b/>
          <w:sz w:val="22"/>
          <w:szCs w:val="22"/>
        </w:rPr>
      </w:pPr>
      <w:r w:rsidRPr="00590278">
        <w:rPr>
          <w:b/>
          <w:sz w:val="22"/>
          <w:szCs w:val="22"/>
        </w:rPr>
        <w:t>4. Záväzky Slovenskej republiky vo vzťahu k Európskej únii:</w:t>
      </w:r>
    </w:p>
    <w:p w:rsidR="0099354A" w:rsidRPr="00590278" w:rsidRDefault="0099354A" w:rsidP="0099354A">
      <w:pPr>
        <w:pStyle w:val="ListParagraph1"/>
        <w:numPr>
          <w:ilvl w:val="0"/>
          <w:numId w:val="4"/>
        </w:numPr>
        <w:autoSpaceDE w:val="0"/>
        <w:autoSpaceDN w:val="0"/>
        <w:adjustRightInd w:val="0"/>
        <w:jc w:val="both"/>
        <w:rPr>
          <w:sz w:val="22"/>
          <w:szCs w:val="22"/>
          <w:lang w:val="sk-SK"/>
        </w:rPr>
      </w:pPr>
      <w:r w:rsidRPr="00590278">
        <w:rPr>
          <w:sz w:val="22"/>
          <w:szCs w:val="22"/>
          <w:lang w:val="sk-SK"/>
        </w:rPr>
        <w:t>uviesť lehotu na prebratie príslušného právneho aktu Európskej únie, príp. aj osobitnú lehotu účinnosti jeho ustanovení,</w:t>
      </w:r>
    </w:p>
    <w:p w:rsidR="0099354A" w:rsidRPr="00590278" w:rsidRDefault="0099354A" w:rsidP="0099354A">
      <w:pPr>
        <w:pStyle w:val="Odsekzoznamu"/>
        <w:spacing w:before="120"/>
        <w:ind w:left="1440" w:hanging="731"/>
        <w:jc w:val="both"/>
        <w:rPr>
          <w:rFonts w:ascii="Times New Roman" w:hAnsi="Times New Roman"/>
        </w:rPr>
      </w:pPr>
      <w:r w:rsidRPr="00590278">
        <w:rPr>
          <w:rFonts w:ascii="Times New Roman" w:hAnsi="Times New Roman"/>
        </w:rPr>
        <w:t>Bezpredmetné</w:t>
      </w:r>
    </w:p>
    <w:p w:rsidR="0099354A" w:rsidRPr="00590278" w:rsidRDefault="0099354A" w:rsidP="0099354A">
      <w:pPr>
        <w:pStyle w:val="ListParagraph1"/>
        <w:numPr>
          <w:ilvl w:val="0"/>
          <w:numId w:val="4"/>
        </w:numPr>
        <w:autoSpaceDE w:val="0"/>
        <w:autoSpaceDN w:val="0"/>
        <w:adjustRightInd w:val="0"/>
        <w:contextualSpacing w:val="0"/>
        <w:jc w:val="both"/>
        <w:rPr>
          <w:sz w:val="22"/>
          <w:szCs w:val="22"/>
          <w:lang w:val="sk-SK"/>
        </w:rPr>
      </w:pPr>
      <w:r w:rsidRPr="00590278">
        <w:rPr>
          <w:sz w:val="22"/>
          <w:szCs w:val="22"/>
          <w:lang w:val="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99354A" w:rsidRPr="00590278" w:rsidRDefault="0099354A" w:rsidP="0099354A">
      <w:pPr>
        <w:pStyle w:val="ListParagraph1"/>
        <w:autoSpaceDE w:val="0"/>
        <w:autoSpaceDN w:val="0"/>
        <w:adjustRightInd w:val="0"/>
        <w:spacing w:before="120"/>
        <w:contextualSpacing w:val="0"/>
        <w:jc w:val="both"/>
        <w:rPr>
          <w:sz w:val="22"/>
          <w:szCs w:val="22"/>
          <w:lang w:val="sk-SK"/>
        </w:rPr>
      </w:pPr>
      <w:r w:rsidRPr="00590278">
        <w:rPr>
          <w:sz w:val="22"/>
          <w:szCs w:val="22"/>
          <w:lang w:val="sk-SK"/>
        </w:rPr>
        <w:t>Bezpredmetné</w:t>
      </w:r>
    </w:p>
    <w:p w:rsidR="0099354A" w:rsidRPr="00590278" w:rsidRDefault="0099354A" w:rsidP="0099354A">
      <w:pPr>
        <w:pStyle w:val="ListParagraph1"/>
        <w:autoSpaceDE w:val="0"/>
        <w:autoSpaceDN w:val="0"/>
        <w:adjustRightInd w:val="0"/>
        <w:jc w:val="both"/>
        <w:rPr>
          <w:sz w:val="22"/>
          <w:szCs w:val="22"/>
          <w:lang w:val="sk-SK"/>
        </w:rPr>
      </w:pPr>
    </w:p>
    <w:p w:rsidR="0099354A" w:rsidRPr="00590278" w:rsidRDefault="0099354A" w:rsidP="0099354A">
      <w:pPr>
        <w:pStyle w:val="ListParagraph1"/>
        <w:numPr>
          <w:ilvl w:val="0"/>
          <w:numId w:val="4"/>
        </w:numPr>
        <w:autoSpaceDE w:val="0"/>
        <w:autoSpaceDN w:val="0"/>
        <w:adjustRightInd w:val="0"/>
        <w:jc w:val="both"/>
        <w:rPr>
          <w:sz w:val="22"/>
          <w:szCs w:val="22"/>
          <w:lang w:val="sk-SK"/>
        </w:rPr>
      </w:pPr>
      <w:r w:rsidRPr="00590278">
        <w:rPr>
          <w:sz w:val="22"/>
          <w:szCs w:val="22"/>
          <w:lang w:val="sk-SK"/>
        </w:rPr>
        <w:t>uviesť informáciu o právnych predpisoch, v ktorých sú uvádzané právne akty Európskej únie už prebrané, spolu s uvedením rozsahu ich prebrania, príp. potreby prijatia ďalších úprav.</w:t>
      </w:r>
    </w:p>
    <w:p w:rsidR="0099354A" w:rsidRPr="00590278" w:rsidRDefault="0099354A" w:rsidP="0099354A">
      <w:pPr>
        <w:pStyle w:val="ListParagraph1"/>
        <w:autoSpaceDE w:val="0"/>
        <w:autoSpaceDN w:val="0"/>
        <w:adjustRightInd w:val="0"/>
        <w:spacing w:before="120"/>
        <w:ind w:left="360" w:firstLine="349"/>
        <w:contextualSpacing w:val="0"/>
        <w:jc w:val="both"/>
        <w:rPr>
          <w:sz w:val="22"/>
          <w:szCs w:val="22"/>
          <w:lang w:val="sk-SK"/>
        </w:rPr>
      </w:pPr>
      <w:r w:rsidRPr="00590278">
        <w:rPr>
          <w:sz w:val="22"/>
          <w:szCs w:val="22"/>
          <w:lang w:val="sk-SK"/>
        </w:rPr>
        <w:t>Bezpredmetné</w:t>
      </w:r>
    </w:p>
    <w:p w:rsidR="0099354A" w:rsidRPr="00590278" w:rsidRDefault="0099354A" w:rsidP="0099354A">
      <w:pPr>
        <w:pStyle w:val="ListParagraph1"/>
        <w:autoSpaceDE w:val="0"/>
        <w:autoSpaceDN w:val="0"/>
        <w:adjustRightInd w:val="0"/>
        <w:ind w:left="1080"/>
        <w:jc w:val="both"/>
        <w:rPr>
          <w:sz w:val="22"/>
          <w:szCs w:val="22"/>
          <w:lang w:val="sk-SK"/>
        </w:rPr>
      </w:pPr>
    </w:p>
    <w:p w:rsidR="0099354A" w:rsidRPr="00590278" w:rsidRDefault="0099354A" w:rsidP="0099354A">
      <w:pPr>
        <w:ind w:left="284" w:hanging="284"/>
        <w:jc w:val="both"/>
        <w:rPr>
          <w:b/>
          <w:sz w:val="22"/>
          <w:szCs w:val="22"/>
        </w:rPr>
      </w:pPr>
      <w:r w:rsidRPr="00590278">
        <w:rPr>
          <w:b/>
          <w:sz w:val="22"/>
          <w:szCs w:val="22"/>
        </w:rPr>
        <w:t>5. Návrh právneho predpisu je zlučiteľný s právom Európskej únie:</w:t>
      </w:r>
    </w:p>
    <w:p w:rsidR="0099354A" w:rsidRDefault="0099354A" w:rsidP="0099354A">
      <w:pPr>
        <w:pStyle w:val="ListParagraph1"/>
        <w:numPr>
          <w:ilvl w:val="0"/>
          <w:numId w:val="5"/>
        </w:numPr>
        <w:autoSpaceDE w:val="0"/>
        <w:autoSpaceDN w:val="0"/>
        <w:adjustRightInd w:val="0"/>
        <w:jc w:val="both"/>
        <w:rPr>
          <w:sz w:val="22"/>
          <w:szCs w:val="22"/>
        </w:rPr>
      </w:pPr>
      <w:proofErr w:type="spellStart"/>
      <w:r w:rsidRPr="00590278">
        <w:rPr>
          <w:sz w:val="22"/>
          <w:szCs w:val="22"/>
        </w:rPr>
        <w:t>úplne</w:t>
      </w:r>
      <w:proofErr w:type="spellEnd"/>
    </w:p>
    <w:p w:rsidR="0099354A" w:rsidRDefault="0099354A" w:rsidP="0099354A">
      <w:pPr>
        <w:pStyle w:val="ListParagraph1"/>
        <w:autoSpaceDE w:val="0"/>
        <w:autoSpaceDN w:val="0"/>
        <w:adjustRightInd w:val="0"/>
        <w:jc w:val="both"/>
        <w:rPr>
          <w:sz w:val="22"/>
          <w:szCs w:val="22"/>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99354A">
      <w:pPr>
        <w:jc w:val="center"/>
        <w:rPr>
          <w:b/>
          <w:sz w:val="28"/>
          <w:szCs w:val="28"/>
        </w:rPr>
      </w:pPr>
    </w:p>
    <w:p w:rsidR="00330DF9" w:rsidRDefault="00330DF9" w:rsidP="00447444">
      <w:pPr>
        <w:rPr>
          <w:b/>
          <w:sz w:val="28"/>
          <w:szCs w:val="28"/>
        </w:rPr>
      </w:pPr>
    </w:p>
    <w:p w:rsidR="00330DF9" w:rsidRDefault="00330DF9" w:rsidP="0099354A">
      <w:pPr>
        <w:jc w:val="center"/>
        <w:rPr>
          <w:b/>
          <w:sz w:val="28"/>
          <w:szCs w:val="28"/>
        </w:rPr>
      </w:pPr>
    </w:p>
    <w:p w:rsidR="0099354A" w:rsidRDefault="0099354A" w:rsidP="0099354A">
      <w:pPr>
        <w:jc w:val="center"/>
        <w:rPr>
          <w:b/>
          <w:sz w:val="28"/>
          <w:szCs w:val="28"/>
        </w:rPr>
      </w:pPr>
      <w:r>
        <w:rPr>
          <w:b/>
          <w:sz w:val="28"/>
          <w:szCs w:val="28"/>
        </w:rPr>
        <w:t>D</w:t>
      </w:r>
      <w:r w:rsidRPr="006045CB">
        <w:rPr>
          <w:b/>
          <w:sz w:val="28"/>
          <w:szCs w:val="28"/>
        </w:rPr>
        <w:t>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9354A" w:rsidRPr="00B043B4" w:rsidTr="00330DF9">
        <w:tc>
          <w:tcPr>
            <w:tcW w:w="9180" w:type="dxa"/>
            <w:gridSpan w:val="11"/>
            <w:tcBorders>
              <w:bottom w:val="single" w:sz="4" w:space="0" w:color="FFFFFF"/>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Základné údaje</w:t>
            </w:r>
          </w:p>
        </w:tc>
      </w:tr>
      <w:tr w:rsidR="0099354A" w:rsidRPr="00B043B4" w:rsidTr="00330DF9">
        <w:tc>
          <w:tcPr>
            <w:tcW w:w="9180" w:type="dxa"/>
            <w:gridSpan w:val="11"/>
            <w:tcBorders>
              <w:bottom w:val="single" w:sz="4" w:space="0" w:color="FFFFFF"/>
            </w:tcBorders>
            <w:shd w:val="clear" w:color="auto" w:fill="E2E2E2"/>
          </w:tcPr>
          <w:p w:rsidR="0099354A" w:rsidRPr="00B043B4" w:rsidRDefault="0099354A" w:rsidP="00330DF9">
            <w:pPr>
              <w:spacing w:after="200" w:line="276" w:lineRule="auto"/>
              <w:ind w:left="142"/>
              <w:contextualSpacing/>
              <w:rPr>
                <w:rFonts w:eastAsia="Calibri"/>
                <w:b/>
              </w:rPr>
            </w:pPr>
            <w:r w:rsidRPr="00B043B4">
              <w:rPr>
                <w:rFonts w:eastAsia="Calibri"/>
                <w:b/>
              </w:rPr>
              <w:t>Názov materiálu</w:t>
            </w:r>
          </w:p>
        </w:tc>
      </w:tr>
      <w:tr w:rsidR="0099354A" w:rsidRPr="00B043B4" w:rsidTr="00330DF9">
        <w:tc>
          <w:tcPr>
            <w:tcW w:w="9180" w:type="dxa"/>
            <w:gridSpan w:val="11"/>
            <w:tcBorders>
              <w:top w:val="single" w:sz="4" w:space="0" w:color="FFFFFF"/>
              <w:bottom w:val="single" w:sz="4" w:space="0" w:color="auto"/>
            </w:tcBorders>
          </w:tcPr>
          <w:p w:rsidR="0099354A" w:rsidRPr="005E6CA9" w:rsidRDefault="0099354A" w:rsidP="00330DF9">
            <w:pPr>
              <w:tabs>
                <w:tab w:val="num" w:pos="1288"/>
              </w:tabs>
              <w:jc w:val="both"/>
              <w:rPr>
                <w:sz w:val="20"/>
                <w:szCs w:val="20"/>
                <w:lang w:val="x-none"/>
              </w:rPr>
            </w:pPr>
            <w:r w:rsidRPr="007F5CF8">
              <w:rPr>
                <w:bCs/>
                <w:sz w:val="20"/>
                <w:szCs w:val="20"/>
              </w:rPr>
              <w:t>Zákon</w:t>
            </w:r>
            <w:r w:rsidRPr="000100C1">
              <w:rPr>
                <w:bCs/>
                <w:sz w:val="20"/>
                <w:szCs w:val="20"/>
                <w:lang w:val="x-none"/>
              </w:rPr>
              <w:t xml:space="preserve">, ktorým sa mení a dopĺňa zákon č. </w:t>
            </w:r>
            <w:r w:rsidRPr="000100C1">
              <w:rPr>
                <w:bCs/>
                <w:sz w:val="20"/>
                <w:szCs w:val="20"/>
              </w:rPr>
              <w:t>150</w:t>
            </w:r>
            <w:r w:rsidRPr="000100C1">
              <w:rPr>
                <w:bCs/>
                <w:sz w:val="20"/>
                <w:szCs w:val="20"/>
                <w:lang w:val="x-none"/>
              </w:rPr>
              <w:t>/201</w:t>
            </w:r>
            <w:r w:rsidRPr="000100C1">
              <w:rPr>
                <w:bCs/>
                <w:sz w:val="20"/>
                <w:szCs w:val="20"/>
              </w:rPr>
              <w:t>3</w:t>
            </w:r>
            <w:r w:rsidRPr="000100C1">
              <w:rPr>
                <w:bCs/>
                <w:sz w:val="20"/>
                <w:szCs w:val="20"/>
                <w:lang w:val="x-none"/>
              </w:rPr>
              <w:t xml:space="preserve"> Z. z. o </w:t>
            </w:r>
            <w:r w:rsidRPr="000100C1">
              <w:rPr>
                <w:bCs/>
                <w:sz w:val="20"/>
                <w:szCs w:val="20"/>
              </w:rPr>
              <w:t>Štátnom fonde rozvoja bývania</w:t>
            </w:r>
            <w:r w:rsidRPr="000100C1">
              <w:rPr>
                <w:bCs/>
                <w:sz w:val="20"/>
                <w:szCs w:val="20"/>
                <w:lang w:val="x-none"/>
              </w:rPr>
              <w:t xml:space="preserve"> v znení neskorších predpisov</w:t>
            </w:r>
            <w:r>
              <w:rPr>
                <w:bCs/>
                <w:sz w:val="20"/>
                <w:szCs w:val="20"/>
              </w:rPr>
              <w:t xml:space="preserve"> a ktorým sa menia a dopĺňajú niektoré zákony</w:t>
            </w:r>
            <w:r w:rsidRPr="000100C1">
              <w:rPr>
                <w:bCs/>
                <w:sz w:val="20"/>
                <w:szCs w:val="20"/>
                <w:lang w:val="x-none"/>
              </w:rPr>
              <w:t xml:space="preserve"> </w:t>
            </w:r>
          </w:p>
        </w:tc>
      </w:tr>
      <w:tr w:rsidR="0099354A" w:rsidRPr="00B043B4" w:rsidTr="00330DF9">
        <w:tc>
          <w:tcPr>
            <w:tcW w:w="9180" w:type="dxa"/>
            <w:gridSpan w:val="11"/>
            <w:tcBorders>
              <w:top w:val="single" w:sz="4" w:space="0" w:color="auto"/>
              <w:left w:val="single" w:sz="4" w:space="0" w:color="auto"/>
              <w:bottom w:val="single" w:sz="4" w:space="0" w:color="FFFFFF"/>
            </w:tcBorders>
            <w:shd w:val="clear" w:color="auto" w:fill="E2E2E2"/>
          </w:tcPr>
          <w:p w:rsidR="0099354A" w:rsidRPr="00B043B4" w:rsidRDefault="0099354A" w:rsidP="00330DF9">
            <w:pPr>
              <w:spacing w:after="200" w:line="276" w:lineRule="auto"/>
              <w:ind w:left="142"/>
              <w:contextualSpacing/>
              <w:rPr>
                <w:rFonts w:eastAsia="Calibri"/>
                <w:b/>
              </w:rPr>
            </w:pPr>
            <w:r w:rsidRPr="00B043B4">
              <w:rPr>
                <w:rFonts w:eastAsia="Calibri"/>
                <w:b/>
              </w:rPr>
              <w:t>Predkladateľ (a spolupredkladateľ)</w:t>
            </w:r>
          </w:p>
        </w:tc>
      </w:tr>
      <w:tr w:rsidR="0099354A" w:rsidRPr="00B043B4" w:rsidTr="00330DF9">
        <w:tc>
          <w:tcPr>
            <w:tcW w:w="9180" w:type="dxa"/>
            <w:gridSpan w:val="11"/>
            <w:tcBorders>
              <w:top w:val="single" w:sz="4" w:space="0" w:color="FFFFFF"/>
              <w:left w:val="single" w:sz="4" w:space="0" w:color="auto"/>
              <w:bottom w:val="single" w:sz="4" w:space="0" w:color="auto"/>
            </w:tcBorders>
            <w:shd w:val="clear" w:color="auto" w:fill="FFFFFF"/>
          </w:tcPr>
          <w:p w:rsidR="0099354A" w:rsidRPr="00B043B4" w:rsidRDefault="00330DF9" w:rsidP="00330DF9">
            <w:pPr>
              <w:rPr>
                <w:sz w:val="20"/>
                <w:szCs w:val="20"/>
              </w:rPr>
            </w:pPr>
            <w:r>
              <w:rPr>
                <w:sz w:val="20"/>
                <w:szCs w:val="20"/>
              </w:rPr>
              <w:t>Miloš SVRČEK</w:t>
            </w:r>
          </w:p>
        </w:tc>
      </w:tr>
      <w:tr w:rsidR="0099354A" w:rsidRPr="00B043B4" w:rsidTr="00330DF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9354A" w:rsidRPr="00B043B4" w:rsidRDefault="0099354A" w:rsidP="00330DF9">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99354A" w:rsidRPr="00B043B4" w:rsidRDefault="0099354A" w:rsidP="00330DF9">
            <w:pPr>
              <w:rPr>
                <w:sz w:val="20"/>
                <w:szCs w:val="20"/>
              </w:rPr>
            </w:pPr>
            <w:r w:rsidRPr="00B043B4">
              <w:rPr>
                <w:sz w:val="20"/>
                <w:szCs w:val="20"/>
              </w:rPr>
              <w:t>Materiál nelegislatívnej povahy</w:t>
            </w:r>
          </w:p>
        </w:tc>
      </w:tr>
      <w:tr w:rsidR="0099354A" w:rsidRPr="00B043B4" w:rsidTr="00330DF9">
        <w:tc>
          <w:tcPr>
            <w:tcW w:w="4212" w:type="dxa"/>
            <w:gridSpan w:val="2"/>
            <w:vMerge/>
            <w:tcBorders>
              <w:top w:val="nil"/>
              <w:left w:val="single" w:sz="4" w:space="0" w:color="auto"/>
              <w:bottom w:val="single" w:sz="4" w:space="0" w:color="FFFFFF"/>
            </w:tcBorders>
            <w:shd w:val="clear" w:color="auto" w:fill="E2E2E2"/>
          </w:tcPr>
          <w:p w:rsidR="0099354A" w:rsidRPr="00B043B4" w:rsidRDefault="0099354A" w:rsidP="00330DF9">
            <w:pPr>
              <w:rPr>
                <w:sz w:val="20"/>
                <w:szCs w:val="20"/>
              </w:rPr>
            </w:pPr>
          </w:p>
        </w:tc>
        <w:sdt>
          <w:sdtPr>
            <w:rPr>
              <w:sz w:val="20"/>
              <w:szCs w:val="20"/>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99354A" w:rsidRPr="00B043B4" w:rsidRDefault="0099354A" w:rsidP="00330DF9">
            <w:pPr>
              <w:ind w:left="175" w:hanging="175"/>
              <w:rPr>
                <w:sz w:val="20"/>
                <w:szCs w:val="20"/>
              </w:rPr>
            </w:pPr>
            <w:r w:rsidRPr="00B043B4">
              <w:rPr>
                <w:sz w:val="20"/>
                <w:szCs w:val="20"/>
              </w:rPr>
              <w:t>Materiál legislatívnej povahy</w:t>
            </w:r>
          </w:p>
        </w:tc>
      </w:tr>
      <w:tr w:rsidR="0099354A" w:rsidRPr="00B043B4" w:rsidTr="00330DF9">
        <w:tc>
          <w:tcPr>
            <w:tcW w:w="4212" w:type="dxa"/>
            <w:gridSpan w:val="2"/>
            <w:vMerge/>
            <w:tcBorders>
              <w:top w:val="nil"/>
              <w:left w:val="single" w:sz="4" w:space="0" w:color="auto"/>
              <w:bottom w:val="single" w:sz="4" w:space="0" w:color="auto"/>
            </w:tcBorders>
            <w:shd w:val="clear" w:color="auto" w:fill="E2E2E2"/>
          </w:tcPr>
          <w:p w:rsidR="0099354A" w:rsidRPr="00B043B4" w:rsidRDefault="0099354A" w:rsidP="00330DF9">
            <w:pPr>
              <w:rPr>
                <w:sz w:val="20"/>
                <w:szCs w:val="20"/>
              </w:rPr>
            </w:pPr>
          </w:p>
        </w:tc>
        <w:sdt>
          <w:sdtPr>
            <w:rPr>
              <w:sz w:val="20"/>
              <w:szCs w:val="20"/>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99354A" w:rsidRPr="00B043B4" w:rsidRDefault="0099354A" w:rsidP="00330DF9">
            <w:pPr>
              <w:rPr>
                <w:sz w:val="20"/>
                <w:szCs w:val="20"/>
              </w:rPr>
            </w:pPr>
            <w:r w:rsidRPr="00B043B4">
              <w:rPr>
                <w:sz w:val="20"/>
                <w:szCs w:val="20"/>
              </w:rPr>
              <w:t>Transpozícia práva EÚ</w:t>
            </w:r>
          </w:p>
        </w:tc>
      </w:tr>
      <w:tr w:rsidR="0099354A" w:rsidRPr="00B043B4" w:rsidTr="00330DF9">
        <w:tc>
          <w:tcPr>
            <w:tcW w:w="9180" w:type="dxa"/>
            <w:gridSpan w:val="11"/>
            <w:tcBorders>
              <w:top w:val="single" w:sz="4" w:space="0" w:color="auto"/>
              <w:left w:val="single" w:sz="4" w:space="0" w:color="auto"/>
              <w:bottom w:val="single" w:sz="4" w:space="0" w:color="FFFFFF"/>
            </w:tcBorders>
            <w:shd w:val="clear" w:color="auto" w:fill="FFFFFF"/>
          </w:tcPr>
          <w:p w:rsidR="0099354A" w:rsidRPr="00B043B4" w:rsidRDefault="0099354A" w:rsidP="00330DF9">
            <w:pPr>
              <w:rPr>
                <w:i/>
                <w:sz w:val="20"/>
                <w:szCs w:val="20"/>
              </w:rPr>
            </w:pPr>
            <w:r w:rsidRPr="00B043B4">
              <w:rPr>
                <w:i/>
                <w:sz w:val="20"/>
                <w:szCs w:val="20"/>
              </w:rPr>
              <w:t>V prípade transpozície uveďte zoznam transponovaných predpisov:</w:t>
            </w:r>
          </w:p>
          <w:p w:rsidR="0099354A" w:rsidRPr="00B043B4" w:rsidRDefault="0099354A" w:rsidP="00330DF9">
            <w:pPr>
              <w:rPr>
                <w:sz w:val="20"/>
                <w:szCs w:val="20"/>
              </w:rPr>
            </w:pPr>
            <w:r w:rsidRPr="00E31524">
              <w:rPr>
                <w:sz w:val="20"/>
                <w:szCs w:val="20"/>
              </w:rPr>
              <w:t>Žiadne</w:t>
            </w:r>
            <w:r>
              <w:rPr>
                <w:sz w:val="20"/>
                <w:szCs w:val="20"/>
              </w:rPr>
              <w:t>.</w:t>
            </w:r>
          </w:p>
        </w:tc>
      </w:tr>
      <w:tr w:rsidR="0099354A" w:rsidRPr="00B043B4" w:rsidTr="00330DF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9354A" w:rsidRPr="00B043B4" w:rsidRDefault="0099354A" w:rsidP="00330DF9">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99354A" w:rsidRPr="00B043B4" w:rsidRDefault="0099354A" w:rsidP="00330DF9">
            <w:pPr>
              <w:rPr>
                <w:i/>
                <w:sz w:val="20"/>
                <w:szCs w:val="20"/>
              </w:rPr>
            </w:pPr>
          </w:p>
        </w:tc>
      </w:tr>
      <w:tr w:rsidR="0099354A" w:rsidRPr="00B043B4" w:rsidTr="00330DF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9354A" w:rsidRPr="00B043B4" w:rsidRDefault="0099354A" w:rsidP="00330DF9">
            <w:pPr>
              <w:rPr>
                <w:i/>
                <w:sz w:val="20"/>
                <w:szCs w:val="20"/>
              </w:rPr>
            </w:pPr>
          </w:p>
        </w:tc>
      </w:tr>
      <w:tr w:rsidR="0099354A" w:rsidRPr="00B043B4" w:rsidTr="00330DF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99354A" w:rsidRPr="00B043B4" w:rsidRDefault="0099354A" w:rsidP="00330DF9">
            <w:pPr>
              <w:rPr>
                <w:i/>
                <w:sz w:val="20"/>
                <w:szCs w:val="20"/>
              </w:rPr>
            </w:pPr>
          </w:p>
        </w:tc>
      </w:tr>
      <w:tr w:rsidR="0099354A" w:rsidRPr="00B043B4" w:rsidTr="00330DF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99354A" w:rsidRPr="00B043B4" w:rsidRDefault="0099354A" w:rsidP="00330DF9">
            <w:pPr>
              <w:rPr>
                <w:i/>
                <w:sz w:val="20"/>
                <w:szCs w:val="20"/>
              </w:rPr>
            </w:pPr>
          </w:p>
        </w:tc>
      </w:tr>
      <w:tr w:rsidR="0099354A" w:rsidRPr="00B043B4" w:rsidTr="00330DF9">
        <w:tc>
          <w:tcPr>
            <w:tcW w:w="9180" w:type="dxa"/>
            <w:gridSpan w:val="11"/>
            <w:tcBorders>
              <w:top w:val="single" w:sz="4" w:space="0" w:color="auto"/>
              <w:left w:val="nil"/>
              <w:bottom w:val="single" w:sz="4" w:space="0" w:color="auto"/>
              <w:right w:val="nil"/>
            </w:tcBorders>
            <w:shd w:val="clear" w:color="auto" w:fill="FFFFFF"/>
          </w:tcPr>
          <w:p w:rsidR="0099354A" w:rsidRPr="00B043B4" w:rsidRDefault="0099354A" w:rsidP="00330DF9">
            <w:pPr>
              <w:rPr>
                <w:sz w:val="20"/>
                <w:szCs w:val="20"/>
              </w:rPr>
            </w:pPr>
          </w:p>
        </w:tc>
      </w:tr>
      <w:tr w:rsidR="0099354A" w:rsidRPr="00B043B4" w:rsidTr="00330DF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Definovanie problému</w:t>
            </w:r>
          </w:p>
        </w:tc>
      </w:tr>
      <w:tr w:rsidR="0099354A" w:rsidRPr="00B043B4" w:rsidTr="00330DF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9354A" w:rsidRPr="00B043B4" w:rsidRDefault="0099354A" w:rsidP="00330DF9">
            <w:pPr>
              <w:jc w:val="both"/>
              <w:rPr>
                <w:i/>
                <w:sz w:val="20"/>
                <w:szCs w:val="20"/>
              </w:rPr>
            </w:pPr>
            <w:r w:rsidRPr="00B043B4">
              <w:rPr>
                <w:i/>
                <w:sz w:val="20"/>
                <w:szCs w:val="20"/>
              </w:rPr>
              <w:t>Uveďte základné problémy, ktoré sú dôvodom vypracovania predkladaného  materiálu (dôvody majú presne poukázať na problém, ktorý existuje a je nutné ho predloženým materiálom riešiť).</w:t>
            </w:r>
          </w:p>
          <w:p w:rsidR="0099354A" w:rsidRPr="00B043B4" w:rsidRDefault="0099354A" w:rsidP="00330DF9">
            <w:pPr>
              <w:jc w:val="both"/>
              <w:rPr>
                <w:b/>
                <w:sz w:val="20"/>
                <w:szCs w:val="20"/>
              </w:rPr>
            </w:pPr>
            <w:r w:rsidRPr="00041B4D">
              <w:rPr>
                <w:bCs/>
                <w:sz w:val="20"/>
                <w:szCs w:val="20"/>
              </w:rPr>
              <w:t xml:space="preserve">Návrh </w:t>
            </w:r>
            <w:r>
              <w:rPr>
                <w:bCs/>
                <w:sz w:val="20"/>
                <w:szCs w:val="20"/>
              </w:rPr>
              <w:t>zákona</w:t>
            </w:r>
            <w:r w:rsidRPr="00041B4D">
              <w:rPr>
                <w:bCs/>
                <w:sz w:val="20"/>
                <w:szCs w:val="20"/>
              </w:rPr>
              <w:t xml:space="preserve"> bol vypracovaný v </w:t>
            </w:r>
            <w:r w:rsidRPr="007B2B86">
              <w:rPr>
                <w:bCs/>
                <w:sz w:val="20"/>
                <w:szCs w:val="20"/>
              </w:rPr>
              <w:t xml:space="preserve">nadväznosti na </w:t>
            </w:r>
            <w:r>
              <w:rPr>
                <w:bCs/>
                <w:sz w:val="20"/>
                <w:szCs w:val="20"/>
              </w:rPr>
              <w:t xml:space="preserve">zavedenie podmienok, ktoré umožnia čerpať finančné prostriedky Európskej únie do oblasti obnovy bytovej budovy. Zefektívnenie, </w:t>
            </w:r>
            <w:bookmarkStart w:id="0" w:name="_GoBack"/>
            <w:r>
              <w:rPr>
                <w:bCs/>
                <w:sz w:val="20"/>
                <w:szCs w:val="20"/>
              </w:rPr>
              <w:t>zjednodušenie a urýchlenie postupu pri poskytovaní podpory zo ŠFRB</w:t>
            </w:r>
            <w:bookmarkEnd w:id="0"/>
            <w:r>
              <w:rPr>
                <w:bCs/>
                <w:sz w:val="20"/>
                <w:szCs w:val="20"/>
              </w:rPr>
              <w:t xml:space="preserve">. </w:t>
            </w:r>
          </w:p>
        </w:tc>
      </w:tr>
      <w:tr w:rsidR="0099354A" w:rsidRPr="00B043B4" w:rsidTr="00330DF9">
        <w:tc>
          <w:tcPr>
            <w:tcW w:w="9180" w:type="dxa"/>
            <w:gridSpan w:val="11"/>
            <w:tcBorders>
              <w:top w:val="single" w:sz="4" w:space="0" w:color="auto"/>
              <w:left w:val="single" w:sz="4" w:space="0" w:color="auto"/>
              <w:bottom w:val="nil"/>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Ciele a výsledný stav</w:t>
            </w:r>
          </w:p>
        </w:tc>
      </w:tr>
      <w:tr w:rsidR="0099354A" w:rsidRPr="00B043B4" w:rsidTr="00330DF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9354A" w:rsidRPr="00B043B4" w:rsidRDefault="0099354A" w:rsidP="00330DF9">
            <w:pPr>
              <w:rPr>
                <w:i/>
                <w:sz w:val="20"/>
                <w:szCs w:val="20"/>
              </w:rPr>
            </w:pPr>
            <w:r w:rsidRPr="00B043B4">
              <w:rPr>
                <w:i/>
                <w:sz w:val="20"/>
                <w:szCs w:val="20"/>
              </w:rPr>
              <w:t>Uveďte hlavné ciele predkladaného materiálu (aký výsledný stav má byť prijatím materiálu dosiahnutý, pričom dosiahnutý stav musí byť odlišný od stavu popísaného v bod</w:t>
            </w:r>
            <w:r>
              <w:rPr>
                <w:i/>
                <w:sz w:val="20"/>
                <w:szCs w:val="20"/>
              </w:rPr>
              <w:t>e</w:t>
            </w:r>
            <w:r w:rsidRPr="00B043B4">
              <w:rPr>
                <w:i/>
                <w:sz w:val="20"/>
                <w:szCs w:val="20"/>
              </w:rPr>
              <w:t xml:space="preserve"> 2. Definovanie problému). </w:t>
            </w:r>
          </w:p>
          <w:p w:rsidR="0099354A" w:rsidRPr="00B043B4" w:rsidRDefault="0099354A" w:rsidP="00330DF9">
            <w:pPr>
              <w:jc w:val="both"/>
              <w:rPr>
                <w:sz w:val="20"/>
                <w:szCs w:val="20"/>
              </w:rPr>
            </w:pPr>
            <w:r w:rsidRPr="007F5CF8">
              <w:rPr>
                <w:sz w:val="20"/>
                <w:szCs w:val="20"/>
              </w:rPr>
              <w:t xml:space="preserve">Cieľom návrhu zákona je </w:t>
            </w:r>
            <w:r>
              <w:rPr>
                <w:sz w:val="20"/>
                <w:szCs w:val="20"/>
              </w:rPr>
              <w:t>ú</w:t>
            </w:r>
            <w:r w:rsidRPr="007F5CF8">
              <w:rPr>
                <w:sz w:val="20"/>
                <w:szCs w:val="20"/>
              </w:rPr>
              <w:t>prav</w:t>
            </w:r>
            <w:r>
              <w:rPr>
                <w:sz w:val="20"/>
                <w:szCs w:val="20"/>
              </w:rPr>
              <w:t>a</w:t>
            </w:r>
            <w:r w:rsidRPr="007F5CF8">
              <w:rPr>
                <w:sz w:val="20"/>
                <w:szCs w:val="20"/>
              </w:rPr>
              <w:t xml:space="preserve"> podmien</w:t>
            </w:r>
            <w:r>
              <w:rPr>
                <w:sz w:val="20"/>
                <w:szCs w:val="20"/>
              </w:rPr>
              <w:t>ok</w:t>
            </w:r>
            <w:r w:rsidRPr="007F5CF8">
              <w:rPr>
                <w:sz w:val="20"/>
                <w:szCs w:val="20"/>
              </w:rPr>
              <w:t xml:space="preserve"> pre podporu obnovy bytovej budovy</w:t>
            </w:r>
            <w:r>
              <w:rPr>
                <w:sz w:val="20"/>
                <w:szCs w:val="20"/>
              </w:rPr>
              <w:t xml:space="preserve"> tak, aby žiadatelia mohli čerpať na tento účel finančné prostriedky </w:t>
            </w:r>
            <w:r w:rsidRPr="007F5CF8">
              <w:rPr>
                <w:sz w:val="20"/>
                <w:szCs w:val="20"/>
              </w:rPr>
              <w:t>z Európskych štrukturálnych a investičných fondov v rámci programov</w:t>
            </w:r>
            <w:r>
              <w:rPr>
                <w:sz w:val="20"/>
                <w:szCs w:val="20"/>
              </w:rPr>
              <w:t>ého</w:t>
            </w:r>
            <w:r w:rsidRPr="007F5CF8">
              <w:rPr>
                <w:sz w:val="20"/>
                <w:szCs w:val="20"/>
              </w:rPr>
              <w:t xml:space="preserve"> obdobia 2021 – 2027</w:t>
            </w:r>
            <w:r>
              <w:rPr>
                <w:sz w:val="20"/>
                <w:szCs w:val="20"/>
              </w:rPr>
              <w:t xml:space="preserve"> a zaviesť motivačné opatrenia</w:t>
            </w:r>
            <w:r w:rsidRPr="007F5CF8">
              <w:rPr>
                <w:sz w:val="20"/>
                <w:szCs w:val="20"/>
              </w:rPr>
              <w:t xml:space="preserve">, aby žiadatelia </w:t>
            </w:r>
            <w:r>
              <w:rPr>
                <w:sz w:val="20"/>
                <w:szCs w:val="20"/>
              </w:rPr>
              <w:t>budovali</w:t>
            </w:r>
            <w:r w:rsidRPr="007F5CF8">
              <w:rPr>
                <w:sz w:val="20"/>
                <w:szCs w:val="20"/>
              </w:rPr>
              <w:t xml:space="preserve"> technick</w:t>
            </w:r>
            <w:r>
              <w:rPr>
                <w:sz w:val="20"/>
                <w:szCs w:val="20"/>
              </w:rPr>
              <w:t>é</w:t>
            </w:r>
            <w:r w:rsidRPr="007F5CF8">
              <w:rPr>
                <w:sz w:val="20"/>
                <w:szCs w:val="20"/>
              </w:rPr>
              <w:t xml:space="preserve"> zariaden</w:t>
            </w:r>
            <w:r>
              <w:rPr>
                <w:sz w:val="20"/>
                <w:szCs w:val="20"/>
              </w:rPr>
              <w:t>ia</w:t>
            </w:r>
            <w:r w:rsidRPr="007F5CF8">
              <w:rPr>
                <w:sz w:val="20"/>
                <w:szCs w:val="20"/>
              </w:rPr>
              <w:t xml:space="preserve"> využívajúc</w:t>
            </w:r>
            <w:r>
              <w:rPr>
                <w:sz w:val="20"/>
                <w:szCs w:val="20"/>
              </w:rPr>
              <w:t>e</w:t>
            </w:r>
            <w:r w:rsidRPr="007F5CF8">
              <w:rPr>
                <w:sz w:val="20"/>
                <w:szCs w:val="20"/>
              </w:rPr>
              <w:t xml:space="preserve"> obnoviteľné zdroje energie.</w:t>
            </w:r>
            <w:r>
              <w:rPr>
                <w:sz w:val="20"/>
                <w:szCs w:val="20"/>
              </w:rPr>
              <w:t xml:space="preserve"> V nadväznosti na vývoj inflácie sa navrhuje zvýšenie limitov úverov pre jednotlivé účely podpory. Návrh zákona zavádza možnosť elektronickej komunikácie medzi ŠFRB a žiadateľom od podania žiadosti až po čerpanie a kontrolu dodržania podmienok poskytnutia podpory.</w:t>
            </w:r>
          </w:p>
        </w:tc>
      </w:tr>
      <w:tr w:rsidR="0099354A" w:rsidRPr="00B043B4" w:rsidTr="00330DF9">
        <w:tc>
          <w:tcPr>
            <w:tcW w:w="9180" w:type="dxa"/>
            <w:gridSpan w:val="11"/>
            <w:tcBorders>
              <w:top w:val="single" w:sz="4" w:space="0" w:color="auto"/>
              <w:left w:val="single" w:sz="4" w:space="0" w:color="auto"/>
              <w:bottom w:val="nil"/>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Dotknuté subjekty</w:t>
            </w:r>
          </w:p>
        </w:tc>
      </w:tr>
      <w:tr w:rsidR="0099354A" w:rsidRPr="00B043B4" w:rsidTr="00330DF9">
        <w:tc>
          <w:tcPr>
            <w:tcW w:w="9180" w:type="dxa"/>
            <w:gridSpan w:val="11"/>
            <w:tcBorders>
              <w:top w:val="nil"/>
              <w:left w:val="single" w:sz="4" w:space="0" w:color="auto"/>
              <w:bottom w:val="single" w:sz="4" w:space="0" w:color="auto"/>
              <w:right w:val="single" w:sz="4" w:space="0" w:color="auto"/>
            </w:tcBorders>
            <w:shd w:val="clear" w:color="auto" w:fill="FFFFFF"/>
          </w:tcPr>
          <w:p w:rsidR="0099354A" w:rsidRPr="00B043B4" w:rsidRDefault="0099354A" w:rsidP="00330DF9">
            <w:pPr>
              <w:rPr>
                <w:b/>
                <w:sz w:val="20"/>
                <w:szCs w:val="20"/>
              </w:rPr>
            </w:pPr>
            <w:r w:rsidRPr="00B043B4">
              <w:rPr>
                <w:i/>
                <w:sz w:val="20"/>
                <w:szCs w:val="20"/>
              </w:rPr>
              <w:t xml:space="preserve">Uveďte subjekty, ktorých sa zmeny predkladaného materiálu dotknú priamo aj nepriamo: </w:t>
            </w:r>
          </w:p>
          <w:p w:rsidR="0099354A" w:rsidRPr="00B043B4" w:rsidRDefault="0099354A" w:rsidP="00330DF9">
            <w:pPr>
              <w:jc w:val="both"/>
              <w:rPr>
                <w:i/>
                <w:sz w:val="20"/>
                <w:szCs w:val="20"/>
              </w:rPr>
            </w:pPr>
            <w:r>
              <w:rPr>
                <w:sz w:val="20"/>
                <w:szCs w:val="20"/>
              </w:rPr>
              <w:t>Fyzická osoba, obec, samosprávny kraj, s</w:t>
            </w:r>
            <w:r w:rsidRPr="00041B4D">
              <w:rPr>
                <w:sz w:val="20"/>
                <w:szCs w:val="20"/>
              </w:rPr>
              <w:t xml:space="preserve">poločenstvo vlastníkov bytov a nebytových priestorov v bytovom dome, vlastníci bytov a nebytových priestorov v </w:t>
            </w:r>
            <w:r>
              <w:rPr>
                <w:sz w:val="20"/>
                <w:szCs w:val="20"/>
              </w:rPr>
              <w:t>bytovom dome zastúpení správcom, nezisková organizácia poskytujúca všeobecne prospešné služby na zabezpečovania bývania, správy, údržby a obnovy bytového fondu</w:t>
            </w:r>
            <w:r w:rsidRPr="00041B4D">
              <w:rPr>
                <w:sz w:val="20"/>
                <w:szCs w:val="20"/>
              </w:rPr>
              <w:t xml:space="preserve"> a iná právnická osoba</w:t>
            </w:r>
            <w:r>
              <w:rPr>
                <w:sz w:val="20"/>
                <w:szCs w:val="20"/>
              </w:rPr>
              <w:t>.</w:t>
            </w:r>
          </w:p>
        </w:tc>
      </w:tr>
      <w:tr w:rsidR="0099354A" w:rsidRPr="00B043B4" w:rsidTr="00330DF9">
        <w:tc>
          <w:tcPr>
            <w:tcW w:w="9180" w:type="dxa"/>
            <w:gridSpan w:val="11"/>
            <w:tcBorders>
              <w:top w:val="single" w:sz="4" w:space="0" w:color="auto"/>
              <w:left w:val="single" w:sz="4" w:space="0" w:color="auto"/>
              <w:bottom w:val="nil"/>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Alternatívne riešenia</w:t>
            </w:r>
          </w:p>
        </w:tc>
      </w:tr>
      <w:tr w:rsidR="0099354A" w:rsidRPr="00B043B4" w:rsidTr="00330DF9">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rsidR="0099354A" w:rsidRPr="00B043B4" w:rsidRDefault="0099354A" w:rsidP="00330DF9">
            <w:pPr>
              <w:jc w:val="both"/>
              <w:rPr>
                <w:i/>
                <w:sz w:val="20"/>
                <w:szCs w:val="20"/>
              </w:rPr>
            </w:pPr>
            <w:r w:rsidRPr="00B043B4">
              <w:rPr>
                <w:i/>
                <w:sz w:val="20"/>
                <w:szCs w:val="20"/>
              </w:rPr>
              <w:t>Aké alternatívne riešenia vedúce k stanovenému cieľu boli identifikované a posudzované pre riešenie definovaného problému?</w:t>
            </w:r>
          </w:p>
          <w:p w:rsidR="0099354A" w:rsidRDefault="0099354A" w:rsidP="00330DF9">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99354A" w:rsidRDefault="0099354A" w:rsidP="00330DF9">
            <w:pPr>
              <w:jc w:val="both"/>
              <w:rPr>
                <w:sz w:val="20"/>
                <w:szCs w:val="20"/>
              </w:rPr>
            </w:pPr>
            <w:r w:rsidRPr="00771FA6">
              <w:rPr>
                <w:sz w:val="20"/>
                <w:szCs w:val="20"/>
              </w:rPr>
              <w:t>Úpravu podmienok pre podporu obnovy bytovej budovy je nevyhnutné prijať, aby bolo možné na tento účel čerpať finančné prostriedky</w:t>
            </w:r>
            <w:r w:rsidRPr="00771FA6">
              <w:rPr>
                <w:rFonts w:ascii="Arial Narrow" w:hAnsi="Arial Narrow"/>
              </w:rPr>
              <w:t xml:space="preserve"> </w:t>
            </w:r>
            <w:r w:rsidRPr="00771FA6">
              <w:rPr>
                <w:sz w:val="20"/>
                <w:szCs w:val="20"/>
              </w:rPr>
              <w:t xml:space="preserve">EÚ na obnovu bytových domov v novom programovom období. Súčasná právna úprava neumožňuje implementáciu týchto podmienok a tým ohrozuje splnenie stanovených cieľov SR voči EÚ s možnosťou uplatnenia sankcií voči SR zo strany EÚ za nesplnenie ustanovených podmienok. </w:t>
            </w:r>
            <w:r w:rsidRPr="00B242F5">
              <w:rPr>
                <w:sz w:val="20"/>
                <w:szCs w:val="20"/>
              </w:rPr>
              <w:t xml:space="preserve">V prípade úpravy podmienok podpory a výšky podpory pri niektorých </w:t>
            </w:r>
            <w:proofErr w:type="spellStart"/>
            <w:r w:rsidRPr="00B242F5">
              <w:rPr>
                <w:sz w:val="20"/>
                <w:szCs w:val="20"/>
              </w:rPr>
              <w:t>podúčeloch</w:t>
            </w:r>
            <w:proofErr w:type="spellEnd"/>
            <w:r w:rsidRPr="00B242F5">
              <w:rPr>
                <w:sz w:val="20"/>
                <w:szCs w:val="20"/>
              </w:rPr>
              <w:t xml:space="preserve"> v rámci obnovy bytovej budovy </w:t>
            </w:r>
            <w:r w:rsidRPr="00041B4D">
              <w:rPr>
                <w:sz w:val="20"/>
                <w:szCs w:val="20"/>
              </w:rPr>
              <w:t xml:space="preserve">sa </w:t>
            </w:r>
            <w:r>
              <w:rPr>
                <w:sz w:val="20"/>
                <w:szCs w:val="20"/>
              </w:rPr>
              <w:t>navrhoval aj</w:t>
            </w:r>
            <w:r w:rsidRPr="00041B4D">
              <w:rPr>
                <w:sz w:val="20"/>
                <w:szCs w:val="20"/>
              </w:rPr>
              <w:t xml:space="preserve"> nul</w:t>
            </w:r>
            <w:r>
              <w:rPr>
                <w:sz w:val="20"/>
                <w:szCs w:val="20"/>
              </w:rPr>
              <w:t>ov</w:t>
            </w:r>
            <w:r w:rsidRPr="00041B4D">
              <w:rPr>
                <w:sz w:val="20"/>
                <w:szCs w:val="20"/>
              </w:rPr>
              <w:t>ý variant</w:t>
            </w:r>
            <w:r>
              <w:rPr>
                <w:sz w:val="20"/>
                <w:szCs w:val="20"/>
              </w:rPr>
              <w:t xml:space="preserve">, </w:t>
            </w:r>
            <w:proofErr w:type="spellStart"/>
            <w:r>
              <w:rPr>
                <w:sz w:val="20"/>
                <w:szCs w:val="20"/>
              </w:rPr>
              <w:t>t.j</w:t>
            </w:r>
            <w:proofErr w:type="spellEnd"/>
            <w:r>
              <w:rPr>
                <w:sz w:val="20"/>
                <w:szCs w:val="20"/>
              </w:rPr>
              <w:t>.</w:t>
            </w:r>
            <w:r w:rsidRPr="00041B4D">
              <w:rPr>
                <w:sz w:val="20"/>
                <w:szCs w:val="20"/>
              </w:rPr>
              <w:t xml:space="preserve"> ponechať pôvodné výšky podpory</w:t>
            </w:r>
            <w:r>
              <w:rPr>
                <w:sz w:val="20"/>
                <w:szCs w:val="20"/>
              </w:rPr>
              <w:t xml:space="preserve"> a pôvodné podmienky, ktorý</w:t>
            </w:r>
            <w:r w:rsidRPr="00041B4D">
              <w:rPr>
                <w:sz w:val="20"/>
                <w:szCs w:val="20"/>
              </w:rPr>
              <w:t xml:space="preserve"> by mal negatívny vplyv na dostupnosť financovania </w:t>
            </w:r>
            <w:r>
              <w:rPr>
                <w:sz w:val="20"/>
                <w:szCs w:val="20"/>
              </w:rPr>
              <w:t xml:space="preserve">podpory </w:t>
            </w:r>
            <w:r w:rsidRPr="00041B4D">
              <w:rPr>
                <w:sz w:val="20"/>
                <w:szCs w:val="20"/>
              </w:rPr>
              <w:t>pre obnovu bytových budov</w:t>
            </w:r>
            <w:r>
              <w:rPr>
                <w:sz w:val="20"/>
                <w:szCs w:val="20"/>
              </w:rPr>
              <w:t>, resp. komplexnosť realizovanej obnovy a spotrebu energie.</w:t>
            </w:r>
          </w:p>
          <w:p w:rsidR="0099354A" w:rsidRPr="00B043B4" w:rsidRDefault="0099354A" w:rsidP="00330DF9">
            <w:pPr>
              <w:jc w:val="both"/>
              <w:rPr>
                <w:i/>
                <w:sz w:val="20"/>
                <w:szCs w:val="20"/>
              </w:rPr>
            </w:pPr>
            <w:r>
              <w:rPr>
                <w:sz w:val="20"/>
                <w:szCs w:val="20"/>
              </w:rPr>
              <w:t xml:space="preserve">Ponechanie pôvodnej výšky limitov úverov, </w:t>
            </w:r>
            <w:proofErr w:type="spellStart"/>
            <w:r>
              <w:rPr>
                <w:sz w:val="20"/>
                <w:szCs w:val="20"/>
              </w:rPr>
              <w:t>t.j</w:t>
            </w:r>
            <w:proofErr w:type="spellEnd"/>
            <w:r>
              <w:rPr>
                <w:sz w:val="20"/>
                <w:szCs w:val="20"/>
              </w:rPr>
              <w:t xml:space="preserve">. v nedostatočná výška podpory, by mohla spôsobiť zníženie záujmu potenciálnych žiadateľov investovať finančné prostriedky do realizácie najmä nájomných bytov, </w:t>
            </w:r>
            <w:r>
              <w:rPr>
                <w:sz w:val="20"/>
                <w:szCs w:val="20"/>
              </w:rPr>
              <w:lastRenderedPageBreak/>
              <w:t>zariadení sociálnych služieb, a i.</w:t>
            </w:r>
          </w:p>
        </w:tc>
      </w:tr>
      <w:tr w:rsidR="0099354A" w:rsidRPr="00B043B4" w:rsidTr="00330DF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Vykonávacie predpisy</w:t>
            </w:r>
          </w:p>
        </w:tc>
      </w:tr>
      <w:tr w:rsidR="0099354A" w:rsidRPr="00B043B4" w:rsidTr="00330DF9">
        <w:tc>
          <w:tcPr>
            <w:tcW w:w="6203" w:type="dxa"/>
            <w:gridSpan w:val="7"/>
            <w:tcBorders>
              <w:top w:val="single" w:sz="4" w:space="0" w:color="FFFFFF"/>
              <w:left w:val="single" w:sz="4" w:space="0" w:color="auto"/>
              <w:bottom w:val="nil"/>
              <w:right w:val="nil"/>
            </w:tcBorders>
            <w:shd w:val="clear" w:color="auto" w:fill="FFFFFF"/>
          </w:tcPr>
          <w:p w:rsidR="0099354A" w:rsidRPr="00B043B4" w:rsidRDefault="0099354A" w:rsidP="00330DF9">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9354A" w:rsidRPr="00B043B4" w:rsidRDefault="0099354A" w:rsidP="00330DF9">
            <w:pPr>
              <w:jc w:val="center"/>
              <w:rPr>
                <w:b/>
                <w:sz w:val="20"/>
                <w:szCs w:val="20"/>
              </w:rPr>
            </w:pPr>
            <w:sdt>
              <w:sdtPr>
                <w:rPr>
                  <w:b/>
                  <w:sz w:val="20"/>
                  <w:szCs w:val="20"/>
                </w:rPr>
                <w:id w:val="1929613764"/>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9354A" w:rsidRPr="00B043B4" w:rsidRDefault="0099354A" w:rsidP="00330DF9">
            <w:pPr>
              <w:jc w:val="center"/>
              <w:rPr>
                <w:b/>
                <w:sz w:val="20"/>
                <w:szCs w:val="20"/>
              </w:rPr>
            </w:pPr>
            <w:sdt>
              <w:sdtPr>
                <w:rPr>
                  <w:b/>
                  <w:sz w:val="20"/>
                  <w:szCs w:val="20"/>
                </w:rPr>
                <w:id w:val="-159462650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B043B4">
              <w:rPr>
                <w:b/>
                <w:sz w:val="20"/>
                <w:szCs w:val="20"/>
              </w:rPr>
              <w:t xml:space="preserve">  Nie</w:t>
            </w:r>
          </w:p>
        </w:tc>
      </w:tr>
      <w:tr w:rsidR="0099354A" w:rsidRPr="00B043B4" w:rsidTr="00330DF9">
        <w:tc>
          <w:tcPr>
            <w:tcW w:w="9180" w:type="dxa"/>
            <w:gridSpan w:val="11"/>
            <w:tcBorders>
              <w:top w:val="nil"/>
              <w:left w:val="single" w:sz="4" w:space="0" w:color="auto"/>
              <w:bottom w:val="single" w:sz="4" w:space="0" w:color="auto"/>
              <w:right w:val="single" w:sz="4" w:space="0" w:color="auto"/>
            </w:tcBorders>
            <w:shd w:val="clear" w:color="auto" w:fill="FFFFFF"/>
          </w:tcPr>
          <w:p w:rsidR="0099354A" w:rsidRPr="00B043B4" w:rsidRDefault="0099354A" w:rsidP="00330DF9">
            <w:pPr>
              <w:rPr>
                <w:i/>
                <w:sz w:val="20"/>
                <w:szCs w:val="20"/>
              </w:rPr>
            </w:pPr>
            <w:r w:rsidRPr="00B043B4">
              <w:rPr>
                <w:i/>
                <w:sz w:val="20"/>
                <w:szCs w:val="20"/>
              </w:rPr>
              <w:t>Ak áno, uveďte ktoré oblasti budú nimi upravené, resp. ktorých vykonávacích predpisov sa zmena dotkne:</w:t>
            </w:r>
          </w:p>
          <w:p w:rsidR="0099354A" w:rsidRPr="00B043B4" w:rsidRDefault="0099354A" w:rsidP="00330DF9">
            <w:pPr>
              <w:jc w:val="both"/>
              <w:rPr>
                <w:sz w:val="20"/>
                <w:szCs w:val="20"/>
              </w:rPr>
            </w:pPr>
            <w:r>
              <w:rPr>
                <w:sz w:val="20"/>
                <w:szCs w:val="20"/>
              </w:rPr>
              <w:t>V nadväznosti na zmenu zákona bude nutné zmeniť niektoré ustanovenia vyhlášky Ministerstva dopravy, výstavby a regionálneho rozvoja Slovenskej republiky č. 284/2013 Z. z. o podrobnostiach o výške poskytovanej podpory zo Štátneho fondu rozvoja bývania, o všeobecných podmienkach poskytnutia podpory a o obsahu žiadosti v znení neskorších predpisov (ďalej len „vyhláška“). Návrh zmien vyhlášky je prílohou materiálu.</w:t>
            </w:r>
          </w:p>
        </w:tc>
      </w:tr>
      <w:tr w:rsidR="0099354A" w:rsidRPr="00B043B4" w:rsidTr="00330DF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 xml:space="preserve">Transpozícia práva EÚ </w:t>
            </w:r>
          </w:p>
        </w:tc>
      </w:tr>
      <w:tr w:rsidR="0099354A" w:rsidRPr="00B043B4" w:rsidTr="00330DF9">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9354A" w:rsidTr="00330DF9">
              <w:trPr>
                <w:trHeight w:val="90"/>
              </w:trPr>
              <w:tc>
                <w:tcPr>
                  <w:tcW w:w="8643" w:type="dxa"/>
                </w:tcPr>
                <w:p w:rsidR="0099354A" w:rsidRPr="003637ED" w:rsidRDefault="0099354A" w:rsidP="00330DF9">
                  <w:pPr>
                    <w:pStyle w:val="Default"/>
                    <w:rPr>
                      <w:color w:val="000000" w:themeColor="text1"/>
                      <w:sz w:val="20"/>
                      <w:szCs w:val="20"/>
                    </w:rPr>
                  </w:pPr>
                  <w:r w:rsidRPr="003637ED">
                    <w:rPr>
                      <w:i/>
                      <w:iCs/>
                      <w:color w:val="000000" w:themeColor="text1"/>
                      <w:sz w:val="20"/>
                      <w:szCs w:val="20"/>
                    </w:rPr>
                    <w:t xml:space="preserve">Uveďte, či v predkladanom návrhu právneho predpisu dochádza ku </w:t>
                  </w:r>
                  <w:proofErr w:type="spellStart"/>
                  <w:r w:rsidRPr="003637ED">
                    <w:rPr>
                      <w:i/>
                      <w:iCs/>
                      <w:color w:val="000000" w:themeColor="text1"/>
                      <w:sz w:val="20"/>
                      <w:szCs w:val="20"/>
                    </w:rPr>
                    <w:t>goldplatingu</w:t>
                  </w:r>
                  <w:proofErr w:type="spellEnd"/>
                  <w:r w:rsidRPr="003637ED">
                    <w:rPr>
                      <w:i/>
                      <w:iCs/>
                      <w:color w:val="000000" w:themeColor="text1"/>
                      <w:sz w:val="20"/>
                      <w:szCs w:val="20"/>
                    </w:rPr>
                    <w:t xml:space="preserve"> podľa tabuľky zhody. </w:t>
                  </w:r>
                </w:p>
              </w:tc>
            </w:tr>
            <w:tr w:rsidR="0099354A" w:rsidTr="00330DF9">
              <w:trPr>
                <w:trHeight w:val="296"/>
              </w:trPr>
              <w:tc>
                <w:tcPr>
                  <w:tcW w:w="8643" w:type="dxa"/>
                </w:tcPr>
                <w:p w:rsidR="0099354A" w:rsidRPr="003637ED" w:rsidRDefault="0099354A" w:rsidP="00330DF9">
                  <w:pPr>
                    <w:pStyle w:val="Default"/>
                    <w:rPr>
                      <w:b/>
                      <w:iCs/>
                      <w:color w:val="000000" w:themeColor="text1"/>
                      <w:sz w:val="20"/>
                      <w:szCs w:val="20"/>
                    </w:rPr>
                  </w:pPr>
                  <w:r w:rsidRPr="003637ED">
                    <w:rPr>
                      <w:b/>
                      <w:iCs/>
                      <w:color w:val="000000" w:themeColor="text1"/>
                      <w:sz w:val="20"/>
                      <w:szCs w:val="20"/>
                    </w:rPr>
                    <w:t xml:space="preserve">                                                                                                                               </w:t>
                  </w:r>
                  <w:sdt>
                    <w:sdtPr>
                      <w:rPr>
                        <w:b/>
                        <w:iCs/>
                        <w:color w:val="000000" w:themeColor="text1"/>
                        <w:sz w:val="20"/>
                        <w:szCs w:val="20"/>
                      </w:rPr>
                      <w:id w:val="1614706761"/>
                      <w14:checkbox>
                        <w14:checked w14:val="0"/>
                        <w14:checkedState w14:val="2612" w14:font="MS Gothic"/>
                        <w14:uncheckedState w14:val="2610" w14:font="MS Gothic"/>
                      </w14:checkbox>
                    </w:sdtPr>
                    <w:sdtContent>
                      <w:r w:rsidRPr="003637ED">
                        <w:rPr>
                          <w:rFonts w:ascii="MS Gothic" w:eastAsia="MS Gothic" w:hAnsi="MS Gothic" w:hint="eastAsia"/>
                          <w:b/>
                          <w:iCs/>
                          <w:color w:val="000000" w:themeColor="text1"/>
                          <w:sz w:val="20"/>
                          <w:szCs w:val="20"/>
                        </w:rPr>
                        <w:t>☐</w:t>
                      </w:r>
                    </w:sdtContent>
                  </w:sdt>
                  <w:r w:rsidRPr="003637ED">
                    <w:rPr>
                      <w:b/>
                      <w:iCs/>
                      <w:color w:val="000000" w:themeColor="text1"/>
                      <w:sz w:val="20"/>
                      <w:szCs w:val="20"/>
                    </w:rPr>
                    <w:t xml:space="preserve"> Áno                  </w:t>
                  </w:r>
                  <w:sdt>
                    <w:sdtPr>
                      <w:rPr>
                        <w:b/>
                        <w:iCs/>
                        <w:color w:val="000000" w:themeColor="text1"/>
                        <w:sz w:val="20"/>
                        <w:szCs w:val="20"/>
                      </w:rPr>
                      <w:id w:val="-155225922"/>
                      <w14:checkbox>
                        <w14:checked w14:val="1"/>
                        <w14:checkedState w14:val="2612" w14:font="MS Gothic"/>
                        <w14:uncheckedState w14:val="2610" w14:font="MS Gothic"/>
                      </w14:checkbox>
                    </w:sdtPr>
                    <w:sdtContent>
                      <w:r w:rsidRPr="003637ED">
                        <w:rPr>
                          <w:rFonts w:ascii="MS Gothic" w:eastAsia="MS Gothic" w:hAnsi="MS Gothic" w:hint="eastAsia"/>
                          <w:b/>
                          <w:iCs/>
                          <w:color w:val="000000" w:themeColor="text1"/>
                          <w:sz w:val="20"/>
                          <w:szCs w:val="20"/>
                        </w:rPr>
                        <w:t>☒</w:t>
                      </w:r>
                    </w:sdtContent>
                  </w:sdt>
                  <w:r w:rsidRPr="003637ED">
                    <w:rPr>
                      <w:b/>
                      <w:iCs/>
                      <w:color w:val="000000" w:themeColor="text1"/>
                      <w:sz w:val="20"/>
                      <w:szCs w:val="20"/>
                    </w:rPr>
                    <w:t xml:space="preserve"> Nie</w:t>
                  </w:r>
                </w:p>
                <w:p w:rsidR="0099354A" w:rsidRPr="003637ED" w:rsidRDefault="0099354A" w:rsidP="00330DF9">
                  <w:pPr>
                    <w:pStyle w:val="Default"/>
                    <w:rPr>
                      <w:color w:val="000000" w:themeColor="text1"/>
                      <w:sz w:val="20"/>
                      <w:szCs w:val="20"/>
                    </w:rPr>
                  </w:pPr>
                  <w:r w:rsidRPr="003637ED">
                    <w:rPr>
                      <w:i/>
                      <w:iCs/>
                      <w:color w:val="000000" w:themeColor="text1"/>
                      <w:sz w:val="20"/>
                      <w:szCs w:val="20"/>
                    </w:rPr>
                    <w:t xml:space="preserve">Ak áno, uveďte, ktorých vplyvov podľa bodu 9 sa </w:t>
                  </w:r>
                  <w:proofErr w:type="spellStart"/>
                  <w:r w:rsidRPr="003637ED">
                    <w:rPr>
                      <w:i/>
                      <w:iCs/>
                      <w:color w:val="000000" w:themeColor="text1"/>
                      <w:sz w:val="20"/>
                      <w:szCs w:val="20"/>
                    </w:rPr>
                    <w:t>goldplating</w:t>
                  </w:r>
                  <w:proofErr w:type="spellEnd"/>
                  <w:r w:rsidRPr="003637ED">
                    <w:rPr>
                      <w:i/>
                      <w:iCs/>
                      <w:color w:val="000000" w:themeColor="text1"/>
                      <w:sz w:val="20"/>
                      <w:szCs w:val="20"/>
                    </w:rPr>
                    <w:t xml:space="preserve"> týka: </w:t>
                  </w:r>
                </w:p>
              </w:tc>
            </w:tr>
            <w:tr w:rsidR="0099354A" w:rsidTr="00330DF9">
              <w:trPr>
                <w:trHeight w:val="296"/>
              </w:trPr>
              <w:tc>
                <w:tcPr>
                  <w:tcW w:w="8643" w:type="dxa"/>
                </w:tcPr>
                <w:p w:rsidR="0099354A" w:rsidRDefault="0099354A" w:rsidP="00330DF9">
                  <w:pPr>
                    <w:pStyle w:val="Default"/>
                    <w:rPr>
                      <w:rFonts w:ascii="Segoe UI Symbol" w:hAnsi="Segoe UI Symbol" w:cs="Segoe UI Symbol"/>
                      <w:sz w:val="20"/>
                      <w:szCs w:val="20"/>
                    </w:rPr>
                  </w:pPr>
                </w:p>
              </w:tc>
            </w:tr>
          </w:tbl>
          <w:p w:rsidR="0099354A" w:rsidRPr="00B043B4" w:rsidRDefault="0099354A" w:rsidP="00330DF9">
            <w:pPr>
              <w:jc w:val="both"/>
              <w:rPr>
                <w:i/>
                <w:sz w:val="20"/>
                <w:szCs w:val="20"/>
              </w:rPr>
            </w:pPr>
          </w:p>
        </w:tc>
      </w:tr>
      <w:tr w:rsidR="0099354A" w:rsidRPr="00B043B4" w:rsidTr="00330DF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Preskúmanie účelnosti</w:t>
            </w:r>
          </w:p>
        </w:tc>
      </w:tr>
      <w:tr w:rsidR="0099354A" w:rsidRPr="00B043B4" w:rsidTr="00330DF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9354A" w:rsidRPr="00B043B4" w:rsidRDefault="0099354A" w:rsidP="00330DF9">
            <w:pPr>
              <w:rPr>
                <w:i/>
                <w:sz w:val="20"/>
                <w:szCs w:val="20"/>
              </w:rPr>
            </w:pPr>
            <w:r w:rsidRPr="00B043B4">
              <w:rPr>
                <w:i/>
                <w:sz w:val="20"/>
                <w:szCs w:val="20"/>
              </w:rPr>
              <w:t>Uveďte termín, kedy by malo dôjsť k preskúmaniu účinnosti a účelnosti predkladaného materiálu.</w:t>
            </w:r>
          </w:p>
          <w:p w:rsidR="0099354A" w:rsidRPr="00B043B4" w:rsidRDefault="0099354A" w:rsidP="00330DF9">
            <w:pPr>
              <w:rPr>
                <w:i/>
                <w:sz w:val="20"/>
                <w:szCs w:val="20"/>
              </w:rPr>
            </w:pPr>
            <w:r w:rsidRPr="00B043B4">
              <w:rPr>
                <w:i/>
                <w:sz w:val="20"/>
                <w:szCs w:val="20"/>
              </w:rPr>
              <w:t>Uveďte kritériá, na základe ktorých bude preskúmanie vykonané.</w:t>
            </w:r>
          </w:p>
          <w:p w:rsidR="0099354A" w:rsidRPr="00B043B4" w:rsidRDefault="0099354A" w:rsidP="00330DF9">
            <w:pPr>
              <w:jc w:val="both"/>
              <w:rPr>
                <w:i/>
                <w:sz w:val="20"/>
                <w:szCs w:val="20"/>
              </w:rPr>
            </w:pPr>
            <w:r>
              <w:rPr>
                <w:rFonts w:ascii="Times" w:hAnsi="Times" w:cs="Times"/>
                <w:sz w:val="20"/>
                <w:szCs w:val="20"/>
              </w:rPr>
              <w:t>Žiadosti sa v súlade  so zákonom č. 150/2013 Z. z. predkladajú v termíne od 15. januára do 30. septembra kalendárneho roka. Ú</w:t>
            </w:r>
            <w:r w:rsidRPr="005B643A">
              <w:rPr>
                <w:sz w:val="20"/>
                <w:szCs w:val="20"/>
              </w:rPr>
              <w:t>činnos</w:t>
            </w:r>
            <w:r>
              <w:rPr>
                <w:sz w:val="20"/>
                <w:szCs w:val="20"/>
              </w:rPr>
              <w:t>ť</w:t>
            </w:r>
            <w:r w:rsidRPr="005B643A">
              <w:rPr>
                <w:sz w:val="20"/>
                <w:szCs w:val="20"/>
              </w:rPr>
              <w:t xml:space="preserve"> a účelnos</w:t>
            </w:r>
            <w:r>
              <w:rPr>
                <w:sz w:val="20"/>
                <w:szCs w:val="20"/>
              </w:rPr>
              <w:t>ť</w:t>
            </w:r>
            <w:r w:rsidRPr="005B643A">
              <w:rPr>
                <w:sz w:val="20"/>
                <w:szCs w:val="20"/>
              </w:rPr>
              <w:t xml:space="preserve"> predkladaného materiálu</w:t>
            </w:r>
            <w:r>
              <w:rPr>
                <w:sz w:val="20"/>
                <w:szCs w:val="20"/>
              </w:rPr>
              <w:t xml:space="preserve"> môže byť posúdená až po ukončení obdobia predkladania žiadostí.</w:t>
            </w:r>
            <w:r>
              <w:rPr>
                <w:rFonts w:ascii="Times" w:hAnsi="Times" w:cs="Times"/>
                <w:sz w:val="20"/>
                <w:szCs w:val="20"/>
              </w:rPr>
              <w:t xml:space="preserve"> Kritériom na preskúmanie je počet predložených žiadostí.</w:t>
            </w:r>
          </w:p>
        </w:tc>
      </w:tr>
      <w:tr w:rsidR="0099354A" w:rsidRPr="00621950" w:rsidTr="00330DF9">
        <w:tc>
          <w:tcPr>
            <w:tcW w:w="9180" w:type="dxa"/>
            <w:gridSpan w:val="11"/>
            <w:tcBorders>
              <w:top w:val="nil"/>
              <w:left w:val="nil"/>
              <w:bottom w:val="single" w:sz="4" w:space="0" w:color="auto"/>
              <w:right w:val="nil"/>
            </w:tcBorders>
            <w:shd w:val="clear" w:color="auto" w:fill="FFFFFF"/>
          </w:tcPr>
          <w:p w:rsidR="0099354A" w:rsidRPr="00621950" w:rsidRDefault="0099354A" w:rsidP="00330DF9">
            <w:pPr>
              <w:ind w:left="142" w:hanging="142"/>
              <w:jc w:val="both"/>
              <w:rPr>
                <w:sz w:val="20"/>
                <w:szCs w:val="20"/>
              </w:rPr>
            </w:pPr>
            <w:r w:rsidRPr="00621950">
              <w:rPr>
                <w:sz w:val="20"/>
                <w:szCs w:val="20"/>
              </w:rPr>
              <w:t xml:space="preserve">* vyplniť iba v prípade, ak materiál nie je zahrnutý do Plánu práce vlády Slovenskej republiky alebo Plánu        legislatívnych úloh vlády Slovenskej republiky. </w:t>
            </w:r>
          </w:p>
          <w:p w:rsidR="0099354A" w:rsidRPr="00621950" w:rsidRDefault="0099354A" w:rsidP="00330DF9">
            <w:pPr>
              <w:jc w:val="both"/>
              <w:rPr>
                <w:sz w:val="20"/>
                <w:szCs w:val="20"/>
              </w:rPr>
            </w:pPr>
            <w:r w:rsidRPr="00621950">
              <w:rPr>
                <w:sz w:val="20"/>
                <w:szCs w:val="20"/>
              </w:rPr>
              <w:t>** vyplniť iba v prípade, ak sa záverečné posúdenie vybraných vplyvov uskutočnilo v zmysle bodu 9.1. jednotnej metodiky.</w:t>
            </w:r>
          </w:p>
          <w:p w:rsidR="0099354A" w:rsidRDefault="0099354A" w:rsidP="00330DF9">
            <w:pPr>
              <w:jc w:val="both"/>
              <w:rPr>
                <w:sz w:val="20"/>
                <w:szCs w:val="20"/>
              </w:rPr>
            </w:pPr>
            <w:r w:rsidRPr="00C01A9D">
              <w:rPr>
                <w:sz w:val="20"/>
                <w:szCs w:val="20"/>
              </w:rPr>
              <w:t>*** posudzovanie sa týka len zmien v I. a II. pilieri univerzálneho systému dôchodkového zabezpečenia s identifikovaným dopadom od 0,1 % HDP (vrátane) na dlhodobom horizonte.</w:t>
            </w:r>
          </w:p>
          <w:p w:rsidR="0099354A" w:rsidRPr="00C01A9D" w:rsidRDefault="0099354A" w:rsidP="00330DF9">
            <w:pPr>
              <w:jc w:val="both"/>
              <w:rPr>
                <w:sz w:val="20"/>
                <w:szCs w:val="20"/>
              </w:rPr>
            </w:pPr>
          </w:p>
        </w:tc>
      </w:tr>
      <w:tr w:rsidR="0099354A" w:rsidRPr="00B043B4" w:rsidTr="00330DF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Vybrané vplyvy  materiálu</w:t>
            </w:r>
          </w:p>
        </w:tc>
      </w:tr>
      <w:tr w:rsidR="0099354A" w:rsidRPr="00B043B4" w:rsidTr="00330DF9">
        <w:tc>
          <w:tcPr>
            <w:tcW w:w="3812" w:type="dxa"/>
            <w:tcBorders>
              <w:top w:val="single" w:sz="4" w:space="0" w:color="auto"/>
              <w:left w:val="single" w:sz="4" w:space="0" w:color="auto"/>
              <w:bottom w:val="nil"/>
              <w:right w:val="single" w:sz="4" w:space="0" w:color="auto"/>
            </w:tcBorders>
            <w:shd w:val="clear" w:color="auto" w:fill="E2E2E2"/>
          </w:tcPr>
          <w:p w:rsidR="0099354A" w:rsidRPr="00B043B4" w:rsidRDefault="0099354A" w:rsidP="00330DF9">
            <w:pPr>
              <w:rPr>
                <w:b/>
                <w:sz w:val="20"/>
                <w:szCs w:val="20"/>
              </w:rPr>
            </w:pPr>
            <w:r w:rsidRPr="00B043B4">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rsidR="0099354A" w:rsidRPr="00B043B4" w:rsidRDefault="0099354A" w:rsidP="00330DF9">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99354A" w:rsidRPr="00B043B4" w:rsidRDefault="0099354A" w:rsidP="00330DF9">
            <w:pPr>
              <w:rPr>
                <w:b/>
                <w:sz w:val="20"/>
                <w:szCs w:val="20"/>
              </w:rPr>
            </w:pPr>
            <w:r w:rsidRPr="00B043B4">
              <w:rPr>
                <w:b/>
                <w:sz w:val="20"/>
                <w:szCs w:val="20"/>
              </w:rPr>
              <w:t>Pozitívne</w:t>
            </w:r>
          </w:p>
        </w:tc>
        <w:sdt>
          <w:sdtPr>
            <w:rPr>
              <w:b/>
              <w:sz w:val="20"/>
              <w:szCs w:val="20"/>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99354A" w:rsidRPr="00B043B4" w:rsidRDefault="0099354A" w:rsidP="00330DF9">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99354A" w:rsidRPr="00B043B4" w:rsidRDefault="0099354A" w:rsidP="00330DF9">
            <w:pPr>
              <w:rPr>
                <w:b/>
                <w:sz w:val="20"/>
                <w:szCs w:val="20"/>
              </w:rPr>
            </w:pPr>
            <w:r w:rsidRPr="00B043B4">
              <w:rPr>
                <w:b/>
                <w:sz w:val="20"/>
                <w:szCs w:val="20"/>
              </w:rPr>
              <w:t>Žiadne</w:t>
            </w:r>
          </w:p>
        </w:tc>
        <w:sdt>
          <w:sdtPr>
            <w:rPr>
              <w:b/>
              <w:sz w:val="20"/>
              <w:szCs w:val="20"/>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rsidR="0099354A" w:rsidRPr="00B043B4" w:rsidRDefault="0099354A" w:rsidP="00330DF9">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99354A" w:rsidRPr="00B043B4" w:rsidRDefault="0099354A" w:rsidP="00330DF9">
            <w:pPr>
              <w:ind w:left="34"/>
              <w:rPr>
                <w:b/>
                <w:sz w:val="20"/>
                <w:szCs w:val="20"/>
              </w:rPr>
            </w:pPr>
            <w:r w:rsidRPr="00B043B4">
              <w:rPr>
                <w:b/>
                <w:sz w:val="20"/>
                <w:szCs w:val="20"/>
              </w:rPr>
              <w:t>Negatívne</w:t>
            </w:r>
          </w:p>
        </w:tc>
      </w:tr>
      <w:tr w:rsidR="0099354A" w:rsidRPr="00B043B4" w:rsidTr="00330DF9">
        <w:tc>
          <w:tcPr>
            <w:tcW w:w="3812" w:type="dxa"/>
            <w:tcBorders>
              <w:top w:val="nil"/>
              <w:left w:val="single" w:sz="4" w:space="0" w:color="auto"/>
              <w:bottom w:val="nil"/>
              <w:right w:val="single" w:sz="4" w:space="0" w:color="auto"/>
            </w:tcBorders>
            <w:shd w:val="clear" w:color="auto" w:fill="E2E2E2"/>
          </w:tcPr>
          <w:p w:rsidR="0099354A" w:rsidRDefault="0099354A" w:rsidP="00330DF9">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99354A" w:rsidRDefault="0099354A" w:rsidP="00330DF9">
            <w:pPr>
              <w:rPr>
                <w:sz w:val="20"/>
                <w:szCs w:val="20"/>
              </w:rPr>
            </w:pPr>
            <w:r>
              <w:rPr>
                <w:sz w:val="20"/>
                <w:szCs w:val="20"/>
              </w:rPr>
              <w:t xml:space="preserve">    </w:t>
            </w:r>
            <w:r w:rsidRPr="00A340BB">
              <w:rPr>
                <w:sz w:val="20"/>
                <w:szCs w:val="20"/>
              </w:rPr>
              <w:t xml:space="preserve">v prípade identifikovaného negatívneho </w:t>
            </w:r>
          </w:p>
          <w:p w:rsidR="0099354A" w:rsidRPr="00A340BB" w:rsidRDefault="0099354A" w:rsidP="00330DF9">
            <w:pPr>
              <w:rPr>
                <w:sz w:val="20"/>
                <w:szCs w:val="20"/>
              </w:rPr>
            </w:pPr>
            <w:r>
              <w:rPr>
                <w:sz w:val="20"/>
                <w:szCs w:val="20"/>
              </w:rPr>
              <w:t xml:space="preserve">    </w:t>
            </w:r>
            <w:r w:rsidRPr="00A340BB">
              <w:rPr>
                <w:sz w:val="20"/>
                <w:szCs w:val="20"/>
              </w:rPr>
              <w:t>vplyvu</w:t>
            </w:r>
          </w:p>
        </w:tc>
        <w:sdt>
          <w:sdtPr>
            <w:rPr>
              <w:sz w:val="20"/>
              <w:szCs w:val="20"/>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99354A" w:rsidRPr="00B043B4" w:rsidRDefault="0099354A" w:rsidP="00330DF9">
            <w:pPr>
              <w:rPr>
                <w:sz w:val="20"/>
                <w:szCs w:val="20"/>
              </w:rPr>
            </w:pPr>
            <w:r w:rsidRPr="00B043B4">
              <w:rPr>
                <w:sz w:val="20"/>
                <w:szCs w:val="20"/>
              </w:rPr>
              <w:t>Áno</w:t>
            </w:r>
          </w:p>
        </w:tc>
        <w:sdt>
          <w:sdtPr>
            <w:rPr>
              <w:sz w:val="20"/>
              <w:szCs w:val="20"/>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99354A" w:rsidRPr="00B043B4" w:rsidRDefault="0099354A" w:rsidP="00330DF9">
            <w:pPr>
              <w:rPr>
                <w:sz w:val="20"/>
                <w:szCs w:val="20"/>
              </w:rPr>
            </w:pPr>
            <w:r w:rsidRPr="00B043B4">
              <w:rPr>
                <w:sz w:val="20"/>
                <w:szCs w:val="20"/>
              </w:rPr>
              <w:t>Nie</w:t>
            </w:r>
          </w:p>
        </w:tc>
        <w:sdt>
          <w:sdtPr>
            <w:rPr>
              <w:sz w:val="20"/>
              <w:szCs w:val="20"/>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99354A" w:rsidRPr="00B043B4" w:rsidRDefault="0099354A" w:rsidP="00330DF9">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9354A" w:rsidRPr="00B043B4" w:rsidRDefault="0099354A" w:rsidP="00330DF9">
            <w:pPr>
              <w:ind w:left="34"/>
              <w:rPr>
                <w:sz w:val="20"/>
                <w:szCs w:val="20"/>
              </w:rPr>
            </w:pPr>
            <w:r w:rsidRPr="00B043B4">
              <w:rPr>
                <w:sz w:val="20"/>
                <w:szCs w:val="20"/>
              </w:rPr>
              <w:t>Čiastočne</w:t>
            </w:r>
          </w:p>
        </w:tc>
      </w:tr>
      <w:tr w:rsidR="0099354A" w:rsidRPr="00B043B4" w:rsidTr="00330DF9">
        <w:tc>
          <w:tcPr>
            <w:tcW w:w="3812" w:type="dxa"/>
            <w:tcBorders>
              <w:top w:val="nil"/>
              <w:left w:val="single" w:sz="4" w:space="0" w:color="auto"/>
              <w:bottom w:val="nil"/>
              <w:right w:val="single" w:sz="4" w:space="0" w:color="auto"/>
            </w:tcBorders>
            <w:shd w:val="clear" w:color="auto" w:fill="E2E2E2"/>
          </w:tcPr>
          <w:p w:rsidR="0099354A" w:rsidRPr="003145AE" w:rsidRDefault="0099354A" w:rsidP="00330DF9">
            <w:pPr>
              <w:rPr>
                <w:b/>
                <w:sz w:val="20"/>
                <w:szCs w:val="20"/>
              </w:rPr>
            </w:pPr>
            <w:r>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rsidR="0099354A" w:rsidRPr="00B043B4" w:rsidRDefault="0099354A" w:rsidP="00330DF9">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99354A" w:rsidRPr="00B043B4" w:rsidRDefault="0099354A" w:rsidP="00330DF9">
            <w:pPr>
              <w:rPr>
                <w:b/>
                <w:sz w:val="20"/>
                <w:szCs w:val="20"/>
              </w:rPr>
            </w:pPr>
            <w:r w:rsidRPr="00B043B4">
              <w:rPr>
                <w:b/>
                <w:sz w:val="20"/>
                <w:szCs w:val="20"/>
              </w:rPr>
              <w:t>Pozitívne</w:t>
            </w:r>
          </w:p>
        </w:tc>
        <w:sdt>
          <w:sdtPr>
            <w:rPr>
              <w:b/>
              <w:sz w:val="20"/>
              <w:szCs w:val="20"/>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rsidR="0099354A" w:rsidRPr="00B043B4" w:rsidRDefault="0099354A" w:rsidP="00330DF9">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99354A" w:rsidRPr="00B043B4" w:rsidRDefault="0099354A" w:rsidP="00330DF9">
            <w:pPr>
              <w:rPr>
                <w:b/>
                <w:sz w:val="20"/>
                <w:szCs w:val="20"/>
              </w:rPr>
            </w:pPr>
            <w:r w:rsidRPr="00B043B4">
              <w:rPr>
                <w:b/>
                <w:sz w:val="20"/>
                <w:szCs w:val="20"/>
              </w:rPr>
              <w:t>Žiadne</w:t>
            </w:r>
          </w:p>
        </w:tc>
        <w:sdt>
          <w:sdtPr>
            <w:rPr>
              <w:b/>
              <w:sz w:val="20"/>
              <w:szCs w:val="20"/>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rsidR="0099354A" w:rsidRPr="00B043B4" w:rsidRDefault="0099354A" w:rsidP="00330DF9">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99354A" w:rsidRPr="00B043B4" w:rsidRDefault="0099354A" w:rsidP="00330DF9">
            <w:pPr>
              <w:ind w:left="34"/>
              <w:rPr>
                <w:b/>
                <w:sz w:val="20"/>
                <w:szCs w:val="20"/>
              </w:rPr>
            </w:pPr>
            <w:r w:rsidRPr="00B043B4">
              <w:rPr>
                <w:b/>
                <w:sz w:val="20"/>
                <w:szCs w:val="20"/>
              </w:rPr>
              <w:t>Negatívne</w:t>
            </w:r>
          </w:p>
        </w:tc>
      </w:tr>
      <w:tr w:rsidR="0099354A" w:rsidRPr="00B043B4" w:rsidTr="00330DF9">
        <w:tc>
          <w:tcPr>
            <w:tcW w:w="3812" w:type="dxa"/>
            <w:tcBorders>
              <w:top w:val="nil"/>
              <w:left w:val="single" w:sz="4" w:space="0" w:color="auto"/>
              <w:bottom w:val="single" w:sz="4" w:space="0" w:color="auto"/>
              <w:right w:val="single" w:sz="4" w:space="0" w:color="auto"/>
            </w:tcBorders>
            <w:shd w:val="clear" w:color="auto" w:fill="E2E2E2"/>
          </w:tcPr>
          <w:p w:rsidR="0099354A" w:rsidRDefault="0099354A" w:rsidP="00330DF9">
            <w:pPr>
              <w:ind w:left="171"/>
              <w:rPr>
                <w:sz w:val="20"/>
                <w:szCs w:val="20"/>
              </w:rPr>
            </w:pPr>
            <w:r>
              <w:rPr>
                <w:sz w:val="20"/>
                <w:szCs w:val="20"/>
              </w:rPr>
              <w:t>z toho rozpočtovo zabezpečené vplyvy,</w:t>
            </w:r>
          </w:p>
          <w:p w:rsidR="0099354A" w:rsidRPr="003145AE" w:rsidRDefault="0099354A" w:rsidP="00330DF9">
            <w:pPr>
              <w:ind w:left="171"/>
              <w:rPr>
                <w:sz w:val="20"/>
                <w:szCs w:val="20"/>
              </w:rPr>
            </w:pPr>
            <w:r>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99354A" w:rsidRPr="00B043B4" w:rsidRDefault="0099354A" w:rsidP="00330DF9">
            <w:pPr>
              <w:rPr>
                <w:sz w:val="20"/>
                <w:szCs w:val="20"/>
              </w:rPr>
            </w:pPr>
            <w:r w:rsidRPr="00B043B4">
              <w:rPr>
                <w:sz w:val="20"/>
                <w:szCs w:val="20"/>
              </w:rPr>
              <w:t>Áno</w:t>
            </w:r>
          </w:p>
        </w:tc>
        <w:sdt>
          <w:sdtPr>
            <w:rPr>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99354A" w:rsidRPr="00B043B4" w:rsidRDefault="0099354A" w:rsidP="00330DF9">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99354A" w:rsidRPr="00B043B4" w:rsidRDefault="0099354A" w:rsidP="00330DF9">
            <w:pPr>
              <w:rPr>
                <w:sz w:val="20"/>
                <w:szCs w:val="20"/>
              </w:rPr>
            </w:pPr>
            <w:r w:rsidRPr="00B043B4">
              <w:rPr>
                <w:sz w:val="20"/>
                <w:szCs w:val="20"/>
              </w:rPr>
              <w:t>Nie</w:t>
            </w:r>
          </w:p>
        </w:tc>
        <w:sdt>
          <w:sdtPr>
            <w:rPr>
              <w:sz w:val="20"/>
              <w:szCs w:val="20"/>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99354A" w:rsidRPr="00B043B4" w:rsidRDefault="0099354A" w:rsidP="00330DF9">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99354A" w:rsidRPr="00B043B4" w:rsidRDefault="0099354A" w:rsidP="00330DF9">
            <w:pPr>
              <w:ind w:left="34"/>
              <w:rPr>
                <w:sz w:val="20"/>
                <w:szCs w:val="20"/>
              </w:rPr>
            </w:pPr>
            <w:r w:rsidRPr="00B043B4">
              <w:rPr>
                <w:sz w:val="20"/>
                <w:szCs w:val="20"/>
              </w:rPr>
              <w:t>Čiastočne</w:t>
            </w:r>
          </w:p>
        </w:tc>
      </w:tr>
      <w:tr w:rsidR="0099354A" w:rsidRPr="007C1767" w:rsidTr="00330DF9">
        <w:tc>
          <w:tcPr>
            <w:tcW w:w="3812" w:type="dxa"/>
            <w:tcBorders>
              <w:top w:val="single" w:sz="4" w:space="0" w:color="auto"/>
              <w:left w:val="single" w:sz="4" w:space="0" w:color="auto"/>
              <w:bottom w:val="single" w:sz="4" w:space="0" w:color="auto"/>
              <w:right w:val="single" w:sz="4" w:space="0" w:color="auto"/>
            </w:tcBorders>
            <w:shd w:val="clear" w:color="auto" w:fill="E2E2E2"/>
          </w:tcPr>
          <w:p w:rsidR="0099354A" w:rsidRPr="007C1767" w:rsidRDefault="0099354A" w:rsidP="00330DF9">
            <w:pPr>
              <w:ind w:left="171"/>
              <w:rPr>
                <w:sz w:val="20"/>
                <w:szCs w:val="20"/>
              </w:rPr>
            </w:pPr>
            <w:r w:rsidRPr="007C1767">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99354A" w:rsidRPr="007C1767" w:rsidRDefault="0099354A" w:rsidP="00330DF9">
                <w:pPr>
                  <w:jc w:val="center"/>
                  <w:rPr>
                    <w:sz w:val="20"/>
                    <w:szCs w:val="20"/>
                  </w:rPr>
                </w:pPr>
                <w:r w:rsidRPr="007C1767">
                  <w:rPr>
                    <w:rFonts w:ascii="MS Gothic" w:eastAsia="MS Gothic" w:hAnsi="MS Gothic"/>
                    <w:sz w:val="20"/>
                    <w:szCs w:val="20"/>
                  </w:rPr>
                  <w:t>☐</w:t>
                </w:r>
              </w:p>
            </w:tc>
          </w:sdtContent>
        </w:sdt>
        <w:tc>
          <w:tcPr>
            <w:tcW w:w="1312" w:type="dxa"/>
            <w:gridSpan w:val="2"/>
            <w:tcBorders>
              <w:top w:val="single" w:sz="4" w:space="0" w:color="auto"/>
              <w:left w:val="nil"/>
              <w:bottom w:val="single" w:sz="4" w:space="0" w:color="auto"/>
              <w:right w:val="nil"/>
            </w:tcBorders>
            <w:vAlign w:val="center"/>
          </w:tcPr>
          <w:p w:rsidR="0099354A" w:rsidRPr="007C1767" w:rsidRDefault="0099354A" w:rsidP="00330DF9">
            <w:pPr>
              <w:rPr>
                <w:sz w:val="20"/>
                <w:szCs w:val="20"/>
              </w:rPr>
            </w:pPr>
            <w:r w:rsidRPr="007C1767">
              <w:rPr>
                <w:sz w:val="20"/>
                <w:szCs w:val="20"/>
              </w:rPr>
              <w:t>Áno</w:t>
            </w:r>
          </w:p>
        </w:tc>
        <w:tc>
          <w:tcPr>
            <w:tcW w:w="538" w:type="dxa"/>
            <w:gridSpan w:val="2"/>
            <w:tcBorders>
              <w:top w:val="single" w:sz="4" w:space="0" w:color="auto"/>
              <w:left w:val="nil"/>
              <w:bottom w:val="single" w:sz="4" w:space="0" w:color="auto"/>
              <w:right w:val="nil"/>
            </w:tcBorders>
            <w:vAlign w:val="center"/>
          </w:tcPr>
          <w:p w:rsidR="0099354A" w:rsidRPr="007C1767" w:rsidRDefault="0099354A" w:rsidP="00330DF9">
            <w:pPr>
              <w:jc w:val="center"/>
              <w:rPr>
                <w:sz w:val="20"/>
                <w:szCs w:val="20"/>
              </w:rPr>
            </w:pPr>
          </w:p>
        </w:tc>
        <w:tc>
          <w:tcPr>
            <w:tcW w:w="1133" w:type="dxa"/>
            <w:tcBorders>
              <w:top w:val="single" w:sz="4" w:space="0" w:color="auto"/>
              <w:left w:val="nil"/>
              <w:bottom w:val="single" w:sz="4" w:space="0" w:color="auto"/>
              <w:right w:val="nil"/>
            </w:tcBorders>
            <w:vAlign w:val="center"/>
          </w:tcPr>
          <w:p w:rsidR="0099354A" w:rsidRPr="007C1767" w:rsidRDefault="0099354A" w:rsidP="00330DF9">
            <w:pPr>
              <w:rPr>
                <w:sz w:val="20"/>
                <w:szCs w:val="20"/>
              </w:rPr>
            </w:pPr>
          </w:p>
        </w:tc>
        <w:sdt>
          <w:sdtPr>
            <w:rPr>
              <w:sz w:val="20"/>
              <w:szCs w:val="20"/>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99354A" w:rsidRPr="007C1767" w:rsidRDefault="0099354A" w:rsidP="00330DF9">
                <w:pPr>
                  <w:ind w:left="-107" w:right="-108"/>
                  <w:jc w:val="center"/>
                  <w:rPr>
                    <w:sz w:val="20"/>
                    <w:szCs w:val="20"/>
                  </w:rPr>
                </w:pPr>
                <w:r w:rsidRPr="007C1767">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9354A" w:rsidRPr="007C1767" w:rsidRDefault="0099354A" w:rsidP="00330DF9">
            <w:pPr>
              <w:ind w:left="34"/>
              <w:rPr>
                <w:sz w:val="20"/>
                <w:szCs w:val="20"/>
              </w:rPr>
            </w:pPr>
            <w:r w:rsidRPr="007C1767">
              <w:rPr>
                <w:sz w:val="20"/>
                <w:szCs w:val="20"/>
              </w:rPr>
              <w:t>Nie</w:t>
            </w:r>
          </w:p>
        </w:tc>
      </w:tr>
      <w:tr w:rsidR="0099354A" w:rsidRPr="007C1767" w:rsidTr="00330DF9">
        <w:tc>
          <w:tcPr>
            <w:tcW w:w="3812" w:type="dxa"/>
            <w:tcBorders>
              <w:top w:val="single" w:sz="4" w:space="0" w:color="auto"/>
              <w:left w:val="single" w:sz="4" w:space="0" w:color="auto"/>
              <w:bottom w:val="nil"/>
              <w:right w:val="single" w:sz="4" w:space="0" w:color="auto"/>
            </w:tcBorders>
            <w:shd w:val="clear" w:color="auto" w:fill="E2E2E2"/>
          </w:tcPr>
          <w:p w:rsidR="0099354A" w:rsidRPr="007C1767" w:rsidRDefault="0099354A" w:rsidP="00330DF9">
            <w:pPr>
              <w:rPr>
                <w:b/>
                <w:sz w:val="20"/>
                <w:szCs w:val="20"/>
              </w:rPr>
            </w:pPr>
            <w:r w:rsidRPr="007C1767">
              <w:rPr>
                <w:b/>
                <w:sz w:val="20"/>
                <w:szCs w:val="20"/>
              </w:rPr>
              <w:t>Vplyvy na podnikateľské prostredie</w:t>
            </w:r>
          </w:p>
        </w:tc>
        <w:sdt>
          <w:sdtPr>
            <w:rPr>
              <w:b/>
              <w:sz w:val="20"/>
              <w:szCs w:val="20"/>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99354A" w:rsidRPr="007C1767" w:rsidRDefault="0099354A" w:rsidP="00330DF9">
            <w:pPr>
              <w:rPr>
                <w:b/>
                <w:sz w:val="20"/>
                <w:szCs w:val="20"/>
              </w:rPr>
            </w:pPr>
            <w:r w:rsidRPr="007C1767">
              <w:rPr>
                <w:b/>
                <w:sz w:val="20"/>
                <w:szCs w:val="20"/>
              </w:rPr>
              <w:t>Žiadne</w:t>
            </w:r>
          </w:p>
        </w:tc>
        <w:sdt>
          <w:sdtPr>
            <w:rPr>
              <w:b/>
              <w:sz w:val="20"/>
              <w:szCs w:val="20"/>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99354A" w:rsidRPr="007C1767" w:rsidRDefault="0099354A" w:rsidP="00330DF9">
            <w:pPr>
              <w:ind w:left="54"/>
              <w:rPr>
                <w:b/>
                <w:sz w:val="20"/>
                <w:szCs w:val="20"/>
              </w:rPr>
            </w:pPr>
            <w:r w:rsidRPr="007C1767">
              <w:rPr>
                <w:b/>
                <w:sz w:val="20"/>
                <w:szCs w:val="20"/>
              </w:rPr>
              <w:t>Negatívne</w:t>
            </w:r>
          </w:p>
        </w:tc>
      </w:tr>
      <w:tr w:rsidR="0099354A" w:rsidRPr="007C1767" w:rsidTr="00330DF9">
        <w:tc>
          <w:tcPr>
            <w:tcW w:w="3812" w:type="dxa"/>
            <w:tcBorders>
              <w:top w:val="nil"/>
              <w:left w:val="single" w:sz="4" w:space="0" w:color="000000"/>
              <w:bottom w:val="nil"/>
              <w:right w:val="single" w:sz="4" w:space="0" w:color="000000"/>
            </w:tcBorders>
            <w:shd w:val="clear" w:color="auto" w:fill="E2E2E2"/>
          </w:tcPr>
          <w:p w:rsidR="0099354A" w:rsidRPr="007C1767" w:rsidRDefault="0099354A" w:rsidP="00330DF9">
            <w:pPr>
              <w:rPr>
                <w:sz w:val="20"/>
                <w:szCs w:val="20"/>
              </w:rPr>
            </w:pPr>
            <w:r w:rsidRPr="007C1767">
              <w:rPr>
                <w:sz w:val="20"/>
                <w:szCs w:val="20"/>
              </w:rPr>
              <w:t xml:space="preserve">    z toho vplyvy na MSP</w:t>
            </w:r>
          </w:p>
          <w:p w:rsidR="0099354A" w:rsidRPr="007C1767" w:rsidRDefault="0099354A" w:rsidP="00330DF9">
            <w:pPr>
              <w:rPr>
                <w:sz w:val="20"/>
                <w:szCs w:val="20"/>
              </w:rPr>
            </w:pPr>
          </w:p>
        </w:tc>
        <w:sdt>
          <w:sdtPr>
            <w:rPr>
              <w:sz w:val="20"/>
              <w:szCs w:val="20"/>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rsidR="0099354A" w:rsidRPr="007C1767" w:rsidRDefault="0099354A" w:rsidP="00330DF9">
                <w:pPr>
                  <w:jc w:val="center"/>
                  <w:rPr>
                    <w:sz w:val="20"/>
                    <w:szCs w:val="20"/>
                  </w:rPr>
                </w:pPr>
                <w:r w:rsidRPr="007C1767">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99354A" w:rsidRPr="007C1767" w:rsidRDefault="0099354A" w:rsidP="00330DF9">
            <w:pPr>
              <w:ind w:right="-108"/>
              <w:rPr>
                <w:sz w:val="20"/>
                <w:szCs w:val="20"/>
              </w:rPr>
            </w:pPr>
            <w:r w:rsidRPr="007C1767">
              <w:rPr>
                <w:sz w:val="20"/>
                <w:szCs w:val="20"/>
              </w:rPr>
              <w:t>Pozitívne</w:t>
            </w:r>
          </w:p>
        </w:tc>
        <w:sdt>
          <w:sdtPr>
            <w:rPr>
              <w:sz w:val="20"/>
              <w:szCs w:val="20"/>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99354A" w:rsidRPr="007C1767" w:rsidRDefault="0099354A" w:rsidP="00330DF9">
                <w:pPr>
                  <w:jc w:val="center"/>
                  <w:rPr>
                    <w:sz w:val="20"/>
                    <w:szCs w:val="20"/>
                  </w:rPr>
                </w:pPr>
                <w:r w:rsidRPr="007C1767">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99354A" w:rsidRPr="007C1767" w:rsidRDefault="0099354A" w:rsidP="00330DF9">
            <w:pPr>
              <w:rPr>
                <w:sz w:val="20"/>
                <w:szCs w:val="20"/>
              </w:rPr>
            </w:pPr>
            <w:r w:rsidRPr="007C1767">
              <w:rPr>
                <w:sz w:val="20"/>
                <w:szCs w:val="20"/>
              </w:rPr>
              <w:t>Žiadne</w:t>
            </w:r>
          </w:p>
        </w:tc>
        <w:sdt>
          <w:sdtPr>
            <w:rPr>
              <w:sz w:val="20"/>
              <w:szCs w:val="20"/>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99354A" w:rsidRPr="007C1767" w:rsidRDefault="0099354A" w:rsidP="00330DF9">
                <w:pPr>
                  <w:jc w:val="center"/>
                  <w:rPr>
                    <w:sz w:val="20"/>
                    <w:szCs w:val="20"/>
                  </w:rPr>
                </w:pPr>
                <w:r w:rsidRPr="007C1767">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9354A" w:rsidRPr="007C1767" w:rsidRDefault="0099354A" w:rsidP="00330DF9">
            <w:pPr>
              <w:ind w:left="54"/>
              <w:rPr>
                <w:sz w:val="20"/>
                <w:szCs w:val="20"/>
              </w:rPr>
            </w:pPr>
            <w:r w:rsidRPr="007C1767">
              <w:rPr>
                <w:sz w:val="20"/>
                <w:szCs w:val="20"/>
              </w:rPr>
              <w:t>Negatívne</w:t>
            </w:r>
          </w:p>
        </w:tc>
      </w:tr>
      <w:tr w:rsidR="0099354A" w:rsidRPr="007C1767" w:rsidTr="00330DF9">
        <w:tc>
          <w:tcPr>
            <w:tcW w:w="3812" w:type="dxa"/>
            <w:tcBorders>
              <w:top w:val="nil"/>
              <w:left w:val="single" w:sz="4" w:space="0" w:color="auto"/>
              <w:bottom w:val="single" w:sz="4" w:space="0" w:color="auto"/>
              <w:right w:val="single" w:sz="4" w:space="0" w:color="auto"/>
            </w:tcBorders>
            <w:shd w:val="clear" w:color="auto" w:fill="E2E2E2"/>
          </w:tcPr>
          <w:p w:rsidR="0099354A" w:rsidRPr="007C1767" w:rsidRDefault="0099354A" w:rsidP="00330DF9">
            <w:pPr>
              <w:rPr>
                <w:sz w:val="20"/>
                <w:szCs w:val="20"/>
              </w:rPr>
            </w:pPr>
            <w:r w:rsidRPr="007C1767">
              <w:rPr>
                <w:sz w:val="20"/>
                <w:szCs w:val="20"/>
              </w:rPr>
              <w:t xml:space="preserve">    Mechanizmus znižovania byrokracie    </w:t>
            </w:r>
          </w:p>
          <w:p w:rsidR="0099354A" w:rsidRPr="007C1767" w:rsidRDefault="0099354A" w:rsidP="00330DF9">
            <w:pPr>
              <w:rPr>
                <w:b/>
                <w:sz w:val="20"/>
                <w:szCs w:val="20"/>
              </w:rPr>
            </w:pPr>
            <w:r w:rsidRPr="007C1767">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99354A" w:rsidRPr="007C1767" w:rsidRDefault="0099354A" w:rsidP="00330DF9">
            <w:pPr>
              <w:ind w:right="-108"/>
              <w:rPr>
                <w:b/>
                <w:sz w:val="20"/>
                <w:szCs w:val="20"/>
              </w:rPr>
            </w:pPr>
            <w:r w:rsidRPr="007C1767">
              <w:rPr>
                <w:sz w:val="20"/>
                <w:szCs w:val="20"/>
              </w:rPr>
              <w:t>Áno</w:t>
            </w:r>
          </w:p>
        </w:tc>
        <w:tc>
          <w:tcPr>
            <w:tcW w:w="254" w:type="dxa"/>
            <w:tcBorders>
              <w:top w:val="dotted" w:sz="4" w:space="0" w:color="auto"/>
              <w:left w:val="nil"/>
              <w:bottom w:val="single" w:sz="4" w:space="0" w:color="auto"/>
              <w:right w:val="nil"/>
            </w:tcBorders>
            <w:vAlign w:val="center"/>
          </w:tcPr>
          <w:p w:rsidR="0099354A" w:rsidRPr="007C1767" w:rsidRDefault="0099354A" w:rsidP="00330DF9">
            <w:pPr>
              <w:jc w:val="center"/>
              <w:rPr>
                <w:b/>
                <w:sz w:val="20"/>
                <w:szCs w:val="20"/>
              </w:rPr>
            </w:pPr>
          </w:p>
        </w:tc>
        <w:tc>
          <w:tcPr>
            <w:tcW w:w="1133" w:type="dxa"/>
            <w:tcBorders>
              <w:top w:val="dotted" w:sz="4" w:space="0" w:color="auto"/>
              <w:left w:val="nil"/>
              <w:bottom w:val="single" w:sz="4" w:space="0" w:color="auto"/>
              <w:right w:val="nil"/>
            </w:tcBorders>
            <w:vAlign w:val="center"/>
          </w:tcPr>
          <w:p w:rsidR="0099354A" w:rsidRPr="007C1767" w:rsidRDefault="0099354A" w:rsidP="00330DF9">
            <w:pPr>
              <w:jc w:val="center"/>
              <w:rPr>
                <w:b/>
                <w:sz w:val="20"/>
                <w:szCs w:val="20"/>
              </w:rPr>
            </w:pPr>
          </w:p>
        </w:tc>
        <w:sdt>
          <w:sdtPr>
            <w:rPr>
              <w:b/>
              <w:sz w:val="20"/>
              <w:szCs w:val="20"/>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99354A" w:rsidRPr="007C1767" w:rsidRDefault="0099354A" w:rsidP="00330DF9">
            <w:pPr>
              <w:ind w:left="54"/>
              <w:rPr>
                <w:b/>
                <w:sz w:val="20"/>
                <w:szCs w:val="20"/>
              </w:rPr>
            </w:pPr>
            <w:r w:rsidRPr="007C1767">
              <w:rPr>
                <w:sz w:val="20"/>
                <w:szCs w:val="20"/>
              </w:rPr>
              <w:t>Nie</w:t>
            </w:r>
          </w:p>
        </w:tc>
      </w:tr>
      <w:tr w:rsidR="0099354A" w:rsidRPr="007C1767" w:rsidTr="00330DF9">
        <w:tc>
          <w:tcPr>
            <w:tcW w:w="3812" w:type="dxa"/>
            <w:tcBorders>
              <w:top w:val="single" w:sz="4" w:space="0" w:color="000000"/>
              <w:left w:val="single" w:sz="4" w:space="0" w:color="auto"/>
              <w:bottom w:val="single" w:sz="4" w:space="0" w:color="auto"/>
              <w:right w:val="single" w:sz="4" w:space="0" w:color="auto"/>
            </w:tcBorders>
            <w:shd w:val="clear" w:color="auto" w:fill="E2E2E2"/>
          </w:tcPr>
          <w:p w:rsidR="0099354A" w:rsidRPr="007C1767" w:rsidRDefault="0099354A" w:rsidP="00330DF9">
            <w:pPr>
              <w:rPr>
                <w:b/>
                <w:sz w:val="20"/>
                <w:szCs w:val="20"/>
              </w:rPr>
            </w:pPr>
            <w:r w:rsidRPr="007C1767">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99354A" w:rsidRPr="007C1767" w:rsidRDefault="0099354A" w:rsidP="00330DF9">
            <w:pPr>
              <w:rPr>
                <w:b/>
                <w:sz w:val="20"/>
                <w:szCs w:val="20"/>
              </w:rPr>
            </w:pPr>
            <w:r w:rsidRPr="007C1767">
              <w:rPr>
                <w:b/>
                <w:sz w:val="20"/>
                <w:szCs w:val="20"/>
              </w:rPr>
              <w:t>Žiadne</w:t>
            </w:r>
          </w:p>
        </w:tc>
        <w:sdt>
          <w:sdtPr>
            <w:rPr>
              <w:b/>
              <w:sz w:val="20"/>
              <w:szCs w:val="20"/>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9354A" w:rsidRPr="007C1767" w:rsidRDefault="0099354A" w:rsidP="00330DF9">
            <w:pPr>
              <w:ind w:left="54"/>
              <w:rPr>
                <w:b/>
                <w:sz w:val="20"/>
                <w:szCs w:val="20"/>
              </w:rPr>
            </w:pPr>
            <w:r w:rsidRPr="007C1767">
              <w:rPr>
                <w:b/>
                <w:sz w:val="20"/>
                <w:szCs w:val="20"/>
              </w:rPr>
              <w:t>Negatívne</w:t>
            </w:r>
          </w:p>
        </w:tc>
      </w:tr>
      <w:tr w:rsidR="0099354A" w:rsidRPr="007C1767" w:rsidTr="00330DF9">
        <w:tc>
          <w:tcPr>
            <w:tcW w:w="3812" w:type="dxa"/>
            <w:tcBorders>
              <w:top w:val="single" w:sz="4" w:space="0" w:color="auto"/>
              <w:left w:val="single" w:sz="4" w:space="0" w:color="auto"/>
              <w:bottom w:val="single" w:sz="4" w:space="0" w:color="auto"/>
              <w:right w:val="single" w:sz="4" w:space="0" w:color="auto"/>
            </w:tcBorders>
            <w:shd w:val="clear" w:color="auto" w:fill="E2E2E2"/>
          </w:tcPr>
          <w:p w:rsidR="0099354A" w:rsidRPr="007C1767" w:rsidRDefault="0099354A" w:rsidP="00330DF9">
            <w:pPr>
              <w:rPr>
                <w:b/>
                <w:sz w:val="20"/>
                <w:szCs w:val="20"/>
              </w:rPr>
            </w:pPr>
            <w:r w:rsidRPr="007C1767">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99354A" w:rsidRPr="007C1767" w:rsidRDefault="0099354A" w:rsidP="00330DF9">
            <w:pPr>
              <w:rPr>
                <w:b/>
                <w:sz w:val="20"/>
                <w:szCs w:val="20"/>
              </w:rPr>
            </w:pPr>
            <w:r w:rsidRPr="007C1767">
              <w:rPr>
                <w:b/>
                <w:sz w:val="20"/>
                <w:szCs w:val="20"/>
              </w:rPr>
              <w:t>Žiadne</w:t>
            </w:r>
          </w:p>
        </w:tc>
        <w:sdt>
          <w:sdtPr>
            <w:rPr>
              <w:b/>
              <w:sz w:val="20"/>
              <w:szCs w:val="20"/>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9354A" w:rsidRPr="007C1767" w:rsidRDefault="0099354A" w:rsidP="00330DF9">
            <w:pPr>
              <w:ind w:left="54"/>
              <w:rPr>
                <w:b/>
                <w:sz w:val="20"/>
                <w:szCs w:val="20"/>
              </w:rPr>
            </w:pPr>
            <w:r w:rsidRPr="007C1767">
              <w:rPr>
                <w:b/>
                <w:sz w:val="20"/>
                <w:szCs w:val="20"/>
              </w:rPr>
              <w:t>Negatívne</w:t>
            </w:r>
          </w:p>
        </w:tc>
      </w:tr>
      <w:tr w:rsidR="0099354A" w:rsidRPr="007C1767" w:rsidTr="00330DF9">
        <w:tc>
          <w:tcPr>
            <w:tcW w:w="3812" w:type="dxa"/>
            <w:tcBorders>
              <w:top w:val="single" w:sz="4" w:space="0" w:color="auto"/>
              <w:left w:val="single" w:sz="4" w:space="0" w:color="auto"/>
              <w:bottom w:val="single" w:sz="4" w:space="0" w:color="auto"/>
              <w:right w:val="single" w:sz="4" w:space="0" w:color="auto"/>
            </w:tcBorders>
            <w:shd w:val="clear" w:color="auto" w:fill="E2E2E2"/>
          </w:tcPr>
          <w:p w:rsidR="0099354A" w:rsidRPr="007C1767" w:rsidRDefault="0099354A" w:rsidP="00330DF9">
            <w:pPr>
              <w:rPr>
                <w:b/>
                <w:sz w:val="20"/>
                <w:szCs w:val="20"/>
              </w:rPr>
            </w:pPr>
            <w:r w:rsidRPr="007C1767">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99354A" w:rsidRPr="007C1767" w:rsidRDefault="0099354A" w:rsidP="00330DF9">
            <w:pPr>
              <w:rPr>
                <w:b/>
                <w:sz w:val="20"/>
                <w:szCs w:val="20"/>
              </w:rPr>
            </w:pPr>
            <w:r w:rsidRPr="007C1767">
              <w:rPr>
                <w:b/>
                <w:sz w:val="20"/>
                <w:szCs w:val="20"/>
              </w:rPr>
              <w:t>Žiadne</w:t>
            </w:r>
          </w:p>
        </w:tc>
        <w:sdt>
          <w:sdtPr>
            <w:rPr>
              <w:b/>
              <w:sz w:val="20"/>
              <w:szCs w:val="20"/>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9354A" w:rsidRPr="007C1767" w:rsidRDefault="0099354A" w:rsidP="00330DF9">
            <w:pPr>
              <w:ind w:left="54"/>
              <w:rPr>
                <w:b/>
                <w:sz w:val="20"/>
                <w:szCs w:val="20"/>
              </w:rPr>
            </w:pPr>
            <w:r w:rsidRPr="007C1767">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9354A" w:rsidRPr="007C1767" w:rsidTr="00330DF9">
        <w:tc>
          <w:tcPr>
            <w:tcW w:w="3812" w:type="dxa"/>
            <w:tcBorders>
              <w:top w:val="single" w:sz="4" w:space="0" w:color="auto"/>
              <w:left w:val="single" w:sz="4" w:space="0" w:color="auto"/>
              <w:bottom w:val="nil"/>
              <w:right w:val="single" w:sz="4" w:space="0" w:color="auto"/>
            </w:tcBorders>
            <w:shd w:val="clear" w:color="auto" w:fill="E2E2E2"/>
          </w:tcPr>
          <w:p w:rsidR="0099354A" w:rsidRPr="007C1767" w:rsidRDefault="0099354A" w:rsidP="00330DF9">
            <w:pPr>
              <w:rPr>
                <w:b/>
                <w:sz w:val="20"/>
                <w:szCs w:val="20"/>
              </w:rPr>
            </w:pPr>
            <w:r w:rsidRPr="007C1767">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9354A" w:rsidRPr="007C1767" w:rsidRDefault="0099354A" w:rsidP="00330DF9">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99354A" w:rsidRPr="007C1767" w:rsidRDefault="0099354A" w:rsidP="00330DF9">
            <w:pPr>
              <w:ind w:right="-108"/>
              <w:rPr>
                <w:b/>
                <w:sz w:val="20"/>
                <w:szCs w:val="20"/>
              </w:rPr>
            </w:pPr>
          </w:p>
        </w:tc>
        <w:tc>
          <w:tcPr>
            <w:tcW w:w="569" w:type="dxa"/>
            <w:gridSpan w:val="2"/>
            <w:tcBorders>
              <w:top w:val="single" w:sz="4" w:space="0" w:color="auto"/>
              <w:left w:val="nil"/>
              <w:bottom w:val="nil"/>
              <w:right w:val="nil"/>
            </w:tcBorders>
            <w:shd w:val="clear" w:color="auto" w:fill="auto"/>
          </w:tcPr>
          <w:p w:rsidR="0099354A" w:rsidRPr="007C1767" w:rsidRDefault="0099354A" w:rsidP="00330DF9">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99354A" w:rsidRPr="007C1767" w:rsidRDefault="0099354A" w:rsidP="00330DF9">
            <w:pPr>
              <w:rPr>
                <w:b/>
                <w:sz w:val="20"/>
                <w:szCs w:val="20"/>
              </w:rPr>
            </w:pPr>
          </w:p>
        </w:tc>
        <w:tc>
          <w:tcPr>
            <w:tcW w:w="547" w:type="dxa"/>
            <w:tcBorders>
              <w:top w:val="single" w:sz="4" w:space="0" w:color="auto"/>
              <w:left w:val="nil"/>
              <w:bottom w:val="nil"/>
              <w:right w:val="nil"/>
            </w:tcBorders>
            <w:shd w:val="clear" w:color="auto" w:fill="auto"/>
          </w:tcPr>
          <w:p w:rsidR="0099354A" w:rsidRPr="007C1767" w:rsidRDefault="0099354A" w:rsidP="00330DF9">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99354A" w:rsidRPr="007C1767" w:rsidRDefault="0099354A" w:rsidP="00330DF9">
            <w:pPr>
              <w:ind w:left="54"/>
              <w:rPr>
                <w:b/>
                <w:sz w:val="20"/>
                <w:szCs w:val="20"/>
              </w:rPr>
            </w:pPr>
          </w:p>
        </w:tc>
      </w:tr>
      <w:tr w:rsidR="0099354A" w:rsidRPr="007C1767" w:rsidTr="00330DF9">
        <w:tc>
          <w:tcPr>
            <w:tcW w:w="3812" w:type="dxa"/>
            <w:tcBorders>
              <w:top w:val="nil"/>
              <w:left w:val="single" w:sz="4" w:space="0" w:color="auto"/>
              <w:bottom w:val="nil"/>
              <w:right w:val="single" w:sz="4" w:space="0" w:color="auto"/>
            </w:tcBorders>
            <w:shd w:val="clear" w:color="auto" w:fill="E2E2E2"/>
          </w:tcPr>
          <w:p w:rsidR="0099354A" w:rsidRPr="007C1767" w:rsidRDefault="0099354A" w:rsidP="00330DF9">
            <w:pPr>
              <w:ind w:left="196" w:hanging="196"/>
              <w:rPr>
                <w:rFonts w:eastAsia="Calibri"/>
                <w:b/>
                <w:sz w:val="20"/>
                <w:szCs w:val="20"/>
              </w:rPr>
            </w:pPr>
            <w:r w:rsidRPr="007C1767">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99354A" w:rsidRPr="007C1767" w:rsidRDefault="0099354A" w:rsidP="00330DF9">
            <w:pPr>
              <w:rPr>
                <w:b/>
                <w:sz w:val="20"/>
                <w:szCs w:val="20"/>
              </w:rPr>
            </w:pPr>
            <w:r w:rsidRPr="007C1767">
              <w:rPr>
                <w:b/>
                <w:sz w:val="20"/>
                <w:szCs w:val="20"/>
              </w:rPr>
              <w:t>Žiadne</w:t>
            </w:r>
          </w:p>
        </w:tc>
        <w:sdt>
          <w:sdtPr>
            <w:rPr>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99354A" w:rsidRPr="007C1767" w:rsidRDefault="0099354A" w:rsidP="00330DF9">
            <w:pPr>
              <w:ind w:left="54"/>
              <w:rPr>
                <w:b/>
                <w:sz w:val="20"/>
                <w:szCs w:val="20"/>
              </w:rPr>
            </w:pPr>
            <w:r w:rsidRPr="007C1767">
              <w:rPr>
                <w:b/>
                <w:sz w:val="20"/>
                <w:szCs w:val="20"/>
              </w:rPr>
              <w:t>Negatívne</w:t>
            </w:r>
          </w:p>
        </w:tc>
      </w:tr>
      <w:tr w:rsidR="0099354A" w:rsidRPr="007C1767" w:rsidTr="00330DF9">
        <w:tc>
          <w:tcPr>
            <w:tcW w:w="3812" w:type="dxa"/>
            <w:tcBorders>
              <w:top w:val="nil"/>
              <w:left w:val="single" w:sz="4" w:space="0" w:color="auto"/>
              <w:bottom w:val="nil"/>
              <w:right w:val="single" w:sz="4" w:space="0" w:color="auto"/>
            </w:tcBorders>
            <w:shd w:val="clear" w:color="auto" w:fill="E2E2E2"/>
          </w:tcPr>
          <w:p w:rsidR="0099354A" w:rsidRPr="007C1767" w:rsidRDefault="0099354A" w:rsidP="00330DF9">
            <w:pPr>
              <w:ind w:left="168" w:hanging="168"/>
              <w:rPr>
                <w:rFonts w:eastAsia="Calibri"/>
                <w:b/>
                <w:sz w:val="20"/>
                <w:szCs w:val="20"/>
              </w:rPr>
            </w:pPr>
            <w:r w:rsidRPr="007C1767">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99354A" w:rsidRPr="007C1767" w:rsidRDefault="0099354A" w:rsidP="00330DF9">
            <w:pPr>
              <w:rPr>
                <w:b/>
                <w:sz w:val="20"/>
                <w:szCs w:val="20"/>
              </w:rPr>
            </w:pPr>
            <w:r w:rsidRPr="007C1767">
              <w:rPr>
                <w:b/>
                <w:sz w:val="20"/>
                <w:szCs w:val="20"/>
              </w:rPr>
              <w:t>Žiadne</w:t>
            </w:r>
          </w:p>
        </w:tc>
        <w:sdt>
          <w:sdtPr>
            <w:rPr>
              <w:b/>
              <w:sz w:val="20"/>
              <w:szCs w:val="20"/>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99354A" w:rsidRPr="007C1767" w:rsidRDefault="0099354A" w:rsidP="00330DF9">
            <w:pPr>
              <w:ind w:left="54"/>
              <w:rPr>
                <w:b/>
                <w:sz w:val="20"/>
                <w:szCs w:val="20"/>
              </w:rPr>
            </w:pPr>
            <w:r w:rsidRPr="007C1767">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9354A" w:rsidRPr="007C1767" w:rsidTr="00330DF9">
        <w:tc>
          <w:tcPr>
            <w:tcW w:w="3812" w:type="dxa"/>
            <w:tcBorders>
              <w:top w:val="single" w:sz="4" w:space="0" w:color="000000"/>
              <w:left w:val="single" w:sz="4" w:space="0" w:color="auto"/>
              <w:bottom w:val="single" w:sz="4" w:space="0" w:color="auto"/>
              <w:right w:val="single" w:sz="4" w:space="0" w:color="auto"/>
            </w:tcBorders>
            <w:shd w:val="clear" w:color="auto" w:fill="E2E2E2"/>
          </w:tcPr>
          <w:p w:rsidR="0099354A" w:rsidRPr="007C1767" w:rsidRDefault="0099354A" w:rsidP="00330DF9">
            <w:pPr>
              <w:rPr>
                <w:b/>
                <w:sz w:val="20"/>
                <w:szCs w:val="20"/>
              </w:rPr>
            </w:pPr>
            <w:r w:rsidRPr="007C1767">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99354A" w:rsidRPr="007C1767" w:rsidRDefault="0099354A" w:rsidP="00330DF9">
            <w:pPr>
              <w:ind w:right="-108"/>
              <w:rPr>
                <w:b/>
                <w:sz w:val="20"/>
                <w:szCs w:val="20"/>
              </w:rPr>
            </w:pPr>
            <w:r w:rsidRPr="007C1767">
              <w:rPr>
                <w:b/>
                <w:sz w:val="20"/>
                <w:szCs w:val="20"/>
              </w:rPr>
              <w:t>Pozitívne</w:t>
            </w:r>
          </w:p>
        </w:tc>
        <w:sdt>
          <w:sdtPr>
            <w:rPr>
              <w:b/>
              <w:sz w:val="20"/>
              <w:szCs w:val="20"/>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99354A" w:rsidRPr="007C1767" w:rsidRDefault="0099354A" w:rsidP="00330DF9">
            <w:pPr>
              <w:rPr>
                <w:b/>
                <w:sz w:val="20"/>
                <w:szCs w:val="20"/>
              </w:rPr>
            </w:pPr>
            <w:r w:rsidRPr="007C1767">
              <w:rPr>
                <w:b/>
                <w:sz w:val="20"/>
                <w:szCs w:val="20"/>
              </w:rPr>
              <w:t>Žiadne</w:t>
            </w:r>
          </w:p>
        </w:tc>
        <w:sdt>
          <w:sdtPr>
            <w:rPr>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99354A" w:rsidRPr="007C1767" w:rsidRDefault="0099354A" w:rsidP="00330DF9">
                <w:pPr>
                  <w:jc w:val="center"/>
                  <w:rPr>
                    <w:b/>
                    <w:sz w:val="20"/>
                    <w:szCs w:val="20"/>
                  </w:rPr>
                </w:pPr>
                <w:r w:rsidRPr="007C1767">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9354A" w:rsidRPr="007C1767" w:rsidRDefault="0099354A" w:rsidP="00330DF9">
            <w:pPr>
              <w:ind w:left="54"/>
              <w:rPr>
                <w:b/>
                <w:sz w:val="20"/>
                <w:szCs w:val="20"/>
              </w:rPr>
            </w:pPr>
            <w:r w:rsidRPr="007C1767">
              <w:rPr>
                <w:b/>
                <w:sz w:val="20"/>
                <w:szCs w:val="20"/>
              </w:rPr>
              <w:t>Negatívne</w:t>
            </w:r>
          </w:p>
        </w:tc>
      </w:tr>
    </w:tbl>
    <w:p w:rsidR="0099354A" w:rsidRPr="007C1767" w:rsidRDefault="0099354A" w:rsidP="0099354A">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99354A" w:rsidRPr="007C1767" w:rsidTr="00330DF9">
        <w:tc>
          <w:tcPr>
            <w:tcW w:w="9176" w:type="dxa"/>
            <w:tcBorders>
              <w:top w:val="single" w:sz="4" w:space="0" w:color="auto"/>
              <w:left w:val="single" w:sz="4" w:space="0" w:color="auto"/>
              <w:bottom w:val="nil"/>
              <w:right w:val="single" w:sz="4" w:space="0" w:color="auto"/>
            </w:tcBorders>
            <w:shd w:val="clear" w:color="auto" w:fill="E2E2E2"/>
          </w:tcPr>
          <w:p w:rsidR="0099354A" w:rsidRPr="007C1767" w:rsidRDefault="0099354A" w:rsidP="00330DF9">
            <w:pPr>
              <w:widowControl/>
              <w:numPr>
                <w:ilvl w:val="0"/>
                <w:numId w:val="7"/>
              </w:numPr>
              <w:adjustRightInd/>
              <w:ind w:left="426"/>
              <w:contextualSpacing/>
              <w:rPr>
                <w:rFonts w:eastAsia="Calibri"/>
                <w:b/>
              </w:rPr>
            </w:pPr>
            <w:r w:rsidRPr="007C1767">
              <w:rPr>
                <w:rFonts w:eastAsia="Calibri"/>
                <w:b/>
              </w:rPr>
              <w:t>Poznámky</w:t>
            </w:r>
          </w:p>
        </w:tc>
      </w:tr>
      <w:tr w:rsidR="0099354A" w:rsidRPr="007C1767" w:rsidTr="00330DF9">
        <w:trPr>
          <w:trHeight w:val="713"/>
        </w:trPr>
        <w:tc>
          <w:tcPr>
            <w:tcW w:w="9176" w:type="dxa"/>
            <w:tcBorders>
              <w:top w:val="nil"/>
              <w:left w:val="single" w:sz="4" w:space="0" w:color="auto"/>
              <w:bottom w:val="single" w:sz="4" w:space="0" w:color="FFFFFF"/>
              <w:right w:val="single" w:sz="4" w:space="0" w:color="auto"/>
            </w:tcBorders>
            <w:shd w:val="clear" w:color="auto" w:fill="auto"/>
          </w:tcPr>
          <w:p w:rsidR="0099354A" w:rsidRPr="007C1767" w:rsidRDefault="0099354A" w:rsidP="00330DF9">
            <w:pPr>
              <w:jc w:val="both"/>
              <w:rPr>
                <w:i/>
                <w:sz w:val="20"/>
                <w:szCs w:val="20"/>
              </w:rPr>
            </w:pPr>
            <w:r w:rsidRPr="007C1767">
              <w:rPr>
                <w:i/>
                <w:sz w:val="20"/>
                <w:szCs w:val="20"/>
              </w:rPr>
              <w:lastRenderedPageBreak/>
              <w:t xml:space="preserve">V prípade potreby uveďte doplňujúce informácie k identifikovaným vplyvom a ich analýzam. </w:t>
            </w:r>
          </w:p>
          <w:p w:rsidR="0099354A" w:rsidRPr="00B55E8C" w:rsidRDefault="0099354A" w:rsidP="00330DF9">
            <w:pPr>
              <w:jc w:val="both"/>
              <w:rPr>
                <w:sz w:val="20"/>
                <w:szCs w:val="20"/>
              </w:rPr>
            </w:pPr>
            <w:r w:rsidRPr="00B55E8C">
              <w:rPr>
                <w:sz w:val="20"/>
                <w:szCs w:val="20"/>
              </w:rPr>
              <w:t xml:space="preserve">Kvantifikácie vplyvov na podnikateľské prostredie budú vykonané v rámci návrhu novely vykonávacieho predpisu - vyhlášky Ministerstva dopravy, výstavby a regionálneho rozvoja Slovenskej republiky č. 284/2013 Z. z. </w:t>
            </w:r>
            <w:r w:rsidRPr="00B55E8C">
              <w:rPr>
                <w:bCs/>
                <w:sz w:val="20"/>
                <w:szCs w:val="20"/>
                <w:lang w:val="sq-AL"/>
              </w:rPr>
              <w:t xml:space="preserve">o podrobnostiach </w:t>
            </w:r>
            <w:r w:rsidRPr="00B55E8C">
              <w:rPr>
                <w:bCs/>
                <w:sz w:val="20"/>
                <w:szCs w:val="20"/>
              </w:rPr>
              <w:t xml:space="preserve">o výške poskytovanej podpory zo Štátneho fondu rozvoja bývania, </w:t>
            </w:r>
            <w:r w:rsidRPr="00B55E8C">
              <w:rPr>
                <w:sz w:val="20"/>
                <w:szCs w:val="20"/>
              </w:rPr>
              <w:t>o všeobecných podmienkach poskytnutia podpory a o obsahu žiadosti v znení neskorších predpisov.</w:t>
            </w:r>
          </w:p>
          <w:p w:rsidR="0099354A" w:rsidRPr="007C1767" w:rsidRDefault="0099354A" w:rsidP="00330DF9">
            <w:pPr>
              <w:jc w:val="both"/>
              <w:rPr>
                <w:i/>
                <w:sz w:val="20"/>
                <w:szCs w:val="20"/>
              </w:rPr>
            </w:pPr>
            <w:r w:rsidRPr="007C1767">
              <w:rPr>
                <w:i/>
                <w:sz w:val="20"/>
                <w:szCs w:val="20"/>
              </w:rPr>
              <w:t>Informácie v tejto časti slúžia na zhrnutie vplyvov alebo aj na vyjadrenie sa k marginálnym vplyvom a nie ako náhrada za vypracovanie príslušných analýz vybraných vplyvov.</w:t>
            </w:r>
          </w:p>
          <w:p w:rsidR="0099354A" w:rsidRPr="007C1767" w:rsidRDefault="0099354A" w:rsidP="00330DF9">
            <w:pPr>
              <w:contextualSpacing/>
              <w:jc w:val="both"/>
              <w:rPr>
                <w:rFonts w:eastAsia="Calibri"/>
                <w:bCs/>
                <w:sz w:val="20"/>
                <w:szCs w:val="20"/>
              </w:rPr>
            </w:pPr>
            <w:r w:rsidRPr="007C1767">
              <w:rPr>
                <w:rFonts w:eastAsia="Calibri"/>
                <w:bCs/>
                <w:sz w:val="20"/>
                <w:szCs w:val="20"/>
              </w:rPr>
              <w:t xml:space="preserve">Predloženým návrhom zákona nevzniknú nové požiadavky na rozpočet verejnej správy. Financovanie bude zabezpečené </w:t>
            </w:r>
            <w:r w:rsidRPr="007C1767">
              <w:rPr>
                <w:rFonts w:eastAsia="Calibri"/>
                <w:bCs/>
                <w:sz w:val="20"/>
                <w:szCs w:val="20"/>
                <w:u w:val="single"/>
              </w:rPr>
              <w:t>v rámci schválených limitov</w:t>
            </w:r>
            <w:r w:rsidRPr="007C1767">
              <w:rPr>
                <w:rFonts w:eastAsia="Calibri"/>
                <w:bCs/>
                <w:sz w:val="20"/>
                <w:szCs w:val="20"/>
              </w:rPr>
              <w:t xml:space="preserve"> výdavkov rozpočtu Štátneho fondu rozvoja bývania na príslušný rozpočtový rok. </w:t>
            </w:r>
          </w:p>
          <w:p w:rsidR="0099354A" w:rsidRPr="007C1767" w:rsidRDefault="0099354A" w:rsidP="00330DF9">
            <w:pPr>
              <w:contextualSpacing/>
              <w:jc w:val="both"/>
              <w:rPr>
                <w:rFonts w:eastAsia="Calibri"/>
                <w:b/>
              </w:rPr>
            </w:pPr>
            <w:r w:rsidRPr="007C1767">
              <w:rPr>
                <w:rFonts w:eastAsia="Calibri"/>
                <w:bCs/>
                <w:sz w:val="20"/>
                <w:szCs w:val="20"/>
              </w:rPr>
              <w:t>Návrh zákona nemá žiadne sociálne vplyvy a nemá žiadny vplyv na manželstvo, rodičovstvo a rodinu, životné prostredie, informatizáciu spoločnosti, podnikateľské prostredie a na služby verejnej správy pre občana.</w:t>
            </w:r>
          </w:p>
        </w:tc>
      </w:tr>
      <w:tr w:rsidR="0099354A" w:rsidRPr="00B043B4" w:rsidTr="00330DF9">
        <w:tc>
          <w:tcPr>
            <w:tcW w:w="9176" w:type="dxa"/>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Kontakt na spracovateľa</w:t>
            </w:r>
          </w:p>
        </w:tc>
      </w:tr>
      <w:tr w:rsidR="0099354A" w:rsidRPr="00B043B4" w:rsidTr="00330DF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9354A" w:rsidRDefault="0099354A" w:rsidP="00330DF9">
            <w:pPr>
              <w:rPr>
                <w:i/>
                <w:sz w:val="20"/>
                <w:szCs w:val="20"/>
              </w:rPr>
            </w:pPr>
            <w:r w:rsidRPr="00B043B4">
              <w:rPr>
                <w:i/>
                <w:sz w:val="20"/>
                <w:szCs w:val="20"/>
              </w:rPr>
              <w:t>Uveďte údaje na kontaktnú osobu, ktorú je možné kontaktovať v súvislosti s posúdením vybraných vplyvov.</w:t>
            </w:r>
          </w:p>
          <w:p w:rsidR="0099354A" w:rsidRPr="00B043B4" w:rsidRDefault="0099354A" w:rsidP="00330DF9">
            <w:pPr>
              <w:tabs>
                <w:tab w:val="left" w:pos="1014"/>
              </w:tabs>
              <w:rPr>
                <w:i/>
                <w:sz w:val="20"/>
                <w:szCs w:val="20"/>
              </w:rPr>
            </w:pPr>
          </w:p>
        </w:tc>
      </w:tr>
      <w:tr w:rsidR="0099354A" w:rsidRPr="00B043B4" w:rsidTr="00330DF9">
        <w:tc>
          <w:tcPr>
            <w:tcW w:w="9176" w:type="dxa"/>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26"/>
              <w:contextualSpacing/>
              <w:rPr>
                <w:rFonts w:eastAsia="Calibri"/>
                <w:b/>
              </w:rPr>
            </w:pPr>
            <w:r w:rsidRPr="00B043B4">
              <w:rPr>
                <w:rFonts w:eastAsia="Calibri"/>
                <w:b/>
              </w:rPr>
              <w:t>Zdroje</w:t>
            </w:r>
          </w:p>
        </w:tc>
      </w:tr>
      <w:tr w:rsidR="0099354A" w:rsidRPr="00B043B4" w:rsidTr="00330DF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9354A" w:rsidRPr="00B043B4" w:rsidRDefault="0099354A" w:rsidP="00330DF9">
            <w:pPr>
              <w:jc w:val="both"/>
              <w:rPr>
                <w:i/>
                <w:sz w:val="20"/>
                <w:szCs w:val="20"/>
              </w:rPr>
            </w:pPr>
            <w:r w:rsidRPr="00B043B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99354A" w:rsidRPr="00B043B4" w:rsidRDefault="0099354A" w:rsidP="00330DF9">
            <w:pPr>
              <w:rPr>
                <w:i/>
                <w:sz w:val="20"/>
                <w:szCs w:val="20"/>
              </w:rPr>
            </w:pPr>
            <w:r w:rsidRPr="00830C89">
              <w:rPr>
                <w:sz w:val="20"/>
                <w:szCs w:val="20"/>
              </w:rPr>
              <w:t>MD SR</w:t>
            </w:r>
            <w:r>
              <w:rPr>
                <w:sz w:val="20"/>
                <w:szCs w:val="20"/>
              </w:rPr>
              <w:t>, ŠFRB</w:t>
            </w:r>
          </w:p>
          <w:p w:rsidR="0099354A" w:rsidRPr="00B043B4" w:rsidRDefault="0099354A" w:rsidP="00330DF9">
            <w:pPr>
              <w:rPr>
                <w:b/>
                <w:sz w:val="20"/>
                <w:szCs w:val="20"/>
              </w:rPr>
            </w:pPr>
          </w:p>
        </w:tc>
      </w:tr>
      <w:tr w:rsidR="0099354A" w:rsidRPr="00B043B4" w:rsidTr="00330DF9">
        <w:tc>
          <w:tcPr>
            <w:tcW w:w="9176" w:type="dxa"/>
            <w:tcBorders>
              <w:top w:val="single" w:sz="4" w:space="0" w:color="auto"/>
              <w:left w:val="single" w:sz="4" w:space="0" w:color="auto"/>
              <w:bottom w:val="single" w:sz="4" w:space="0" w:color="FFFFFF"/>
              <w:right w:val="single" w:sz="4" w:space="0" w:color="auto"/>
            </w:tcBorders>
            <w:shd w:val="clear" w:color="auto" w:fill="E2E2E2"/>
          </w:tcPr>
          <w:p w:rsidR="0099354A" w:rsidRPr="00B043B4" w:rsidRDefault="0099354A" w:rsidP="00330DF9">
            <w:pPr>
              <w:widowControl/>
              <w:numPr>
                <w:ilvl w:val="0"/>
                <w:numId w:val="7"/>
              </w:numPr>
              <w:adjustRightInd/>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99354A" w:rsidRPr="00B043B4" w:rsidRDefault="0099354A" w:rsidP="00330DF9">
            <w:pPr>
              <w:ind w:left="502"/>
              <w:rPr>
                <w:b/>
                <w:sz w:val="20"/>
                <w:szCs w:val="20"/>
              </w:rPr>
            </w:pPr>
            <w:r w:rsidRPr="00B043B4">
              <w:rPr>
                <w:rFonts w:eastAsia="Calibri"/>
              </w:rPr>
              <w:t>(v prípade, ak sa uskutočnilo v zmysle bodu 8.1 Jednotnej metodiky)</w:t>
            </w:r>
          </w:p>
        </w:tc>
      </w:tr>
      <w:tr w:rsidR="0099354A" w:rsidRPr="00B043B4" w:rsidTr="00330DF9">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9354A" w:rsidRPr="00B043B4" w:rsidRDefault="0099354A" w:rsidP="00330DF9">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9354A" w:rsidRPr="00B043B4" w:rsidTr="00330DF9">
              <w:trPr>
                <w:trHeight w:val="396"/>
              </w:trPr>
              <w:tc>
                <w:tcPr>
                  <w:tcW w:w="2552" w:type="dxa"/>
                </w:tcPr>
                <w:p w:rsidR="0099354A" w:rsidRPr="00B043B4" w:rsidRDefault="0099354A" w:rsidP="00330DF9">
                  <w:pPr>
                    <w:rPr>
                      <w:b/>
                      <w:sz w:val="20"/>
                      <w:szCs w:val="20"/>
                    </w:rPr>
                  </w:pPr>
                  <w:sdt>
                    <w:sdtPr>
                      <w:rPr>
                        <w:b/>
                        <w:sz w:val="20"/>
                        <w:szCs w:val="20"/>
                      </w:rPr>
                      <w:id w:val="-187491088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 xml:space="preserve">Súhlasné </w:t>
                  </w:r>
                </w:p>
              </w:tc>
              <w:tc>
                <w:tcPr>
                  <w:tcW w:w="3827" w:type="dxa"/>
                </w:tcPr>
                <w:p w:rsidR="0099354A" w:rsidRPr="00B043B4" w:rsidRDefault="0099354A" w:rsidP="00330DF9">
                  <w:pPr>
                    <w:rPr>
                      <w:b/>
                      <w:sz w:val="20"/>
                      <w:szCs w:val="20"/>
                    </w:rPr>
                  </w:pPr>
                  <w:sdt>
                    <w:sdtPr>
                      <w:rPr>
                        <w:b/>
                        <w:sz w:val="20"/>
                        <w:szCs w:val="20"/>
                      </w:rPr>
                      <w:id w:val="1697888127"/>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Súhlasné s návrhom na dopracovanie</w:t>
                  </w:r>
                </w:p>
              </w:tc>
              <w:tc>
                <w:tcPr>
                  <w:tcW w:w="2534" w:type="dxa"/>
                </w:tcPr>
                <w:p w:rsidR="0099354A" w:rsidRPr="00B043B4" w:rsidRDefault="0099354A" w:rsidP="00330DF9">
                  <w:pPr>
                    <w:ind w:right="459"/>
                    <w:rPr>
                      <w:b/>
                      <w:sz w:val="20"/>
                      <w:szCs w:val="20"/>
                    </w:rPr>
                  </w:pPr>
                  <w:sdt>
                    <w:sdtPr>
                      <w:rPr>
                        <w:b/>
                        <w:sz w:val="20"/>
                        <w:szCs w:val="20"/>
                      </w:rPr>
                      <w:id w:val="-64782291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Nesúhlasné</w:t>
                  </w:r>
                </w:p>
              </w:tc>
            </w:tr>
          </w:tbl>
          <w:p w:rsidR="0099354A" w:rsidRPr="00B043B4" w:rsidRDefault="0099354A" w:rsidP="00330DF9">
            <w:pPr>
              <w:jc w:val="both"/>
              <w:rPr>
                <w:b/>
                <w:sz w:val="20"/>
                <w:szCs w:val="20"/>
              </w:rPr>
            </w:pPr>
            <w:r w:rsidRPr="00B043B4">
              <w:rPr>
                <w:b/>
                <w:sz w:val="20"/>
                <w:szCs w:val="20"/>
              </w:rPr>
              <w:t>Uveďte pripomienky zo stanoviska Komisie z časti II. spolu s Vaším vyhodnotením:</w:t>
            </w:r>
          </w:p>
          <w:p w:rsidR="0099354A" w:rsidRDefault="0099354A" w:rsidP="00330DF9">
            <w:pPr>
              <w:rPr>
                <w:b/>
                <w:sz w:val="20"/>
                <w:szCs w:val="20"/>
              </w:rPr>
            </w:pPr>
          </w:p>
          <w:p w:rsidR="0099354A" w:rsidRPr="00B043B4" w:rsidRDefault="0099354A" w:rsidP="00330DF9">
            <w:pPr>
              <w:rPr>
                <w:b/>
                <w:sz w:val="20"/>
                <w:szCs w:val="20"/>
              </w:rPr>
            </w:pPr>
          </w:p>
        </w:tc>
      </w:tr>
      <w:tr w:rsidR="0099354A" w:rsidRPr="00B043B4" w:rsidTr="00330DF9">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99354A" w:rsidRPr="00B043B4" w:rsidRDefault="0099354A" w:rsidP="00330DF9">
            <w:pPr>
              <w:widowControl/>
              <w:numPr>
                <w:ilvl w:val="0"/>
                <w:numId w:val="7"/>
              </w:numPr>
              <w:adjustRightInd/>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99354A" w:rsidRPr="00B043B4" w:rsidTr="00330DF9">
        <w:tblPrEx>
          <w:tblBorders>
            <w:insideH w:val="single" w:sz="4" w:space="0" w:color="FFFFFF"/>
            <w:insideV w:val="single" w:sz="4" w:space="0" w:color="FFFFFF"/>
          </w:tblBorders>
        </w:tblPrEx>
        <w:tc>
          <w:tcPr>
            <w:tcW w:w="9176" w:type="dxa"/>
            <w:shd w:val="clear" w:color="auto" w:fill="FFFFFF"/>
          </w:tcPr>
          <w:p w:rsidR="0099354A" w:rsidRPr="00B043B4" w:rsidRDefault="0099354A" w:rsidP="00330DF9">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9354A" w:rsidRPr="00B043B4" w:rsidTr="00330DF9">
              <w:trPr>
                <w:trHeight w:val="396"/>
              </w:trPr>
              <w:tc>
                <w:tcPr>
                  <w:tcW w:w="2552" w:type="dxa"/>
                </w:tcPr>
                <w:p w:rsidR="0099354A" w:rsidRPr="00B043B4" w:rsidRDefault="0099354A" w:rsidP="00330DF9">
                  <w:pPr>
                    <w:rPr>
                      <w:b/>
                      <w:sz w:val="20"/>
                      <w:szCs w:val="20"/>
                    </w:rPr>
                  </w:pPr>
                  <w:sdt>
                    <w:sdtPr>
                      <w:rPr>
                        <w:b/>
                        <w:sz w:val="20"/>
                        <w:szCs w:val="20"/>
                      </w:rPr>
                      <w:id w:val="888232876"/>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 xml:space="preserve">Súhlasné </w:t>
                  </w:r>
                </w:p>
              </w:tc>
              <w:tc>
                <w:tcPr>
                  <w:tcW w:w="3827" w:type="dxa"/>
                </w:tcPr>
                <w:p w:rsidR="0099354A" w:rsidRPr="00B043B4" w:rsidRDefault="0099354A" w:rsidP="00330DF9">
                  <w:pPr>
                    <w:rPr>
                      <w:b/>
                      <w:sz w:val="20"/>
                      <w:szCs w:val="20"/>
                    </w:rPr>
                  </w:pPr>
                  <w:sdt>
                    <w:sdtPr>
                      <w:rPr>
                        <w:b/>
                        <w:sz w:val="20"/>
                        <w:szCs w:val="20"/>
                      </w:rPr>
                      <w:id w:val="95383176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Súhlasné s  návrhom na dopracovanie</w:t>
                  </w:r>
                </w:p>
              </w:tc>
              <w:tc>
                <w:tcPr>
                  <w:tcW w:w="2534" w:type="dxa"/>
                </w:tcPr>
                <w:p w:rsidR="0099354A" w:rsidRPr="00B043B4" w:rsidRDefault="0099354A" w:rsidP="00330DF9">
                  <w:pPr>
                    <w:ind w:right="459"/>
                    <w:rPr>
                      <w:b/>
                      <w:sz w:val="20"/>
                      <w:szCs w:val="20"/>
                    </w:rPr>
                  </w:pPr>
                  <w:sdt>
                    <w:sdtPr>
                      <w:rPr>
                        <w:b/>
                        <w:sz w:val="20"/>
                        <w:szCs w:val="20"/>
                      </w:rPr>
                      <w:id w:val="-36174045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sidRPr="00B043B4">
                    <w:rPr>
                      <w:b/>
                      <w:sz w:val="20"/>
                      <w:szCs w:val="20"/>
                    </w:rPr>
                    <w:t>Nesúhlasné</w:t>
                  </w:r>
                </w:p>
              </w:tc>
            </w:tr>
          </w:tbl>
          <w:p w:rsidR="0099354A" w:rsidRPr="00B043B4" w:rsidRDefault="0099354A" w:rsidP="00330DF9">
            <w:pPr>
              <w:jc w:val="both"/>
              <w:rPr>
                <w:b/>
                <w:sz w:val="20"/>
                <w:szCs w:val="20"/>
              </w:rPr>
            </w:pPr>
            <w:r w:rsidRPr="00B043B4">
              <w:rPr>
                <w:b/>
                <w:sz w:val="20"/>
                <w:szCs w:val="20"/>
              </w:rPr>
              <w:t>Uveďte pripomienky zo stanoviska Komisie z časti II. spolu s Vaším vyhodnotením:</w:t>
            </w:r>
          </w:p>
          <w:p w:rsidR="0099354A" w:rsidRPr="00B043B4" w:rsidRDefault="0099354A" w:rsidP="00330DF9">
            <w:pPr>
              <w:rPr>
                <w:b/>
                <w:sz w:val="20"/>
                <w:szCs w:val="20"/>
              </w:rPr>
            </w:pPr>
          </w:p>
          <w:p w:rsidR="0099354A" w:rsidRPr="00B043B4" w:rsidRDefault="0099354A" w:rsidP="00330DF9">
            <w:pPr>
              <w:rPr>
                <w:b/>
                <w:sz w:val="20"/>
                <w:szCs w:val="20"/>
              </w:rPr>
            </w:pPr>
          </w:p>
        </w:tc>
      </w:tr>
    </w:tbl>
    <w:p w:rsidR="0099354A" w:rsidRDefault="0099354A" w:rsidP="0099354A"/>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330DF9" w:rsidRDefault="00330DF9" w:rsidP="0099354A">
      <w:pPr>
        <w:pStyle w:val="ListParagraph1"/>
        <w:autoSpaceDE w:val="0"/>
        <w:autoSpaceDN w:val="0"/>
        <w:adjustRightInd w:val="0"/>
        <w:jc w:val="both"/>
        <w:rPr>
          <w:sz w:val="22"/>
          <w:szCs w:val="22"/>
        </w:rPr>
      </w:pPr>
    </w:p>
    <w:p w:rsidR="0099354A" w:rsidRDefault="0099354A" w:rsidP="0099354A">
      <w:pPr>
        <w:pStyle w:val="ListParagraph1"/>
        <w:autoSpaceDE w:val="0"/>
        <w:autoSpaceDN w:val="0"/>
        <w:adjustRightInd w:val="0"/>
        <w:jc w:val="both"/>
        <w:rPr>
          <w:sz w:val="22"/>
          <w:szCs w:val="22"/>
        </w:rPr>
      </w:pPr>
    </w:p>
    <w:p w:rsidR="0099354A" w:rsidRPr="00895898" w:rsidRDefault="0099354A" w:rsidP="0099354A">
      <w:pPr>
        <w:jc w:val="center"/>
        <w:rPr>
          <w:rFonts w:eastAsia="Calibri"/>
          <w:b/>
          <w:sz w:val="28"/>
          <w:szCs w:val="28"/>
        </w:rPr>
      </w:pPr>
      <w:r w:rsidRPr="00895898">
        <w:rPr>
          <w:rFonts w:eastAsia="Calibri"/>
          <w:b/>
          <w:sz w:val="28"/>
          <w:szCs w:val="28"/>
        </w:rPr>
        <w:t>Analýza vplyvov na podnikateľské prostredie</w:t>
      </w:r>
    </w:p>
    <w:p w:rsidR="0099354A" w:rsidRPr="00895898" w:rsidRDefault="0099354A" w:rsidP="0099354A">
      <w:pPr>
        <w:jc w:val="both"/>
        <w:rPr>
          <w:rFonts w:eastAsia="Calibri"/>
          <w:b/>
        </w:rPr>
      </w:pPr>
    </w:p>
    <w:p w:rsidR="0099354A" w:rsidRDefault="0099354A" w:rsidP="0099354A">
      <w:pPr>
        <w:jc w:val="both"/>
        <w:rPr>
          <w:rFonts w:eastAsia="Calibri"/>
          <w:b/>
        </w:rPr>
      </w:pPr>
      <w:r w:rsidRPr="001F1B43">
        <w:rPr>
          <w:rFonts w:eastAsia="Calibri"/>
          <w:b/>
        </w:rPr>
        <w:t>Názov materiálu:</w:t>
      </w:r>
    </w:p>
    <w:p w:rsidR="0099354A" w:rsidRPr="00B37B95" w:rsidRDefault="0099354A" w:rsidP="0099354A">
      <w:pPr>
        <w:tabs>
          <w:tab w:val="num" w:pos="1288"/>
        </w:tabs>
        <w:jc w:val="both"/>
        <w:rPr>
          <w:lang w:val="x-none"/>
        </w:rPr>
      </w:pPr>
      <w:r>
        <w:rPr>
          <w:bCs/>
        </w:rPr>
        <w:t>Návrh z</w:t>
      </w:r>
      <w:r w:rsidRPr="00B37B95">
        <w:rPr>
          <w:bCs/>
        </w:rPr>
        <w:t>ákon</w:t>
      </w:r>
      <w:r>
        <w:rPr>
          <w:bCs/>
        </w:rPr>
        <w:t>a</w:t>
      </w:r>
      <w:r w:rsidRPr="00B37B95">
        <w:rPr>
          <w:bCs/>
          <w:lang w:val="x-none"/>
        </w:rPr>
        <w:t xml:space="preserve">, ktorým sa mení a dopĺňa zákon č. </w:t>
      </w:r>
      <w:r w:rsidRPr="00B37B95">
        <w:rPr>
          <w:bCs/>
        </w:rPr>
        <w:t>150</w:t>
      </w:r>
      <w:r w:rsidRPr="00B37B95">
        <w:rPr>
          <w:bCs/>
          <w:lang w:val="x-none"/>
        </w:rPr>
        <w:t>/201</w:t>
      </w:r>
      <w:r w:rsidRPr="00B37B95">
        <w:rPr>
          <w:bCs/>
        </w:rPr>
        <w:t>3</w:t>
      </w:r>
      <w:r w:rsidRPr="00B37B95">
        <w:rPr>
          <w:bCs/>
          <w:lang w:val="x-none"/>
        </w:rPr>
        <w:t xml:space="preserve"> Z. z. o </w:t>
      </w:r>
      <w:r w:rsidRPr="00B37B95">
        <w:rPr>
          <w:bCs/>
        </w:rPr>
        <w:t>Štátnom fonde rozvoja bývania</w:t>
      </w:r>
      <w:r w:rsidRPr="00B37B95">
        <w:rPr>
          <w:bCs/>
          <w:lang w:val="x-none"/>
        </w:rPr>
        <w:t xml:space="preserve"> v znení neskorších predpisov</w:t>
      </w:r>
      <w:r w:rsidRPr="00B37B95">
        <w:rPr>
          <w:bCs/>
        </w:rPr>
        <w:t xml:space="preserve"> a ktorým sa menia a dopĺňajú niektoré zákony</w:t>
      </w:r>
      <w:r w:rsidRPr="00B37B95">
        <w:rPr>
          <w:bCs/>
          <w:lang w:val="x-none"/>
        </w:rPr>
        <w:t xml:space="preserve"> </w:t>
      </w:r>
    </w:p>
    <w:p w:rsidR="0099354A" w:rsidRPr="00447444" w:rsidRDefault="0099354A" w:rsidP="0099354A">
      <w:pPr>
        <w:jc w:val="both"/>
        <w:rPr>
          <w:rFonts w:eastAsia="Calibri"/>
        </w:rPr>
      </w:pPr>
      <w:r w:rsidRPr="001F1B43">
        <w:rPr>
          <w:rFonts w:eastAsia="Calibri"/>
          <w:b/>
        </w:rPr>
        <w:t>Predkladateľ:</w:t>
      </w:r>
      <w:r w:rsidR="00447444">
        <w:rPr>
          <w:rFonts w:eastAsia="Calibri"/>
          <w:b/>
        </w:rPr>
        <w:t xml:space="preserve"> </w:t>
      </w:r>
      <w:r w:rsidR="00447444">
        <w:rPr>
          <w:rFonts w:eastAsia="Calibri"/>
        </w:rPr>
        <w:t>Miloš SVRČEK, poslanec NR SR</w:t>
      </w:r>
    </w:p>
    <w:p w:rsidR="0099354A" w:rsidRDefault="0099354A" w:rsidP="0099354A">
      <w:pPr>
        <w:jc w:val="both"/>
        <w:rPr>
          <w:rFonts w:eastAsia="Calibri"/>
          <w:b/>
        </w:rPr>
      </w:pPr>
    </w:p>
    <w:p w:rsidR="0099354A" w:rsidRPr="001F1B43" w:rsidRDefault="0099354A" w:rsidP="0099354A">
      <w:pPr>
        <w:jc w:val="both"/>
        <w:rPr>
          <w:rFonts w:eastAsia="Calibri"/>
          <w:b/>
        </w:rPr>
      </w:pPr>
      <w:r w:rsidRPr="001F1B43">
        <w:rPr>
          <w:rFonts w:eastAsia="Calibri"/>
          <w:b/>
        </w:rPr>
        <w:t>3.1 Náklady regulácie</w:t>
      </w:r>
    </w:p>
    <w:p w:rsidR="0099354A" w:rsidRPr="001F1B43" w:rsidRDefault="0099354A" w:rsidP="0099354A">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99354A" w:rsidRPr="001F1B43" w:rsidRDefault="0099354A" w:rsidP="0099354A">
      <w:pPr>
        <w:jc w:val="both"/>
        <w:rPr>
          <w:rFonts w:eastAsia="Calibri"/>
          <w:b/>
        </w:rPr>
      </w:pPr>
    </w:p>
    <w:p w:rsidR="0099354A" w:rsidRPr="00D8247C" w:rsidRDefault="0099354A" w:rsidP="0099354A">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rsidR="0099354A" w:rsidRPr="00D8247C" w:rsidRDefault="0099354A" w:rsidP="0099354A">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rsidR="0099354A" w:rsidRPr="00895898" w:rsidRDefault="0099354A" w:rsidP="0099354A">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99354A" w:rsidRPr="00895898" w:rsidTr="00330DF9">
        <w:tc>
          <w:tcPr>
            <w:tcW w:w="3681" w:type="dxa"/>
          </w:tcPr>
          <w:p w:rsidR="0099354A" w:rsidRPr="00895898" w:rsidRDefault="0099354A" w:rsidP="00330DF9">
            <w:pPr>
              <w:rPr>
                <w:rFonts w:eastAsia="Calibri"/>
                <w:b/>
                <w:bCs/>
                <w:i/>
                <w:sz w:val="20"/>
              </w:rPr>
            </w:pPr>
            <w:r w:rsidRPr="00895898">
              <w:rPr>
                <w:rFonts w:eastAsia="Calibri"/>
                <w:b/>
                <w:bCs/>
                <w:i/>
                <w:sz w:val="20"/>
              </w:rPr>
              <w:t>TYP NÁKLADOV</w:t>
            </w:r>
          </w:p>
        </w:tc>
        <w:tc>
          <w:tcPr>
            <w:tcW w:w="2693" w:type="dxa"/>
            <w:shd w:val="clear" w:color="auto" w:fill="FFC000"/>
          </w:tcPr>
          <w:p w:rsidR="0099354A" w:rsidRPr="00895898" w:rsidRDefault="0099354A" w:rsidP="00330DF9">
            <w:pPr>
              <w:jc w:val="center"/>
              <w:rPr>
                <w:rFonts w:eastAsia="Calibri"/>
                <w:i/>
                <w:sz w:val="20"/>
              </w:rPr>
            </w:pPr>
            <w:r w:rsidRPr="00895898">
              <w:rPr>
                <w:rFonts w:eastAsia="Calibri"/>
                <w:b/>
                <w:bCs/>
                <w:color w:val="000000"/>
                <w:sz w:val="20"/>
              </w:rPr>
              <w:t>Zvýšenie nákladov v € na PP</w:t>
            </w:r>
          </w:p>
        </w:tc>
        <w:tc>
          <w:tcPr>
            <w:tcW w:w="2693" w:type="dxa"/>
            <w:shd w:val="clear" w:color="auto" w:fill="92D050"/>
          </w:tcPr>
          <w:p w:rsidR="0099354A" w:rsidRPr="00895898" w:rsidRDefault="0099354A" w:rsidP="00330DF9">
            <w:pPr>
              <w:jc w:val="center"/>
              <w:rPr>
                <w:rFonts w:eastAsia="Calibri"/>
                <w:b/>
                <w:bCs/>
                <w:color w:val="000000"/>
                <w:sz w:val="20"/>
              </w:rPr>
            </w:pPr>
            <w:r w:rsidRPr="00895898">
              <w:rPr>
                <w:rFonts w:eastAsia="Calibri"/>
                <w:b/>
                <w:bCs/>
                <w:color w:val="000000"/>
                <w:sz w:val="20"/>
              </w:rPr>
              <w:t>Zníženie nákladov v € na PP</w:t>
            </w:r>
          </w:p>
        </w:tc>
      </w:tr>
      <w:tr w:rsidR="0099354A" w:rsidRPr="00895898" w:rsidTr="00330DF9">
        <w:trPr>
          <w:trHeight w:val="227"/>
        </w:trPr>
        <w:tc>
          <w:tcPr>
            <w:tcW w:w="3681" w:type="dxa"/>
          </w:tcPr>
          <w:p w:rsidR="0099354A" w:rsidRPr="00895898" w:rsidRDefault="0099354A" w:rsidP="00330DF9">
            <w:pPr>
              <w:rPr>
                <w:rFonts w:eastAsia="Calibri"/>
                <w:i/>
                <w:iCs/>
                <w:sz w:val="20"/>
              </w:rPr>
            </w:pPr>
            <w:r w:rsidRPr="00895898">
              <w:rPr>
                <w:rFonts w:eastAsia="Calibri"/>
                <w:i/>
                <w:iCs/>
                <w:color w:val="000000"/>
                <w:sz w:val="20"/>
              </w:rPr>
              <w:t>A. Dane, odvody, clá</w:t>
            </w:r>
            <w:r>
              <w:rPr>
                <w:rFonts w:eastAsia="Calibri"/>
                <w:i/>
                <w:iCs/>
                <w:color w:val="000000"/>
                <w:sz w:val="20"/>
              </w:rPr>
              <w:t xml:space="preserve"> a poplatk</w:t>
            </w:r>
            <w:r w:rsidRPr="00A000DA">
              <w:rPr>
                <w:rFonts w:eastAsia="Calibri"/>
                <w:i/>
                <w:iCs/>
                <w:color w:val="000000"/>
                <w:sz w:val="20"/>
              </w:rPr>
              <w:t>y</w:t>
            </w:r>
            <w:r w:rsidRPr="00A000DA">
              <w:t>,</w:t>
            </w:r>
            <w:r>
              <w:rPr>
                <w:b/>
                <w:bCs/>
              </w:rPr>
              <w:t xml:space="preserve"> </w:t>
            </w:r>
            <w:r w:rsidRPr="00A000DA">
              <w:rPr>
                <w:rFonts w:eastAsia="Calibri"/>
                <w:i/>
                <w:iCs/>
                <w:color w:val="000000"/>
                <w:sz w:val="20"/>
              </w:rPr>
              <w:t xml:space="preserve">ktorých cieľom je znižovať negatívne </w:t>
            </w:r>
            <w:proofErr w:type="spellStart"/>
            <w:r w:rsidRPr="00A000DA">
              <w:rPr>
                <w:rFonts w:eastAsia="Calibri"/>
                <w:i/>
                <w:iCs/>
                <w:color w:val="000000"/>
                <w:sz w:val="20"/>
              </w:rPr>
              <w:t>externality</w:t>
            </w:r>
            <w:proofErr w:type="spellEnd"/>
          </w:p>
        </w:tc>
        <w:tc>
          <w:tcPr>
            <w:tcW w:w="2693" w:type="dxa"/>
            <w:shd w:val="clear" w:color="auto" w:fill="FFC000"/>
          </w:tcPr>
          <w:p w:rsidR="0099354A" w:rsidRPr="00895898" w:rsidRDefault="0099354A" w:rsidP="00330DF9">
            <w:pPr>
              <w:jc w:val="center"/>
              <w:rPr>
                <w:rFonts w:eastAsia="Calibri"/>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i/>
                <w:sz w:val="20"/>
              </w:rPr>
            </w:pPr>
            <w:r w:rsidRPr="00895898">
              <w:rPr>
                <w:rFonts w:eastAsia="Calibri"/>
                <w:i/>
                <w:sz w:val="20"/>
              </w:rPr>
              <w:t>0</w:t>
            </w:r>
          </w:p>
        </w:tc>
      </w:tr>
      <w:tr w:rsidR="0099354A" w:rsidRPr="00895898" w:rsidTr="00330DF9">
        <w:tc>
          <w:tcPr>
            <w:tcW w:w="3681" w:type="dxa"/>
          </w:tcPr>
          <w:p w:rsidR="0099354A" w:rsidRPr="00895898" w:rsidRDefault="0099354A" w:rsidP="00330DF9">
            <w:pPr>
              <w:rPr>
                <w:rFonts w:eastAsia="Calibri"/>
                <w:i/>
                <w:sz w:val="20"/>
              </w:rPr>
            </w:pPr>
            <w:r w:rsidRPr="00895898">
              <w:rPr>
                <w:rFonts w:eastAsia="Calibri"/>
                <w:i/>
                <w:sz w:val="20"/>
              </w:rPr>
              <w:t xml:space="preserve">B. </w:t>
            </w:r>
            <w:r>
              <w:rPr>
                <w:rFonts w:eastAsia="Calibri"/>
                <w:i/>
                <w:sz w:val="20"/>
              </w:rPr>
              <w:t>Iné p</w:t>
            </w:r>
            <w:r w:rsidRPr="00895898">
              <w:rPr>
                <w:rFonts w:eastAsia="Calibri"/>
                <w:i/>
                <w:sz w:val="20"/>
              </w:rPr>
              <w:t>oplatky</w:t>
            </w:r>
          </w:p>
        </w:tc>
        <w:tc>
          <w:tcPr>
            <w:tcW w:w="2693" w:type="dxa"/>
            <w:shd w:val="clear" w:color="auto" w:fill="FFC000"/>
          </w:tcPr>
          <w:p w:rsidR="0099354A" w:rsidRPr="00895898" w:rsidRDefault="0099354A" w:rsidP="00330DF9">
            <w:pPr>
              <w:jc w:val="center"/>
              <w:rPr>
                <w:rFonts w:eastAsia="Calibri"/>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i/>
                <w:sz w:val="20"/>
              </w:rPr>
            </w:pPr>
            <w:r w:rsidRPr="00895898">
              <w:rPr>
                <w:rFonts w:eastAsia="Calibri"/>
                <w:i/>
                <w:sz w:val="20"/>
              </w:rPr>
              <w:t>0</w:t>
            </w:r>
          </w:p>
        </w:tc>
      </w:tr>
      <w:tr w:rsidR="0099354A" w:rsidRPr="00895898" w:rsidTr="00330DF9">
        <w:tc>
          <w:tcPr>
            <w:tcW w:w="3681" w:type="dxa"/>
          </w:tcPr>
          <w:p w:rsidR="0099354A" w:rsidRPr="00895898" w:rsidRDefault="0099354A" w:rsidP="00330DF9">
            <w:pPr>
              <w:rPr>
                <w:rFonts w:eastAsia="Calibri"/>
                <w:i/>
                <w:sz w:val="20"/>
              </w:rPr>
            </w:pPr>
            <w:r w:rsidRPr="00895898">
              <w:rPr>
                <w:rFonts w:eastAsia="Calibri"/>
                <w:i/>
                <w:sz w:val="20"/>
              </w:rPr>
              <w:t>C. Nepriame finančné náklady</w:t>
            </w:r>
          </w:p>
        </w:tc>
        <w:tc>
          <w:tcPr>
            <w:tcW w:w="2693" w:type="dxa"/>
            <w:shd w:val="clear" w:color="auto" w:fill="FFC000"/>
          </w:tcPr>
          <w:p w:rsidR="0099354A" w:rsidRPr="00895898" w:rsidRDefault="0099354A" w:rsidP="00330DF9">
            <w:pPr>
              <w:jc w:val="center"/>
              <w:rPr>
                <w:rFonts w:eastAsia="Calibri"/>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i/>
                <w:sz w:val="20"/>
              </w:rPr>
            </w:pPr>
            <w:r w:rsidRPr="00895898">
              <w:rPr>
                <w:rFonts w:eastAsia="Calibri"/>
                <w:i/>
                <w:sz w:val="20"/>
              </w:rPr>
              <w:t>0</w:t>
            </w:r>
          </w:p>
        </w:tc>
      </w:tr>
      <w:tr w:rsidR="0099354A" w:rsidRPr="00895898" w:rsidTr="00330DF9">
        <w:tc>
          <w:tcPr>
            <w:tcW w:w="3681" w:type="dxa"/>
          </w:tcPr>
          <w:p w:rsidR="0099354A" w:rsidRPr="00895898" w:rsidRDefault="0099354A" w:rsidP="00330DF9">
            <w:pPr>
              <w:rPr>
                <w:rFonts w:eastAsia="Calibri"/>
                <w:i/>
                <w:sz w:val="20"/>
              </w:rPr>
            </w:pPr>
            <w:r w:rsidRPr="00895898">
              <w:rPr>
                <w:rFonts w:eastAsia="Calibri"/>
                <w:i/>
                <w:sz w:val="20"/>
              </w:rPr>
              <w:t>D. Administratívne náklady</w:t>
            </w:r>
          </w:p>
        </w:tc>
        <w:tc>
          <w:tcPr>
            <w:tcW w:w="2693" w:type="dxa"/>
            <w:shd w:val="clear" w:color="auto" w:fill="FFC000"/>
          </w:tcPr>
          <w:p w:rsidR="0099354A" w:rsidRPr="00895898" w:rsidRDefault="0099354A" w:rsidP="00330DF9">
            <w:pPr>
              <w:jc w:val="center"/>
              <w:rPr>
                <w:rFonts w:eastAsia="Calibri"/>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i/>
                <w:sz w:val="20"/>
              </w:rPr>
            </w:pPr>
            <w:r w:rsidRPr="00895898">
              <w:rPr>
                <w:rFonts w:eastAsia="Calibri"/>
                <w:i/>
                <w:sz w:val="20"/>
              </w:rPr>
              <w:t>0</w:t>
            </w:r>
          </w:p>
        </w:tc>
      </w:tr>
      <w:tr w:rsidR="0099354A" w:rsidRPr="00895898" w:rsidTr="00330DF9">
        <w:tc>
          <w:tcPr>
            <w:tcW w:w="3681" w:type="dxa"/>
          </w:tcPr>
          <w:p w:rsidR="0099354A" w:rsidRPr="00895898" w:rsidRDefault="0099354A" w:rsidP="00330DF9">
            <w:pPr>
              <w:rPr>
                <w:rFonts w:eastAsia="Calibri"/>
                <w:b/>
                <w:i/>
                <w:sz w:val="20"/>
              </w:rPr>
            </w:pPr>
            <w:r w:rsidRPr="00895898">
              <w:rPr>
                <w:rFonts w:eastAsia="Calibri"/>
                <w:b/>
                <w:i/>
                <w:sz w:val="20"/>
              </w:rPr>
              <w:t>Spolu = A+B+C+D</w:t>
            </w:r>
          </w:p>
        </w:tc>
        <w:tc>
          <w:tcPr>
            <w:tcW w:w="2693" w:type="dxa"/>
            <w:shd w:val="clear" w:color="auto" w:fill="FFC000"/>
          </w:tcPr>
          <w:p w:rsidR="0099354A" w:rsidRPr="00895898" w:rsidRDefault="0099354A" w:rsidP="00330DF9">
            <w:pPr>
              <w:jc w:val="center"/>
              <w:rPr>
                <w:rFonts w:eastAsia="Calibri"/>
                <w:b/>
                <w:i/>
                <w:sz w:val="20"/>
              </w:rPr>
            </w:pPr>
            <w:r w:rsidRPr="00895898">
              <w:rPr>
                <w:rFonts w:eastAsia="Calibri"/>
                <w:b/>
                <w:i/>
                <w:sz w:val="20"/>
              </w:rPr>
              <w:t>0</w:t>
            </w:r>
          </w:p>
        </w:tc>
        <w:tc>
          <w:tcPr>
            <w:tcW w:w="2693" w:type="dxa"/>
            <w:shd w:val="clear" w:color="auto" w:fill="92D050"/>
          </w:tcPr>
          <w:p w:rsidR="0099354A" w:rsidRPr="00895898" w:rsidRDefault="0099354A" w:rsidP="00330DF9">
            <w:pPr>
              <w:jc w:val="center"/>
              <w:rPr>
                <w:rFonts w:eastAsia="Calibri"/>
                <w:b/>
                <w:i/>
                <w:sz w:val="20"/>
              </w:rPr>
            </w:pPr>
            <w:r w:rsidRPr="00895898">
              <w:rPr>
                <w:rFonts w:eastAsia="Calibri"/>
                <w:b/>
                <w:i/>
                <w:sz w:val="20"/>
              </w:rPr>
              <w:t>0</w:t>
            </w:r>
          </w:p>
        </w:tc>
      </w:tr>
      <w:tr w:rsidR="0099354A" w:rsidRPr="00895898" w:rsidTr="00330DF9">
        <w:tc>
          <w:tcPr>
            <w:tcW w:w="3681" w:type="dxa"/>
          </w:tcPr>
          <w:p w:rsidR="0099354A" w:rsidRPr="00895898" w:rsidRDefault="0099354A" w:rsidP="00330DF9">
            <w:pPr>
              <w:rPr>
                <w:rFonts w:eastAsia="Calibri"/>
                <w:b/>
                <w:i/>
                <w:sz w:val="20"/>
              </w:rPr>
            </w:pPr>
            <w:r w:rsidRPr="00895898">
              <w:rPr>
                <w:rFonts w:eastAsia="Calibri"/>
                <w:b/>
                <w:i/>
                <w:sz w:val="20"/>
              </w:rPr>
              <w:t xml:space="preserve"> z</w:t>
            </w:r>
            <w:r>
              <w:rPr>
                <w:rFonts w:eastAsia="Calibri"/>
                <w:b/>
                <w:i/>
                <w:sz w:val="20"/>
              </w:rPr>
              <w:t> </w:t>
            </w:r>
            <w:r w:rsidRPr="00895898">
              <w:rPr>
                <w:rFonts w:eastAsia="Calibri"/>
                <w:b/>
                <w:i/>
                <w:sz w:val="20"/>
              </w:rPr>
              <w:t>toho</w:t>
            </w:r>
          </w:p>
        </w:tc>
        <w:tc>
          <w:tcPr>
            <w:tcW w:w="2693" w:type="dxa"/>
            <w:shd w:val="clear" w:color="auto" w:fill="FFC000"/>
          </w:tcPr>
          <w:p w:rsidR="0099354A" w:rsidRPr="00895898" w:rsidRDefault="0099354A" w:rsidP="00330DF9">
            <w:pPr>
              <w:jc w:val="center"/>
              <w:rPr>
                <w:rFonts w:eastAsia="Calibri"/>
                <w:b/>
                <w:i/>
                <w:sz w:val="20"/>
              </w:rPr>
            </w:pPr>
          </w:p>
        </w:tc>
        <w:tc>
          <w:tcPr>
            <w:tcW w:w="2693" w:type="dxa"/>
            <w:shd w:val="clear" w:color="auto" w:fill="92D050"/>
          </w:tcPr>
          <w:p w:rsidR="0099354A" w:rsidRPr="00895898" w:rsidRDefault="0099354A" w:rsidP="00330DF9">
            <w:pPr>
              <w:jc w:val="center"/>
              <w:rPr>
                <w:rFonts w:eastAsia="Calibri"/>
                <w:b/>
                <w:i/>
                <w:sz w:val="20"/>
              </w:rPr>
            </w:pPr>
          </w:p>
        </w:tc>
      </w:tr>
      <w:tr w:rsidR="0099354A" w:rsidRPr="00895898" w:rsidTr="00330DF9">
        <w:tc>
          <w:tcPr>
            <w:tcW w:w="3681" w:type="dxa"/>
          </w:tcPr>
          <w:p w:rsidR="0099354A" w:rsidRPr="00895898" w:rsidRDefault="0099354A" w:rsidP="00330DF9">
            <w:pPr>
              <w:rPr>
                <w:rFonts w:eastAsia="Calibri"/>
                <w:i/>
                <w:sz w:val="20"/>
              </w:rPr>
            </w:pPr>
            <w:r w:rsidRPr="00895898">
              <w:rPr>
                <w:rFonts w:eastAsia="Calibri"/>
                <w:i/>
                <w:sz w:val="20"/>
              </w:rPr>
              <w:t xml:space="preserve">E. Vplyv na </w:t>
            </w:r>
            <w:proofErr w:type="spellStart"/>
            <w:r w:rsidRPr="00895898">
              <w:rPr>
                <w:rFonts w:eastAsia="Calibri"/>
                <w:i/>
                <w:sz w:val="20"/>
              </w:rPr>
              <w:t>mikro</w:t>
            </w:r>
            <w:proofErr w:type="spellEnd"/>
            <w:r w:rsidRPr="00895898">
              <w:rPr>
                <w:rFonts w:eastAsia="Calibri"/>
                <w:i/>
                <w:sz w:val="20"/>
              </w:rPr>
              <w:t>, malé a stredné podniky</w:t>
            </w:r>
          </w:p>
        </w:tc>
        <w:tc>
          <w:tcPr>
            <w:tcW w:w="2693" w:type="dxa"/>
            <w:shd w:val="clear" w:color="auto" w:fill="FFC000"/>
          </w:tcPr>
          <w:p w:rsidR="0099354A" w:rsidRPr="00895898" w:rsidRDefault="0099354A" w:rsidP="00330DF9">
            <w:pPr>
              <w:jc w:val="center"/>
              <w:rPr>
                <w:rFonts w:eastAsia="Calibri"/>
                <w:b/>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b/>
                <w:i/>
                <w:sz w:val="20"/>
              </w:rPr>
            </w:pPr>
            <w:r w:rsidRPr="00895898">
              <w:rPr>
                <w:rFonts w:eastAsia="Calibri"/>
                <w:i/>
                <w:sz w:val="20"/>
              </w:rPr>
              <w:t>0</w:t>
            </w:r>
          </w:p>
        </w:tc>
      </w:tr>
      <w:tr w:rsidR="0099354A" w:rsidRPr="00895898" w:rsidTr="00330DF9">
        <w:tc>
          <w:tcPr>
            <w:tcW w:w="3681" w:type="dxa"/>
          </w:tcPr>
          <w:p w:rsidR="0099354A" w:rsidRPr="00895898" w:rsidRDefault="0099354A" w:rsidP="00330DF9">
            <w:pPr>
              <w:rPr>
                <w:rFonts w:eastAsia="Calibri"/>
                <w:i/>
                <w:sz w:val="20"/>
              </w:rPr>
            </w:pPr>
            <w:r w:rsidRPr="00895898">
              <w:rPr>
                <w:rFonts w:eastAsia="Calibri"/>
                <w:i/>
                <w:sz w:val="20"/>
              </w:rPr>
              <w:t>F. Úplná harmonizácia práva EÚ</w:t>
            </w:r>
          </w:p>
        </w:tc>
        <w:tc>
          <w:tcPr>
            <w:tcW w:w="2693" w:type="dxa"/>
            <w:shd w:val="clear" w:color="auto" w:fill="FFC000"/>
          </w:tcPr>
          <w:p w:rsidR="0099354A" w:rsidRPr="00895898" w:rsidRDefault="0099354A" w:rsidP="00330DF9">
            <w:pPr>
              <w:jc w:val="center"/>
              <w:rPr>
                <w:rFonts w:eastAsia="Calibri"/>
                <w:b/>
                <w:i/>
                <w:sz w:val="20"/>
              </w:rPr>
            </w:pPr>
            <w:r w:rsidRPr="00895898">
              <w:rPr>
                <w:rFonts w:eastAsia="Calibri"/>
                <w:i/>
                <w:sz w:val="20"/>
              </w:rPr>
              <w:t>0</w:t>
            </w:r>
          </w:p>
        </w:tc>
        <w:tc>
          <w:tcPr>
            <w:tcW w:w="2693" w:type="dxa"/>
            <w:shd w:val="clear" w:color="auto" w:fill="92D050"/>
          </w:tcPr>
          <w:p w:rsidR="0099354A" w:rsidRPr="00895898" w:rsidRDefault="0099354A" w:rsidP="00330DF9">
            <w:pPr>
              <w:jc w:val="center"/>
              <w:rPr>
                <w:rFonts w:eastAsia="Calibri"/>
                <w:b/>
                <w:i/>
                <w:sz w:val="20"/>
              </w:rPr>
            </w:pPr>
            <w:r w:rsidRPr="00895898">
              <w:rPr>
                <w:rFonts w:eastAsia="Calibri"/>
                <w:i/>
                <w:sz w:val="20"/>
              </w:rPr>
              <w:t>0</w:t>
            </w:r>
          </w:p>
        </w:tc>
      </w:tr>
      <w:tr w:rsidR="0099354A" w:rsidRPr="00895898" w:rsidTr="00330DF9">
        <w:tc>
          <w:tcPr>
            <w:tcW w:w="9067" w:type="dxa"/>
            <w:gridSpan w:val="3"/>
            <w:shd w:val="clear" w:color="auto" w:fill="auto"/>
          </w:tcPr>
          <w:p w:rsidR="0099354A" w:rsidRPr="00895898" w:rsidRDefault="0099354A" w:rsidP="00330DF9">
            <w:pPr>
              <w:jc w:val="center"/>
              <w:rPr>
                <w:rFonts w:eastAsia="Calibri"/>
                <w:b/>
                <w:bCs/>
                <w:i/>
                <w:sz w:val="20"/>
              </w:rPr>
            </w:pPr>
          </w:p>
        </w:tc>
      </w:tr>
      <w:tr w:rsidR="0099354A" w:rsidRPr="00895898" w:rsidTr="00330DF9">
        <w:tc>
          <w:tcPr>
            <w:tcW w:w="3681" w:type="dxa"/>
          </w:tcPr>
          <w:p w:rsidR="0099354A" w:rsidRPr="00895898" w:rsidRDefault="0099354A" w:rsidP="00330DF9">
            <w:pPr>
              <w:rPr>
                <w:rFonts w:eastAsia="Calibri"/>
                <w:b/>
                <w:i/>
                <w:sz w:val="20"/>
              </w:rPr>
            </w:pPr>
            <w:r w:rsidRPr="00895898">
              <w:rPr>
                <w:rFonts w:eastAsia="Calibri"/>
                <w:b/>
                <w:bCs/>
                <w:i/>
                <w:sz w:val="20"/>
              </w:rPr>
              <w:t>VÝPOČET mechanizmu znižovania byrokracie a</w:t>
            </w:r>
            <w:r>
              <w:rPr>
                <w:rFonts w:eastAsia="Calibri"/>
                <w:b/>
                <w:bCs/>
                <w:i/>
                <w:sz w:val="20"/>
              </w:rPr>
              <w:t> </w:t>
            </w:r>
            <w:r w:rsidRPr="00895898">
              <w:rPr>
                <w:rFonts w:eastAsia="Calibri"/>
                <w:b/>
                <w:bCs/>
                <w:i/>
                <w:sz w:val="20"/>
              </w:rPr>
              <w:t>nákladov</w:t>
            </w:r>
          </w:p>
        </w:tc>
        <w:tc>
          <w:tcPr>
            <w:tcW w:w="2693" w:type="dxa"/>
            <w:shd w:val="clear" w:color="auto" w:fill="FFC000"/>
          </w:tcPr>
          <w:p w:rsidR="0099354A" w:rsidRPr="00895898" w:rsidRDefault="0099354A" w:rsidP="00330DF9">
            <w:pPr>
              <w:jc w:val="center"/>
              <w:rPr>
                <w:rFonts w:eastAsia="Calibri"/>
                <w:b/>
                <w:bCs/>
                <w:i/>
                <w:sz w:val="20"/>
              </w:rPr>
            </w:pPr>
            <w:r w:rsidRPr="00895898">
              <w:rPr>
                <w:rFonts w:eastAsia="Calibri"/>
                <w:b/>
                <w:bCs/>
                <w:i/>
                <w:sz w:val="20"/>
              </w:rPr>
              <w:t>IN</w:t>
            </w:r>
          </w:p>
        </w:tc>
        <w:tc>
          <w:tcPr>
            <w:tcW w:w="2693" w:type="dxa"/>
            <w:shd w:val="clear" w:color="auto" w:fill="92D050"/>
          </w:tcPr>
          <w:p w:rsidR="0099354A" w:rsidRPr="00895898" w:rsidRDefault="0099354A" w:rsidP="00330DF9">
            <w:pPr>
              <w:jc w:val="center"/>
              <w:rPr>
                <w:rFonts w:eastAsia="Calibri"/>
                <w:b/>
                <w:bCs/>
                <w:i/>
                <w:sz w:val="20"/>
              </w:rPr>
            </w:pPr>
            <w:r w:rsidRPr="00895898">
              <w:rPr>
                <w:rFonts w:eastAsia="Calibri"/>
                <w:b/>
                <w:bCs/>
                <w:i/>
                <w:sz w:val="20"/>
              </w:rPr>
              <w:t>OUT</w:t>
            </w:r>
          </w:p>
        </w:tc>
      </w:tr>
      <w:tr w:rsidR="0099354A" w:rsidRPr="00895898" w:rsidTr="00330DF9">
        <w:tc>
          <w:tcPr>
            <w:tcW w:w="3681" w:type="dxa"/>
          </w:tcPr>
          <w:p w:rsidR="0099354A" w:rsidRPr="00895898" w:rsidRDefault="0099354A" w:rsidP="00330DF9">
            <w:pPr>
              <w:rPr>
                <w:rFonts w:eastAsia="Calibri"/>
                <w:b/>
                <w:i/>
                <w:sz w:val="20"/>
              </w:rPr>
            </w:pPr>
            <w:r w:rsidRPr="00895898">
              <w:rPr>
                <w:rFonts w:eastAsia="Calibri"/>
                <w:b/>
                <w:i/>
                <w:sz w:val="20"/>
              </w:rPr>
              <w:t>G. Náklady okrem výnimiek = B+C+D-F</w:t>
            </w:r>
          </w:p>
        </w:tc>
        <w:tc>
          <w:tcPr>
            <w:tcW w:w="2693" w:type="dxa"/>
            <w:shd w:val="clear" w:color="auto" w:fill="FFC000"/>
          </w:tcPr>
          <w:p w:rsidR="0099354A" w:rsidRPr="00895898" w:rsidRDefault="0099354A" w:rsidP="00330DF9">
            <w:pPr>
              <w:jc w:val="center"/>
              <w:rPr>
                <w:rFonts w:eastAsia="Calibri"/>
                <w:b/>
                <w:bCs/>
                <w:i/>
                <w:sz w:val="20"/>
              </w:rPr>
            </w:pPr>
            <w:r w:rsidRPr="00895898">
              <w:rPr>
                <w:rFonts w:eastAsia="Calibri"/>
                <w:b/>
                <w:bCs/>
                <w:i/>
                <w:sz w:val="20"/>
              </w:rPr>
              <w:t>0</w:t>
            </w:r>
          </w:p>
        </w:tc>
        <w:tc>
          <w:tcPr>
            <w:tcW w:w="2693" w:type="dxa"/>
            <w:shd w:val="clear" w:color="auto" w:fill="92D050"/>
          </w:tcPr>
          <w:p w:rsidR="0099354A" w:rsidRPr="00895898" w:rsidRDefault="0099354A" w:rsidP="00330DF9">
            <w:pPr>
              <w:jc w:val="center"/>
              <w:rPr>
                <w:rFonts w:eastAsia="Calibri"/>
                <w:b/>
                <w:bCs/>
                <w:i/>
                <w:sz w:val="20"/>
              </w:rPr>
            </w:pPr>
            <w:r w:rsidRPr="00895898">
              <w:rPr>
                <w:rFonts w:eastAsia="Calibri"/>
                <w:b/>
                <w:bCs/>
                <w:i/>
                <w:sz w:val="20"/>
              </w:rPr>
              <w:t>0</w:t>
            </w:r>
          </w:p>
        </w:tc>
      </w:tr>
    </w:tbl>
    <w:p w:rsidR="0099354A" w:rsidRPr="00895898" w:rsidRDefault="0099354A" w:rsidP="0099354A">
      <w:pPr>
        <w:rPr>
          <w:rFonts w:eastAsia="Calibri"/>
          <w:i/>
        </w:rPr>
      </w:pPr>
    </w:p>
    <w:p w:rsidR="0099354A" w:rsidRPr="00895898" w:rsidRDefault="0099354A" w:rsidP="0099354A">
      <w:pPr>
        <w:rPr>
          <w:rFonts w:eastAsia="Calibri"/>
          <w:b/>
        </w:rPr>
      </w:pPr>
    </w:p>
    <w:p w:rsidR="0099354A" w:rsidRPr="00895898" w:rsidRDefault="0099354A" w:rsidP="0099354A">
      <w:pPr>
        <w:rPr>
          <w:rFonts w:eastAsia="Calibri"/>
          <w:b/>
        </w:rPr>
        <w:sectPr w:rsidR="0099354A" w:rsidRPr="00895898" w:rsidSect="00330DF9">
          <w:footerReference w:type="default" r:id="rId6"/>
          <w:pgSz w:w="11906" w:h="16838"/>
          <w:pgMar w:top="993" w:right="1417" w:bottom="1417" w:left="1417" w:header="708" w:footer="708" w:gutter="0"/>
          <w:pgNumType w:start="1"/>
          <w:cols w:space="708"/>
          <w:docGrid w:linePitch="360"/>
        </w:sectPr>
      </w:pPr>
    </w:p>
    <w:p w:rsidR="0099354A" w:rsidRPr="001F1B43" w:rsidRDefault="0099354A" w:rsidP="0099354A">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99354A" w:rsidRPr="00D8247C" w:rsidRDefault="0099354A" w:rsidP="0099354A">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99354A" w:rsidRPr="00895898" w:rsidTr="00330DF9">
        <w:trPr>
          <w:trHeight w:val="1885"/>
        </w:trPr>
        <w:tc>
          <w:tcPr>
            <w:tcW w:w="501" w:type="dxa"/>
            <w:shd w:val="clear" w:color="auto" w:fill="BFBFBF"/>
            <w:vAlign w:val="center"/>
          </w:tcPr>
          <w:p w:rsidR="0099354A" w:rsidRPr="00895898" w:rsidRDefault="0099354A" w:rsidP="00330DF9">
            <w:pPr>
              <w:jc w:val="center"/>
              <w:rPr>
                <w:b/>
                <w:bCs/>
                <w:color w:val="000000"/>
                <w:sz w:val="20"/>
                <w:szCs w:val="20"/>
              </w:rPr>
            </w:pPr>
            <w:proofErr w:type="spellStart"/>
            <w:r w:rsidRPr="00895898">
              <w:rPr>
                <w:b/>
                <w:bCs/>
                <w:color w:val="000000"/>
                <w:sz w:val="20"/>
                <w:szCs w:val="20"/>
              </w:rPr>
              <w:t>P.č</w:t>
            </w:r>
            <w:proofErr w:type="spellEnd"/>
            <w:r w:rsidRPr="00895898">
              <w:rPr>
                <w:b/>
                <w:bCs/>
                <w:color w:val="000000"/>
                <w:sz w:val="20"/>
                <w:szCs w:val="20"/>
              </w:rPr>
              <w:t>.</w:t>
            </w:r>
          </w:p>
        </w:tc>
        <w:tc>
          <w:tcPr>
            <w:tcW w:w="3557"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Zrozumiteľný a stručný opis regulácie vyjadrujúci dôvod zvýšenia/zníženia nákladov na PP</w:t>
            </w:r>
          </w:p>
        </w:tc>
        <w:tc>
          <w:tcPr>
            <w:tcW w:w="1044" w:type="dxa"/>
            <w:shd w:val="clear" w:color="auto" w:fill="BFBFBF"/>
          </w:tcPr>
          <w:p w:rsidR="0099354A" w:rsidRPr="00895898" w:rsidRDefault="0099354A" w:rsidP="00330DF9">
            <w:pPr>
              <w:jc w:val="center"/>
              <w:rPr>
                <w:b/>
                <w:bCs/>
                <w:color w:val="000000"/>
                <w:sz w:val="20"/>
                <w:szCs w:val="20"/>
              </w:rPr>
            </w:pPr>
          </w:p>
          <w:p w:rsidR="0099354A" w:rsidRPr="00895898" w:rsidRDefault="0099354A" w:rsidP="00330DF9">
            <w:pPr>
              <w:jc w:val="center"/>
              <w:rPr>
                <w:b/>
                <w:bCs/>
                <w:color w:val="000000"/>
                <w:sz w:val="20"/>
                <w:szCs w:val="20"/>
              </w:rPr>
            </w:pPr>
            <w:r w:rsidRPr="00895898">
              <w:rPr>
                <w:b/>
                <w:bCs/>
                <w:color w:val="000000"/>
                <w:sz w:val="20"/>
                <w:szCs w:val="20"/>
              </w:rPr>
              <w:t>Číslo normy</w:t>
            </w:r>
          </w:p>
          <w:p w:rsidR="0099354A" w:rsidRPr="00895898" w:rsidRDefault="0099354A" w:rsidP="00330DF9">
            <w:pPr>
              <w:jc w:val="center"/>
              <w:rPr>
                <w:bCs/>
                <w:color w:val="000000"/>
                <w:sz w:val="20"/>
                <w:szCs w:val="20"/>
              </w:rPr>
            </w:pPr>
            <w:r w:rsidRPr="00895898">
              <w:rPr>
                <w:bCs/>
                <w:color w:val="000000"/>
                <w:sz w:val="20"/>
                <w:szCs w:val="20"/>
              </w:rPr>
              <w:t>(zákona, vyhlášky a pod.)</w:t>
            </w:r>
          </w:p>
        </w:tc>
        <w:tc>
          <w:tcPr>
            <w:tcW w:w="1129"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 xml:space="preserve">Lokalizácia </w:t>
            </w:r>
            <w:r w:rsidRPr="00895898">
              <w:rPr>
                <w:bCs/>
                <w:color w:val="000000"/>
                <w:sz w:val="20"/>
                <w:szCs w:val="20"/>
              </w:rPr>
              <w:t>(§, ods.)</w:t>
            </w:r>
          </w:p>
        </w:tc>
        <w:tc>
          <w:tcPr>
            <w:tcW w:w="1303" w:type="dxa"/>
            <w:shd w:val="clear" w:color="auto" w:fill="BFBFBF"/>
            <w:vAlign w:val="center"/>
          </w:tcPr>
          <w:p w:rsidR="0099354A" w:rsidRPr="00895898" w:rsidRDefault="0099354A" w:rsidP="00330DF9">
            <w:pPr>
              <w:jc w:val="center"/>
              <w:rPr>
                <w:b/>
                <w:bCs/>
                <w:color w:val="000000"/>
                <w:sz w:val="20"/>
                <w:szCs w:val="20"/>
              </w:rPr>
            </w:pPr>
            <w:r w:rsidRPr="00895898">
              <w:rPr>
                <w:b/>
                <w:bCs/>
                <w:color w:val="000000"/>
                <w:sz w:val="20"/>
                <w:szCs w:val="20"/>
              </w:rPr>
              <w:t>Pôvod regulácie:</w:t>
            </w:r>
          </w:p>
          <w:p w:rsidR="0099354A" w:rsidRPr="00895898" w:rsidRDefault="0099354A" w:rsidP="00330DF9">
            <w:pPr>
              <w:jc w:val="center"/>
              <w:rPr>
                <w:color w:val="000000"/>
                <w:sz w:val="20"/>
                <w:szCs w:val="20"/>
              </w:rPr>
            </w:pPr>
            <w:r w:rsidRPr="00895898">
              <w:rPr>
                <w:color w:val="000000"/>
                <w:sz w:val="20"/>
                <w:szCs w:val="20"/>
              </w:rPr>
              <w:t xml:space="preserve">SK/EÚ úplná </w:t>
            </w:r>
            <w:proofErr w:type="spellStart"/>
            <w:r w:rsidRPr="00895898">
              <w:rPr>
                <w:color w:val="000000"/>
                <w:sz w:val="20"/>
                <w:szCs w:val="20"/>
              </w:rPr>
              <w:t>harm</w:t>
            </w:r>
            <w:proofErr w:type="spellEnd"/>
            <w:r w:rsidRPr="00895898">
              <w:rPr>
                <w:color w:val="000000"/>
                <w:sz w:val="20"/>
                <w:szCs w:val="20"/>
              </w:rPr>
              <w:t xml:space="preserve">./EÚ </w:t>
            </w:r>
            <w:proofErr w:type="spellStart"/>
            <w:r w:rsidRPr="00895898">
              <w:rPr>
                <w:color w:val="000000"/>
                <w:sz w:val="20"/>
                <w:szCs w:val="20"/>
              </w:rPr>
              <w:t>harm</w:t>
            </w:r>
            <w:proofErr w:type="spellEnd"/>
            <w:r w:rsidRPr="00895898">
              <w:rPr>
                <w:color w:val="000000"/>
                <w:sz w:val="20"/>
                <w:szCs w:val="20"/>
              </w:rPr>
              <w:t>. s možnosťou voľby</w:t>
            </w:r>
          </w:p>
        </w:tc>
        <w:tc>
          <w:tcPr>
            <w:tcW w:w="934"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Účinnosť</w:t>
            </w:r>
          </w:p>
          <w:p w:rsidR="0099354A" w:rsidRPr="00895898" w:rsidRDefault="0099354A" w:rsidP="00330DF9">
            <w:pPr>
              <w:jc w:val="center"/>
              <w:rPr>
                <w:b/>
                <w:bCs/>
                <w:color w:val="000000"/>
                <w:sz w:val="20"/>
                <w:szCs w:val="20"/>
              </w:rPr>
            </w:pPr>
            <w:r w:rsidRPr="00895898">
              <w:rPr>
                <w:b/>
                <w:bCs/>
                <w:color w:val="000000"/>
                <w:sz w:val="20"/>
                <w:szCs w:val="20"/>
              </w:rPr>
              <w:t>regulácie</w:t>
            </w:r>
          </w:p>
          <w:p w:rsidR="0099354A" w:rsidRPr="00895898" w:rsidRDefault="0099354A" w:rsidP="00330DF9">
            <w:pPr>
              <w:jc w:val="center"/>
              <w:rPr>
                <w:bCs/>
                <w:color w:val="000000"/>
                <w:sz w:val="20"/>
                <w:szCs w:val="20"/>
              </w:rPr>
            </w:pPr>
          </w:p>
        </w:tc>
        <w:tc>
          <w:tcPr>
            <w:tcW w:w="1337" w:type="dxa"/>
            <w:shd w:val="clear" w:color="auto" w:fill="BFBFBF"/>
            <w:vAlign w:val="center"/>
          </w:tcPr>
          <w:p w:rsidR="0099354A" w:rsidRPr="00895898" w:rsidRDefault="0099354A" w:rsidP="00330DF9">
            <w:pPr>
              <w:jc w:val="center"/>
              <w:rPr>
                <w:b/>
                <w:bCs/>
                <w:color w:val="000000"/>
                <w:sz w:val="20"/>
                <w:szCs w:val="20"/>
              </w:rPr>
            </w:pPr>
            <w:r w:rsidRPr="00895898">
              <w:rPr>
                <w:b/>
                <w:bCs/>
                <w:color w:val="000000"/>
                <w:sz w:val="20"/>
                <w:szCs w:val="20"/>
              </w:rPr>
              <w:t xml:space="preserve">Kategória </w:t>
            </w:r>
            <w:proofErr w:type="spellStart"/>
            <w:r w:rsidRPr="00895898">
              <w:rPr>
                <w:b/>
                <w:bCs/>
                <w:color w:val="000000"/>
                <w:sz w:val="20"/>
                <w:szCs w:val="20"/>
              </w:rPr>
              <w:t>dotk</w:t>
            </w:r>
            <w:proofErr w:type="spellEnd"/>
            <w:r w:rsidRPr="00895898">
              <w:rPr>
                <w:b/>
                <w:bCs/>
                <w:color w:val="000000"/>
                <w:sz w:val="20"/>
                <w:szCs w:val="20"/>
              </w:rPr>
              <w:t>. subjektov</w:t>
            </w:r>
          </w:p>
        </w:tc>
        <w:tc>
          <w:tcPr>
            <w:tcW w:w="974" w:type="dxa"/>
            <w:shd w:val="clear" w:color="auto" w:fill="BFBFBF"/>
            <w:vAlign w:val="center"/>
          </w:tcPr>
          <w:p w:rsidR="0099354A" w:rsidRPr="00895898" w:rsidRDefault="0099354A" w:rsidP="00330DF9">
            <w:pPr>
              <w:jc w:val="center"/>
              <w:rPr>
                <w:b/>
                <w:bCs/>
                <w:color w:val="000000"/>
                <w:sz w:val="20"/>
                <w:szCs w:val="20"/>
              </w:rPr>
            </w:pPr>
            <w:r w:rsidRPr="00895898">
              <w:rPr>
                <w:b/>
                <w:bCs/>
                <w:color w:val="000000"/>
                <w:sz w:val="20"/>
                <w:szCs w:val="20"/>
              </w:rPr>
              <w:t>Počet  subjektov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74"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Počet subjektov MSP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82"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Vplyv na 1 podnik. v €</w:t>
            </w:r>
          </w:p>
        </w:tc>
        <w:tc>
          <w:tcPr>
            <w:tcW w:w="992" w:type="dxa"/>
            <w:shd w:val="clear" w:color="auto" w:fill="BFBFBF"/>
            <w:vAlign w:val="center"/>
            <w:hideMark/>
          </w:tcPr>
          <w:p w:rsidR="0099354A" w:rsidRPr="00895898" w:rsidRDefault="0099354A" w:rsidP="00330DF9">
            <w:pPr>
              <w:jc w:val="center"/>
              <w:rPr>
                <w:b/>
                <w:bCs/>
                <w:color w:val="000000"/>
                <w:sz w:val="20"/>
                <w:szCs w:val="20"/>
              </w:rPr>
            </w:pPr>
            <w:r w:rsidRPr="00895898">
              <w:rPr>
                <w:b/>
                <w:bCs/>
                <w:color w:val="000000"/>
                <w:sz w:val="20"/>
                <w:szCs w:val="20"/>
              </w:rPr>
              <w:t xml:space="preserve">Vplyv na kategóriu </w:t>
            </w:r>
            <w:proofErr w:type="spellStart"/>
            <w:r w:rsidRPr="00895898">
              <w:rPr>
                <w:b/>
                <w:bCs/>
                <w:color w:val="000000"/>
                <w:sz w:val="20"/>
                <w:szCs w:val="20"/>
              </w:rPr>
              <w:t>dotk</w:t>
            </w:r>
            <w:proofErr w:type="spellEnd"/>
            <w:r w:rsidRPr="00895898">
              <w:rPr>
                <w:b/>
                <w:bCs/>
                <w:color w:val="000000"/>
                <w:sz w:val="20"/>
                <w:szCs w:val="20"/>
              </w:rPr>
              <w:t>. subjektov v €</w:t>
            </w:r>
          </w:p>
        </w:tc>
        <w:tc>
          <w:tcPr>
            <w:tcW w:w="1134" w:type="dxa"/>
            <w:shd w:val="clear" w:color="auto" w:fill="BFBFBF"/>
            <w:vAlign w:val="center"/>
          </w:tcPr>
          <w:p w:rsidR="0099354A" w:rsidRPr="00895898" w:rsidRDefault="0099354A" w:rsidP="00330DF9">
            <w:pPr>
              <w:jc w:val="center"/>
              <w:rPr>
                <w:b/>
                <w:bCs/>
                <w:color w:val="000000"/>
                <w:sz w:val="20"/>
                <w:szCs w:val="20"/>
              </w:rPr>
            </w:pPr>
            <w:r w:rsidRPr="00895898">
              <w:rPr>
                <w:b/>
                <w:bCs/>
                <w:color w:val="000000"/>
                <w:sz w:val="20"/>
                <w:szCs w:val="20"/>
              </w:rPr>
              <w:t>Druh vplyvu</w:t>
            </w:r>
          </w:p>
          <w:p w:rsidR="0099354A" w:rsidRPr="00895898" w:rsidRDefault="0099354A" w:rsidP="00330DF9">
            <w:pPr>
              <w:jc w:val="center"/>
              <w:rPr>
                <w:bCs/>
                <w:color w:val="000000"/>
                <w:sz w:val="20"/>
                <w:szCs w:val="20"/>
              </w:rPr>
            </w:pPr>
            <w:r w:rsidRPr="00895898">
              <w:rPr>
                <w:bCs/>
                <w:color w:val="000000"/>
                <w:sz w:val="20"/>
                <w:szCs w:val="20"/>
              </w:rPr>
              <w:t xml:space="preserve">In (zvyšuje náklady) / </w:t>
            </w:r>
          </w:p>
          <w:p w:rsidR="0099354A" w:rsidRPr="00895898" w:rsidRDefault="0099354A" w:rsidP="00330DF9">
            <w:pPr>
              <w:jc w:val="center"/>
              <w:rPr>
                <w:b/>
                <w:bCs/>
                <w:color w:val="000000"/>
                <w:sz w:val="20"/>
                <w:szCs w:val="20"/>
              </w:rPr>
            </w:pPr>
            <w:proofErr w:type="spellStart"/>
            <w:r w:rsidRPr="00895898">
              <w:rPr>
                <w:bCs/>
                <w:color w:val="000000"/>
                <w:sz w:val="20"/>
                <w:szCs w:val="20"/>
              </w:rPr>
              <w:t>Out</w:t>
            </w:r>
            <w:proofErr w:type="spellEnd"/>
            <w:r w:rsidRPr="00895898">
              <w:rPr>
                <w:bCs/>
                <w:color w:val="000000"/>
                <w:sz w:val="20"/>
                <w:szCs w:val="20"/>
              </w:rPr>
              <w:t xml:space="preserve"> (znižuje náklady</w:t>
            </w:r>
            <w:r w:rsidRPr="00895898">
              <w:rPr>
                <w:b/>
                <w:bCs/>
                <w:color w:val="000000"/>
                <w:sz w:val="20"/>
                <w:szCs w:val="20"/>
              </w:rPr>
              <w:t>)</w:t>
            </w:r>
          </w:p>
          <w:p w:rsidR="0099354A" w:rsidRPr="00895898" w:rsidRDefault="0099354A" w:rsidP="00330DF9">
            <w:pPr>
              <w:jc w:val="center"/>
              <w:rPr>
                <w:b/>
                <w:bCs/>
                <w:color w:val="000000"/>
                <w:sz w:val="20"/>
                <w:szCs w:val="20"/>
              </w:rPr>
            </w:pPr>
          </w:p>
        </w:tc>
      </w:tr>
      <w:tr w:rsidR="0099354A" w:rsidRPr="00895898" w:rsidTr="00330DF9">
        <w:trPr>
          <w:trHeight w:val="612"/>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600"/>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600"/>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600"/>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600"/>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655"/>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578"/>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578"/>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r w:rsidR="0099354A" w:rsidRPr="00895898" w:rsidTr="00330DF9">
        <w:trPr>
          <w:trHeight w:val="578"/>
        </w:trPr>
        <w:tc>
          <w:tcPr>
            <w:tcW w:w="501" w:type="dxa"/>
            <w:vAlign w:val="center"/>
          </w:tcPr>
          <w:p w:rsidR="0099354A" w:rsidRPr="00895898" w:rsidRDefault="0099354A" w:rsidP="00330DF9">
            <w:pPr>
              <w:rPr>
                <w:sz w:val="20"/>
                <w:szCs w:val="20"/>
              </w:rPr>
            </w:pPr>
          </w:p>
        </w:tc>
        <w:tc>
          <w:tcPr>
            <w:tcW w:w="3557" w:type="dxa"/>
            <w:shd w:val="clear" w:color="auto" w:fill="auto"/>
            <w:vAlign w:val="center"/>
          </w:tcPr>
          <w:p w:rsidR="0099354A" w:rsidRPr="00895898" w:rsidRDefault="0099354A" w:rsidP="00330DF9">
            <w:pPr>
              <w:rPr>
                <w:sz w:val="20"/>
                <w:szCs w:val="20"/>
              </w:rPr>
            </w:pPr>
          </w:p>
        </w:tc>
        <w:tc>
          <w:tcPr>
            <w:tcW w:w="1044" w:type="dxa"/>
          </w:tcPr>
          <w:p w:rsidR="0099354A" w:rsidRPr="00895898" w:rsidRDefault="0099354A" w:rsidP="00330DF9">
            <w:pPr>
              <w:rPr>
                <w:sz w:val="20"/>
                <w:szCs w:val="20"/>
              </w:rPr>
            </w:pPr>
          </w:p>
        </w:tc>
        <w:tc>
          <w:tcPr>
            <w:tcW w:w="1129" w:type="dxa"/>
            <w:shd w:val="clear" w:color="auto" w:fill="auto"/>
            <w:vAlign w:val="center"/>
          </w:tcPr>
          <w:p w:rsidR="0099354A" w:rsidRPr="00895898" w:rsidRDefault="0099354A" w:rsidP="00330DF9">
            <w:pPr>
              <w:rPr>
                <w:sz w:val="20"/>
                <w:szCs w:val="20"/>
              </w:rPr>
            </w:pPr>
          </w:p>
        </w:tc>
        <w:tc>
          <w:tcPr>
            <w:tcW w:w="1303" w:type="dxa"/>
            <w:vAlign w:val="center"/>
          </w:tcPr>
          <w:p w:rsidR="0099354A" w:rsidRPr="00895898" w:rsidRDefault="0099354A" w:rsidP="00330DF9">
            <w:pPr>
              <w:rPr>
                <w:color w:val="000000"/>
                <w:sz w:val="20"/>
                <w:szCs w:val="20"/>
              </w:rPr>
            </w:pPr>
          </w:p>
        </w:tc>
        <w:tc>
          <w:tcPr>
            <w:tcW w:w="934" w:type="dxa"/>
            <w:shd w:val="clear" w:color="auto" w:fill="auto"/>
            <w:noWrap/>
            <w:vAlign w:val="center"/>
          </w:tcPr>
          <w:p w:rsidR="0099354A" w:rsidRPr="00895898" w:rsidRDefault="0099354A" w:rsidP="00330DF9">
            <w:pPr>
              <w:rPr>
                <w:color w:val="000000"/>
                <w:sz w:val="20"/>
                <w:szCs w:val="20"/>
              </w:rPr>
            </w:pPr>
          </w:p>
        </w:tc>
        <w:tc>
          <w:tcPr>
            <w:tcW w:w="1337" w:type="dxa"/>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sz w:val="20"/>
                <w:szCs w:val="20"/>
              </w:rPr>
            </w:pPr>
          </w:p>
        </w:tc>
        <w:tc>
          <w:tcPr>
            <w:tcW w:w="974" w:type="dxa"/>
            <w:shd w:val="clear" w:color="auto" w:fill="auto"/>
            <w:noWrap/>
            <w:vAlign w:val="center"/>
          </w:tcPr>
          <w:p w:rsidR="0099354A" w:rsidRPr="00895898" w:rsidRDefault="0099354A" w:rsidP="00330DF9">
            <w:pPr>
              <w:rPr>
                <w:color w:val="000000"/>
                <w:sz w:val="20"/>
                <w:szCs w:val="20"/>
              </w:rPr>
            </w:pPr>
          </w:p>
        </w:tc>
        <w:tc>
          <w:tcPr>
            <w:tcW w:w="982" w:type="dxa"/>
            <w:shd w:val="clear" w:color="auto" w:fill="auto"/>
            <w:noWrap/>
            <w:vAlign w:val="center"/>
          </w:tcPr>
          <w:p w:rsidR="0099354A" w:rsidRPr="00895898" w:rsidRDefault="0099354A" w:rsidP="00330DF9">
            <w:pPr>
              <w:rPr>
                <w:color w:val="000000"/>
                <w:sz w:val="20"/>
                <w:szCs w:val="20"/>
              </w:rPr>
            </w:pPr>
          </w:p>
        </w:tc>
        <w:tc>
          <w:tcPr>
            <w:tcW w:w="992" w:type="dxa"/>
            <w:shd w:val="clear" w:color="auto" w:fill="auto"/>
            <w:noWrap/>
            <w:vAlign w:val="center"/>
          </w:tcPr>
          <w:p w:rsidR="0099354A" w:rsidRPr="00895898" w:rsidRDefault="0099354A" w:rsidP="00330DF9">
            <w:pPr>
              <w:rPr>
                <w:color w:val="000000"/>
                <w:sz w:val="20"/>
                <w:szCs w:val="20"/>
              </w:rPr>
            </w:pPr>
          </w:p>
        </w:tc>
        <w:tc>
          <w:tcPr>
            <w:tcW w:w="1134" w:type="dxa"/>
            <w:vAlign w:val="center"/>
          </w:tcPr>
          <w:p w:rsidR="0099354A" w:rsidRPr="00895898" w:rsidRDefault="0099354A" w:rsidP="00330DF9">
            <w:pPr>
              <w:rPr>
                <w:sz w:val="20"/>
                <w:szCs w:val="20"/>
              </w:rPr>
            </w:pPr>
          </w:p>
        </w:tc>
      </w:tr>
    </w:tbl>
    <w:p w:rsidR="0099354A" w:rsidRPr="00895898" w:rsidRDefault="0099354A" w:rsidP="0099354A">
      <w:pPr>
        <w:jc w:val="both"/>
        <w:rPr>
          <w:rFonts w:eastAsia="Calibri"/>
          <w:i/>
        </w:rPr>
      </w:pPr>
    </w:p>
    <w:p w:rsidR="0099354A" w:rsidRPr="00895898" w:rsidRDefault="0099354A" w:rsidP="0099354A">
      <w:pPr>
        <w:jc w:val="both"/>
        <w:rPr>
          <w:rFonts w:eastAsia="Calibri"/>
          <w:b/>
          <w:bCs/>
          <w:i/>
        </w:rPr>
        <w:sectPr w:rsidR="0099354A" w:rsidRPr="00895898" w:rsidSect="00330DF9">
          <w:pgSz w:w="16838" w:h="11906" w:orient="landscape"/>
          <w:pgMar w:top="1417" w:right="1417" w:bottom="1417" w:left="1417" w:header="708" w:footer="708" w:gutter="0"/>
          <w:cols w:space="708"/>
          <w:docGrid w:linePitch="360"/>
        </w:sectPr>
      </w:pPr>
    </w:p>
    <w:p w:rsidR="0099354A" w:rsidRPr="001F1B43" w:rsidRDefault="0099354A" w:rsidP="0099354A">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rsidR="0099354A" w:rsidRPr="00D8247C" w:rsidRDefault="0099354A" w:rsidP="0099354A">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rsidR="0099354A" w:rsidRPr="001F1B43" w:rsidRDefault="0099354A" w:rsidP="0099354A">
      <w:pPr>
        <w:jc w:val="both"/>
        <w:rPr>
          <w:rFonts w:eastAsia="Calibri"/>
          <w:b/>
        </w:rPr>
      </w:pPr>
      <w:r w:rsidRPr="001F1B43">
        <w:rPr>
          <w:rFonts w:eastAsia="Calibri"/>
          <w:b/>
        </w:rPr>
        <w:t>3.2 Vyhodnotenie konzultácií s podnikateľskými subjektmi pred predbežným pripomienkovým konaním</w:t>
      </w:r>
    </w:p>
    <w:p w:rsidR="0099354A" w:rsidRPr="00D8247C" w:rsidRDefault="0099354A" w:rsidP="0099354A">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rsidR="0099354A" w:rsidRPr="00D8247C" w:rsidRDefault="0099354A" w:rsidP="0099354A">
      <w:pPr>
        <w:jc w:val="both"/>
        <w:rPr>
          <w:rFonts w:eastAsia="Calibri"/>
          <w:i/>
        </w:rPr>
      </w:pPr>
      <w:r w:rsidRPr="00D8247C">
        <w:rPr>
          <w:rFonts w:eastAsia="Calibri"/>
          <w:i/>
        </w:rPr>
        <w:t xml:space="preserve">Uveďte hlavné body konzultácií a ich závery. </w:t>
      </w:r>
    </w:p>
    <w:p w:rsidR="0099354A" w:rsidRPr="00D8247C" w:rsidRDefault="0099354A" w:rsidP="0099354A">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99354A" w:rsidRPr="00D8247C" w:rsidRDefault="0099354A" w:rsidP="0099354A">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99354A" w:rsidRDefault="0099354A" w:rsidP="0099354A">
      <w:pPr>
        <w:jc w:val="both"/>
        <w:rPr>
          <w:rFonts w:eastAsia="Calibri"/>
          <w:i/>
        </w:rPr>
      </w:pPr>
    </w:p>
    <w:p w:rsidR="0099354A" w:rsidRPr="00B37B95" w:rsidRDefault="0099354A" w:rsidP="0099354A">
      <w:pPr>
        <w:jc w:val="both"/>
        <w:rPr>
          <w:rFonts w:eastAsia="Calibri"/>
        </w:rPr>
      </w:pPr>
      <w:r w:rsidRPr="00B37B95">
        <w:rPr>
          <w:bCs/>
        </w:rPr>
        <w:t xml:space="preserve">Podnikateľské subjekty sa mohli vyjadriť k predbežnej informácii o pripravovanom návrhu materiálu uverejnenom na </w:t>
      </w:r>
      <w:hyperlink r:id="rId7" w:history="1">
        <w:r w:rsidRPr="00B37B95">
          <w:rPr>
            <w:rStyle w:val="Hypertextovprepojenie"/>
            <w:rFonts w:eastAsia="Calibri"/>
          </w:rPr>
          <w:t>https://www.slov-lex.sk/legislativne-procesy/SK/PI/2023/73</w:t>
        </w:r>
      </w:hyperlink>
      <w:r w:rsidRPr="00B37B95">
        <w:rPr>
          <w:rFonts w:eastAsia="Calibri"/>
        </w:rPr>
        <w:t xml:space="preserve"> </w:t>
      </w:r>
      <w:r w:rsidRPr="00B37B95">
        <w:rPr>
          <w:bCs/>
        </w:rPr>
        <w:t>v termíne od 21.02.2023 do 06.03.2023. K predbežnej informácii neboli uplatnené žiadne pripomienky ani vyjadrenia.</w:t>
      </w:r>
    </w:p>
    <w:p w:rsidR="0099354A" w:rsidRPr="00D8247C" w:rsidRDefault="0099354A" w:rsidP="0099354A">
      <w:pPr>
        <w:jc w:val="both"/>
        <w:rPr>
          <w:rFonts w:eastAsia="Calibri"/>
          <w:i/>
        </w:rPr>
      </w:pPr>
    </w:p>
    <w:p w:rsidR="0099354A" w:rsidRPr="001F1B43" w:rsidRDefault="0099354A" w:rsidP="0099354A">
      <w:pPr>
        <w:jc w:val="both"/>
        <w:rPr>
          <w:rFonts w:eastAsia="Calibri"/>
          <w:b/>
        </w:rPr>
      </w:pPr>
      <w:bookmarkStart w:id="1" w:name="_Hlk47698091"/>
      <w:r w:rsidRPr="001F1B43">
        <w:rPr>
          <w:rFonts w:eastAsia="Calibri"/>
          <w:b/>
        </w:rPr>
        <w:t>3.3 Vplyvy na konkurencieschopnosť a produktivitu</w:t>
      </w:r>
    </w:p>
    <w:bookmarkEnd w:id="1"/>
    <w:p w:rsidR="0099354A" w:rsidRPr="00D8247C" w:rsidRDefault="0099354A" w:rsidP="0099354A">
      <w:pPr>
        <w:jc w:val="both"/>
        <w:rPr>
          <w:rFonts w:eastAsia="Calibri"/>
          <w:i/>
        </w:rPr>
      </w:pPr>
      <w:r w:rsidRPr="00D8247C">
        <w:rPr>
          <w:rFonts w:eastAsia="Calibri"/>
          <w:i/>
        </w:rPr>
        <w:t xml:space="preserve">Dochádza k vytvoreniu resp. k zmene bariér na trhu? </w:t>
      </w:r>
    </w:p>
    <w:p w:rsidR="0099354A" w:rsidRPr="00D8247C" w:rsidRDefault="0099354A" w:rsidP="0099354A">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rsidR="0099354A" w:rsidRPr="00D8247C" w:rsidRDefault="0099354A" w:rsidP="0099354A">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rsidR="0099354A" w:rsidRDefault="0099354A" w:rsidP="0099354A">
      <w:pPr>
        <w:jc w:val="both"/>
        <w:rPr>
          <w:rFonts w:eastAsia="Calibri"/>
          <w:i/>
        </w:rPr>
      </w:pPr>
      <w:r w:rsidRPr="00D8247C">
        <w:rPr>
          <w:rFonts w:eastAsia="Calibri"/>
          <w:i/>
        </w:rPr>
        <w:t xml:space="preserve">Ovplyvní dostupnosť základných zdrojov (financie, pracovná sila, suroviny, mechanizmy, energie atď.)? </w:t>
      </w:r>
    </w:p>
    <w:p w:rsidR="0099354A" w:rsidRPr="00D8247C" w:rsidRDefault="0099354A" w:rsidP="0099354A">
      <w:pPr>
        <w:jc w:val="both"/>
        <w:rPr>
          <w:rFonts w:eastAsia="Calibri"/>
          <w:i/>
        </w:rPr>
      </w:pPr>
      <w:r>
        <w:rPr>
          <w:rFonts w:eastAsia="Calibri"/>
          <w:i/>
        </w:rPr>
        <w:t>Ovplyvňuje zmena regulácie inovácie, vedu a výskum?</w:t>
      </w:r>
    </w:p>
    <w:p w:rsidR="0099354A" w:rsidRPr="00D8247C" w:rsidRDefault="0099354A" w:rsidP="0099354A">
      <w:pPr>
        <w:jc w:val="both"/>
        <w:rPr>
          <w:rFonts w:eastAsia="Calibri"/>
          <w:i/>
        </w:rPr>
      </w:pPr>
      <w:r w:rsidRPr="00D8247C">
        <w:rPr>
          <w:rFonts w:eastAsia="Calibri"/>
          <w:i/>
          <w:iCs/>
        </w:rPr>
        <w:t>Ako prispieva zmena regulácie k cieľu Slovenska mať najlepšie podnikateľské prostredie spomedzi susediacich krajín EÚ?</w:t>
      </w:r>
    </w:p>
    <w:p w:rsidR="0099354A" w:rsidRPr="00D8247C" w:rsidRDefault="0099354A" w:rsidP="0099354A">
      <w:pPr>
        <w:jc w:val="both"/>
        <w:rPr>
          <w:rFonts w:eastAsia="Calibri"/>
          <w:i/>
        </w:rPr>
      </w:pPr>
    </w:p>
    <w:p w:rsidR="0099354A" w:rsidRPr="00D8247C" w:rsidRDefault="0099354A" w:rsidP="0099354A">
      <w:pPr>
        <w:jc w:val="both"/>
        <w:rPr>
          <w:rFonts w:eastAsia="Calibri"/>
          <w:b/>
          <w:i/>
        </w:rPr>
      </w:pPr>
      <w:r w:rsidRPr="00D8247C">
        <w:rPr>
          <w:rFonts w:eastAsia="Calibri"/>
          <w:b/>
          <w:i/>
        </w:rPr>
        <w:t>Konkurencieschopnosť:</w:t>
      </w:r>
    </w:p>
    <w:p w:rsidR="0099354A" w:rsidRPr="00D8247C" w:rsidRDefault="0099354A" w:rsidP="0099354A">
      <w:pPr>
        <w:jc w:val="both"/>
        <w:rPr>
          <w:rFonts w:eastAsia="Calibri"/>
          <w:i/>
        </w:rPr>
      </w:pPr>
      <w:r w:rsidRPr="00D8247C">
        <w:rPr>
          <w:rFonts w:eastAsia="Calibri"/>
          <w:i/>
        </w:rPr>
        <w:t>Na základe uvedených odpovedí zaškrtnite a popíšte, či materiál konkurencieschopnosť:</w:t>
      </w:r>
    </w:p>
    <w:p w:rsidR="0099354A" w:rsidRPr="00D8247C" w:rsidRDefault="0099354A" w:rsidP="0099354A">
      <w:pPr>
        <w:jc w:val="both"/>
        <w:rPr>
          <w:rFonts w:eastAsia="Calibri"/>
          <w:i/>
        </w:rPr>
      </w:pPr>
      <w:sdt>
        <w:sdtPr>
          <w:rPr>
            <w:rFonts w:eastAsia="Calibri"/>
            <w:i/>
          </w:rPr>
          <w:id w:val="798576880"/>
        </w:sdtPr>
        <w:sdtContent>
          <w:sdt>
            <w:sdtPr>
              <w:rPr>
                <w:rFonts w:eastAsia="Calibri"/>
                <w:i/>
              </w:rPr>
              <w:id w:val="1729873660"/>
            </w:sdtPr>
            <w:sdtContent>
              <w:r w:rsidRPr="00D8247C">
                <w:rPr>
                  <w:rFonts w:ascii="Segoe UI Symbol" w:eastAsia="Calibri" w:hAnsi="Segoe UI Symbol" w:cs="Segoe UI Symbol"/>
                  <w:i/>
                </w:rPr>
                <w:t>☐</w:t>
              </w:r>
            </w:sdtContent>
          </w:sdt>
        </w:sdtContent>
      </w:sdt>
      <w:r w:rsidRPr="00D8247C">
        <w:rPr>
          <w:rFonts w:eastAsia="Calibri"/>
          <w:i/>
        </w:rPr>
        <w:t xml:space="preserve"> zvyšuje  </w:t>
      </w:r>
      <w:r w:rsidRPr="00B37B95">
        <w:rPr>
          <w:rFonts w:eastAsia="Calibri"/>
          <w:i/>
        </w:rPr>
        <w:tab/>
      </w:r>
      <w:sdt>
        <w:sdtPr>
          <w:rPr>
            <w:rFonts w:eastAsia="Calibri"/>
            <w:i/>
          </w:rPr>
          <w:id w:val="410579887"/>
        </w:sdtPr>
        <w:sdtContent>
          <w:sdt>
            <w:sdtPr>
              <w:rPr>
                <w:rFonts w:eastAsia="Calibri"/>
                <w:i/>
              </w:rPr>
              <w:id w:val="-80300261"/>
            </w:sdtPr>
            <w:sdtContent>
              <w:r w:rsidRPr="00B37B95">
                <w:rPr>
                  <w:rFonts w:ascii="Segoe UI Symbol" w:eastAsia="Calibri" w:hAnsi="Segoe UI Symbol" w:cs="Segoe UI Symbol"/>
                  <w:i/>
                </w:rPr>
                <w:t>x</w:t>
              </w:r>
            </w:sdtContent>
          </w:sdt>
        </w:sdtContent>
      </w:sdt>
      <w:r w:rsidRPr="00B37B95">
        <w:rPr>
          <w:rFonts w:eastAsia="Calibri"/>
          <w:i/>
        </w:rPr>
        <w:t xml:space="preserve"> nemení</w:t>
      </w:r>
      <w:r w:rsidRPr="00D8247C">
        <w:rPr>
          <w:rFonts w:eastAsia="Calibri"/>
          <w:i/>
        </w:rPr>
        <w:tab/>
      </w:r>
      <w:sdt>
        <w:sdtPr>
          <w:rPr>
            <w:rFonts w:eastAsia="Calibri"/>
            <w:i/>
          </w:rPr>
          <w:id w:val="-474604883"/>
        </w:sdtPr>
        <w:sdtContent>
          <w:sdt>
            <w:sdtPr>
              <w:rPr>
                <w:rFonts w:eastAsia="Calibri"/>
                <w:i/>
              </w:rPr>
              <w:id w:val="-1706551548"/>
            </w:sdtPr>
            <w:sdtContent>
              <w:r w:rsidRPr="00D8247C">
                <w:rPr>
                  <w:rFonts w:ascii="Segoe UI Symbol" w:eastAsia="Calibri" w:hAnsi="Segoe UI Symbol" w:cs="Segoe UI Symbol"/>
                  <w:i/>
                </w:rPr>
                <w:t>☐</w:t>
              </w:r>
            </w:sdtContent>
          </w:sdt>
        </w:sdtContent>
      </w:sdt>
      <w:r w:rsidRPr="00D8247C">
        <w:rPr>
          <w:rFonts w:eastAsia="Calibri"/>
          <w:i/>
        </w:rPr>
        <w:t xml:space="preserve"> znižuje</w:t>
      </w:r>
    </w:p>
    <w:p w:rsidR="0099354A" w:rsidRPr="00D8247C" w:rsidRDefault="0099354A" w:rsidP="0099354A">
      <w:pPr>
        <w:jc w:val="both"/>
        <w:rPr>
          <w:rFonts w:eastAsia="Calibri"/>
          <w:i/>
        </w:rPr>
      </w:pPr>
    </w:p>
    <w:p w:rsidR="0099354A" w:rsidRPr="00D8247C" w:rsidRDefault="0099354A" w:rsidP="0099354A">
      <w:pPr>
        <w:jc w:val="both"/>
        <w:rPr>
          <w:rFonts w:eastAsia="Calibri"/>
          <w:b/>
          <w:i/>
        </w:rPr>
      </w:pPr>
      <w:r w:rsidRPr="00D8247C">
        <w:rPr>
          <w:rFonts w:eastAsia="Calibri"/>
          <w:b/>
          <w:i/>
        </w:rPr>
        <w:t>Produktivita:</w:t>
      </w:r>
    </w:p>
    <w:p w:rsidR="0099354A" w:rsidRPr="00D8247C" w:rsidRDefault="0099354A" w:rsidP="0099354A">
      <w:pPr>
        <w:jc w:val="both"/>
        <w:rPr>
          <w:rFonts w:eastAsia="Calibri"/>
          <w:i/>
        </w:rPr>
      </w:pPr>
      <w:r w:rsidRPr="00D8247C">
        <w:rPr>
          <w:rFonts w:eastAsia="Calibri"/>
          <w:i/>
        </w:rPr>
        <w:t xml:space="preserve">Aký má materiál vplyv na zmenu pomeru medzi produkciou podnikov a ich nákladmi? </w:t>
      </w:r>
    </w:p>
    <w:p w:rsidR="0099354A" w:rsidRPr="00D8247C" w:rsidRDefault="0099354A" w:rsidP="0099354A">
      <w:pPr>
        <w:jc w:val="both"/>
        <w:rPr>
          <w:rFonts w:eastAsia="Calibri"/>
          <w:i/>
        </w:rPr>
      </w:pPr>
    </w:p>
    <w:p w:rsidR="0099354A" w:rsidRPr="00D8247C" w:rsidRDefault="0099354A" w:rsidP="0099354A">
      <w:pPr>
        <w:jc w:val="both"/>
        <w:rPr>
          <w:rFonts w:eastAsia="Calibri"/>
          <w:i/>
        </w:rPr>
      </w:pPr>
      <w:r w:rsidRPr="00D8247C">
        <w:rPr>
          <w:rFonts w:eastAsia="Calibri"/>
          <w:i/>
        </w:rPr>
        <w:t>Na základe uvedenej odpovede zaškrtnite a popíšte, či materiál produktivitu:</w:t>
      </w:r>
    </w:p>
    <w:p w:rsidR="0099354A" w:rsidRPr="00D8247C" w:rsidRDefault="0099354A" w:rsidP="0099354A">
      <w:pPr>
        <w:jc w:val="both"/>
        <w:rPr>
          <w:rFonts w:eastAsia="Calibri"/>
          <w:i/>
        </w:rPr>
      </w:pPr>
      <w:sdt>
        <w:sdtPr>
          <w:rPr>
            <w:rFonts w:eastAsia="Calibri"/>
            <w:i/>
          </w:rPr>
          <w:id w:val="-1545903528"/>
        </w:sdtPr>
        <w:sdtContent>
          <w:sdt>
            <w:sdtPr>
              <w:rPr>
                <w:rFonts w:eastAsia="Calibri"/>
                <w:i/>
              </w:rPr>
              <w:id w:val="825715010"/>
            </w:sdtPr>
            <w:sdtContent>
              <w:r w:rsidRPr="00D8247C">
                <w:rPr>
                  <w:rFonts w:ascii="Segoe UI Symbol" w:eastAsia="Calibri" w:hAnsi="Segoe UI Symbol" w:cs="Segoe UI Symbol"/>
                  <w:i/>
                </w:rPr>
                <w:t>☐</w:t>
              </w:r>
            </w:sdtContent>
          </w:sdt>
        </w:sdtContent>
      </w:sdt>
      <w:r w:rsidRPr="00D8247C">
        <w:rPr>
          <w:rFonts w:eastAsia="Calibri"/>
          <w:i/>
        </w:rPr>
        <w:t xml:space="preserve"> zvyšuje  </w:t>
      </w:r>
      <w:r w:rsidRPr="00D8247C">
        <w:rPr>
          <w:rFonts w:eastAsia="Calibri"/>
          <w:i/>
        </w:rPr>
        <w:tab/>
      </w:r>
      <w:sdt>
        <w:sdtPr>
          <w:rPr>
            <w:rFonts w:eastAsia="Calibri"/>
            <w:i/>
          </w:rPr>
          <w:id w:val="-353966921"/>
        </w:sdtPr>
        <w:sdtContent>
          <w:sdt>
            <w:sdtPr>
              <w:rPr>
                <w:rFonts w:eastAsia="Calibri"/>
                <w:i/>
              </w:rPr>
              <w:id w:val="-1222205104"/>
            </w:sdtPr>
            <w:sdtContent>
              <w:r w:rsidRPr="00B37B95">
                <w:rPr>
                  <w:rFonts w:ascii="Segoe UI Symbol" w:eastAsia="Calibri" w:hAnsi="Segoe UI Symbol" w:cs="Segoe UI Symbol"/>
                  <w:i/>
                </w:rPr>
                <w:t>x</w:t>
              </w:r>
            </w:sdtContent>
          </w:sdt>
        </w:sdtContent>
      </w:sdt>
      <w:r w:rsidRPr="00B37B95">
        <w:rPr>
          <w:rFonts w:eastAsia="Calibri"/>
          <w:i/>
        </w:rPr>
        <w:t xml:space="preserve"> nemení</w:t>
      </w:r>
      <w:r w:rsidRPr="00D8247C">
        <w:rPr>
          <w:rFonts w:eastAsia="Calibri"/>
          <w:i/>
        </w:rPr>
        <w:tab/>
      </w:r>
      <w:sdt>
        <w:sdtPr>
          <w:rPr>
            <w:rFonts w:eastAsia="Calibri"/>
            <w:i/>
          </w:rPr>
          <w:id w:val="-1457723544"/>
        </w:sdtPr>
        <w:sdtContent>
          <w:sdt>
            <w:sdtPr>
              <w:rPr>
                <w:rFonts w:eastAsia="Calibri"/>
                <w:i/>
              </w:rPr>
              <w:id w:val="-623767955"/>
            </w:sdtPr>
            <w:sdtContent>
              <w:r w:rsidRPr="00D8247C">
                <w:rPr>
                  <w:rFonts w:ascii="Segoe UI Symbol" w:eastAsia="Calibri" w:hAnsi="Segoe UI Symbol" w:cs="Segoe UI Symbol"/>
                  <w:i/>
                </w:rPr>
                <w:t>☐</w:t>
              </w:r>
            </w:sdtContent>
          </w:sdt>
        </w:sdtContent>
      </w:sdt>
      <w:r w:rsidRPr="00D8247C">
        <w:rPr>
          <w:rFonts w:eastAsia="Calibri"/>
          <w:i/>
        </w:rPr>
        <w:t xml:space="preserve"> znižuje</w:t>
      </w:r>
    </w:p>
    <w:p w:rsidR="0099354A" w:rsidRDefault="0099354A" w:rsidP="0099354A">
      <w:pPr>
        <w:jc w:val="both"/>
        <w:rPr>
          <w:rFonts w:eastAsia="Calibri"/>
          <w:i/>
        </w:rPr>
      </w:pPr>
    </w:p>
    <w:p w:rsidR="0099354A" w:rsidRPr="00D8247C" w:rsidRDefault="0099354A" w:rsidP="0099354A">
      <w:pPr>
        <w:jc w:val="both"/>
        <w:rPr>
          <w:rFonts w:eastAsia="Calibri"/>
          <w:i/>
        </w:rPr>
      </w:pPr>
    </w:p>
    <w:p w:rsidR="0099354A" w:rsidRPr="001F1B43" w:rsidRDefault="0099354A" w:rsidP="0099354A">
      <w:pPr>
        <w:jc w:val="both"/>
        <w:rPr>
          <w:rFonts w:eastAsia="Calibri"/>
          <w:b/>
        </w:rPr>
      </w:pPr>
      <w:r w:rsidRPr="001F1B43">
        <w:rPr>
          <w:rFonts w:eastAsia="Calibri"/>
          <w:b/>
        </w:rPr>
        <w:t xml:space="preserve">3.4  Iné vplyvy na podnikateľské prostredie </w:t>
      </w:r>
    </w:p>
    <w:p w:rsidR="0099354A" w:rsidRDefault="0099354A" w:rsidP="0099354A">
      <w:pPr>
        <w:jc w:val="both"/>
        <w:rPr>
          <w:rFonts w:eastAsia="Calibri"/>
          <w:i/>
        </w:rPr>
      </w:pPr>
      <w:r>
        <w:rPr>
          <w:rFonts w:eastAsia="Calibri"/>
          <w:i/>
        </w:rPr>
        <w:t xml:space="preserve">Ak má materiál vplyvy na PP, ktoré nemožno zaradiť do predchádzajúcich častí, či už pozitívne alebo </w:t>
      </w:r>
      <w:r>
        <w:rPr>
          <w:rFonts w:eastAsia="Calibri"/>
          <w:i/>
        </w:rPr>
        <w:lastRenderedPageBreak/>
        <w:t xml:space="preserve">negatívne, tu ich uveďte.  Patria sem: </w:t>
      </w:r>
    </w:p>
    <w:p w:rsidR="0099354A" w:rsidRDefault="0099354A" w:rsidP="0099354A">
      <w:pPr>
        <w:pStyle w:val="Odsekzoznamu"/>
        <w:numPr>
          <w:ilvl w:val="0"/>
          <w:numId w:val="8"/>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sankcie alebo pokuty, ako dôsledok porušenia právne záväzných ustanovení;</w:t>
      </w:r>
    </w:p>
    <w:p w:rsidR="0099354A" w:rsidRDefault="0099354A" w:rsidP="0099354A">
      <w:pPr>
        <w:pStyle w:val="Odsekzoznamu"/>
        <w:numPr>
          <w:ilvl w:val="0"/>
          <w:numId w:val="8"/>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99354A" w:rsidRDefault="0099354A" w:rsidP="0099354A">
      <w:pPr>
        <w:pStyle w:val="Odsekzoznamu"/>
        <w:numPr>
          <w:ilvl w:val="0"/>
          <w:numId w:val="8"/>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regulované ceny podľa zákona č. 18/1996 Z. z. o cenách;</w:t>
      </w:r>
    </w:p>
    <w:p w:rsidR="0099354A" w:rsidRDefault="0099354A" w:rsidP="0099354A">
      <w:pPr>
        <w:pStyle w:val="Odsekzoznamu"/>
        <w:numPr>
          <w:ilvl w:val="0"/>
          <w:numId w:val="8"/>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 xml:space="preserve">iné vplyvy, ktoré predpokladá materiál, ale nemožno ich zaradiť do častí 3.1 a 3.3. </w:t>
      </w:r>
    </w:p>
    <w:p w:rsidR="0099354A" w:rsidRDefault="0099354A" w:rsidP="0099354A">
      <w:pPr>
        <w:jc w:val="both"/>
        <w:rPr>
          <w:rFonts w:eastAsia="Calibri"/>
          <w:i/>
          <w:color w:val="0070C0"/>
        </w:rPr>
      </w:pPr>
    </w:p>
    <w:p w:rsidR="0099354A" w:rsidRDefault="0099354A" w:rsidP="0099354A">
      <w:pPr>
        <w:jc w:val="both"/>
        <w:rPr>
          <w:rFonts w:eastAsia="Calibri"/>
          <w:i/>
          <w:color w:val="0070C0"/>
        </w:rPr>
      </w:pPr>
    </w:p>
    <w:p w:rsidR="0099354A" w:rsidRDefault="0099354A" w:rsidP="0099354A">
      <w:pPr>
        <w:jc w:val="both"/>
        <w:rPr>
          <w:rFonts w:eastAsia="Calibri"/>
          <w:color w:val="000000" w:themeColor="text1"/>
        </w:rPr>
      </w:pPr>
      <w:r w:rsidRPr="005E6A9E">
        <w:rPr>
          <w:rFonts w:eastAsia="Calibri"/>
          <w:color w:val="000000" w:themeColor="text1"/>
        </w:rPr>
        <w:t>Pre podporu (úver) poskytovanú Štátnym fondom rozvoja bývania platia špecifické podmienky. Iné právnické osoby môžu získať podporu na obstaranie nájomných bytov, obstaranie zariadení sociálnych služieb a obstaranie ubytovacích domov. Využívanie týchto možností  podpory je zo strany iných právnických osôb n</w:t>
      </w:r>
      <w:r>
        <w:rPr>
          <w:rFonts w:eastAsia="Calibri"/>
          <w:color w:val="000000" w:themeColor="text1"/>
        </w:rPr>
        <w:t>ižšie oproti využívania týchto možností obcami</w:t>
      </w:r>
      <w:r w:rsidRPr="005E6A9E">
        <w:rPr>
          <w:rFonts w:eastAsia="Calibri"/>
          <w:color w:val="000000" w:themeColor="text1"/>
        </w:rPr>
        <w:t xml:space="preserve">. </w:t>
      </w:r>
    </w:p>
    <w:p w:rsidR="0099354A" w:rsidRDefault="0099354A" w:rsidP="0099354A">
      <w:pPr>
        <w:jc w:val="both"/>
        <w:rPr>
          <w:rFonts w:eastAsia="Calibri"/>
          <w:color w:val="000000" w:themeColor="text1"/>
        </w:rPr>
      </w:pPr>
    </w:p>
    <w:tbl>
      <w:tblPr>
        <w:tblStyle w:val="Mriekatabuky"/>
        <w:tblW w:w="0" w:type="auto"/>
        <w:tblLook w:val="04A0" w:firstRow="1" w:lastRow="0" w:firstColumn="1" w:lastColumn="0" w:noHBand="0" w:noVBand="1"/>
      </w:tblPr>
      <w:tblGrid>
        <w:gridCol w:w="3014"/>
        <w:gridCol w:w="3015"/>
        <w:gridCol w:w="3013"/>
      </w:tblGrid>
      <w:tr w:rsidR="0099354A" w:rsidTr="00330DF9">
        <w:tc>
          <w:tcPr>
            <w:tcW w:w="3014" w:type="dxa"/>
            <w:tcBorders>
              <w:top w:val="single" w:sz="12" w:space="0" w:color="auto"/>
              <w:left w:val="single" w:sz="12" w:space="0" w:color="auto"/>
              <w:bottom w:val="single" w:sz="12" w:space="0" w:color="auto"/>
              <w:right w:val="single" w:sz="12" w:space="0" w:color="auto"/>
            </w:tcBorders>
          </w:tcPr>
          <w:p w:rsidR="0099354A" w:rsidRPr="00877AAE" w:rsidRDefault="0099354A" w:rsidP="00330DF9">
            <w:pPr>
              <w:jc w:val="center"/>
              <w:rPr>
                <w:rFonts w:eastAsia="Calibri"/>
                <w:b/>
                <w:color w:val="000000" w:themeColor="text1"/>
              </w:rPr>
            </w:pPr>
            <w:r>
              <w:rPr>
                <w:rFonts w:eastAsia="Calibri"/>
                <w:b/>
                <w:color w:val="000000" w:themeColor="text1"/>
              </w:rPr>
              <w:t xml:space="preserve">Počty žiadostí za </w:t>
            </w:r>
            <w:r w:rsidRPr="00877AAE">
              <w:rPr>
                <w:rFonts w:eastAsia="Calibri"/>
                <w:b/>
                <w:color w:val="000000" w:themeColor="text1"/>
              </w:rPr>
              <w:t>2021</w:t>
            </w:r>
          </w:p>
        </w:tc>
        <w:tc>
          <w:tcPr>
            <w:tcW w:w="3015" w:type="dxa"/>
            <w:tcBorders>
              <w:top w:val="single" w:sz="12" w:space="0" w:color="auto"/>
              <w:left w:val="single" w:sz="12" w:space="0" w:color="auto"/>
              <w:bottom w:val="single" w:sz="12" w:space="0" w:color="auto"/>
            </w:tcBorders>
          </w:tcPr>
          <w:p w:rsidR="0099354A" w:rsidRPr="00877AAE" w:rsidRDefault="0099354A" w:rsidP="00330DF9">
            <w:pPr>
              <w:jc w:val="center"/>
              <w:rPr>
                <w:rFonts w:eastAsia="Calibri"/>
                <w:b/>
                <w:color w:val="000000" w:themeColor="text1"/>
              </w:rPr>
            </w:pPr>
            <w:r w:rsidRPr="00877AAE">
              <w:rPr>
                <w:rFonts w:eastAsia="Calibri"/>
                <w:b/>
                <w:color w:val="000000" w:themeColor="text1"/>
              </w:rPr>
              <w:t>Iné právnické osoby</w:t>
            </w:r>
          </w:p>
        </w:tc>
        <w:tc>
          <w:tcPr>
            <w:tcW w:w="3013" w:type="dxa"/>
            <w:tcBorders>
              <w:top w:val="single" w:sz="12" w:space="0" w:color="auto"/>
              <w:bottom w:val="single" w:sz="12" w:space="0" w:color="auto"/>
              <w:right w:val="single" w:sz="12" w:space="0" w:color="auto"/>
            </w:tcBorders>
          </w:tcPr>
          <w:p w:rsidR="0099354A" w:rsidRPr="00877AAE" w:rsidRDefault="0099354A" w:rsidP="00330DF9">
            <w:pPr>
              <w:jc w:val="center"/>
              <w:rPr>
                <w:rFonts w:eastAsia="Calibri"/>
                <w:b/>
                <w:color w:val="000000" w:themeColor="text1"/>
              </w:rPr>
            </w:pPr>
            <w:r w:rsidRPr="00877AAE">
              <w:rPr>
                <w:rFonts w:eastAsia="Calibri"/>
                <w:b/>
                <w:color w:val="000000" w:themeColor="text1"/>
              </w:rPr>
              <w:t>obce</w:t>
            </w:r>
          </w:p>
        </w:tc>
      </w:tr>
      <w:tr w:rsidR="0099354A" w:rsidRPr="00B37B95" w:rsidTr="00330DF9">
        <w:tc>
          <w:tcPr>
            <w:tcW w:w="3014" w:type="dxa"/>
            <w:tcBorders>
              <w:top w:val="single" w:sz="12" w:space="0" w:color="auto"/>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o poskytnutie podpory na obstaranie nájomných bytov</w:t>
            </w:r>
          </w:p>
        </w:tc>
        <w:tc>
          <w:tcPr>
            <w:tcW w:w="3015" w:type="dxa"/>
            <w:tcBorders>
              <w:top w:val="single" w:sz="12" w:space="0" w:color="auto"/>
              <w:left w:val="single" w:sz="12" w:space="0" w:color="auto"/>
            </w:tcBorders>
            <w:vAlign w:val="center"/>
          </w:tcPr>
          <w:p w:rsidR="0099354A" w:rsidRPr="00B37B95" w:rsidRDefault="0099354A" w:rsidP="00330DF9">
            <w:pPr>
              <w:jc w:val="center"/>
              <w:rPr>
                <w:rFonts w:eastAsia="Calibri"/>
              </w:rPr>
            </w:pPr>
            <w:r w:rsidRPr="00B37B95">
              <w:rPr>
                <w:rFonts w:eastAsia="Calibri"/>
              </w:rPr>
              <w:t>15</w:t>
            </w:r>
          </w:p>
        </w:tc>
        <w:tc>
          <w:tcPr>
            <w:tcW w:w="3013" w:type="dxa"/>
            <w:tcBorders>
              <w:top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68</w:t>
            </w:r>
          </w:p>
        </w:tc>
      </w:tr>
      <w:tr w:rsidR="0099354A" w:rsidRPr="00B37B95" w:rsidTr="00330DF9">
        <w:tc>
          <w:tcPr>
            <w:tcW w:w="3014" w:type="dxa"/>
            <w:tcBorders>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o poskytnutie podpory na obstaranie zariadenia sociálnych služieb</w:t>
            </w:r>
          </w:p>
        </w:tc>
        <w:tc>
          <w:tcPr>
            <w:tcW w:w="3015" w:type="dxa"/>
            <w:tcBorders>
              <w:left w:val="single" w:sz="12" w:space="0" w:color="auto"/>
            </w:tcBorders>
            <w:vAlign w:val="center"/>
          </w:tcPr>
          <w:p w:rsidR="0099354A" w:rsidRPr="00B37B95" w:rsidRDefault="0099354A" w:rsidP="00330DF9">
            <w:pPr>
              <w:jc w:val="center"/>
              <w:rPr>
                <w:rFonts w:eastAsia="Calibri"/>
              </w:rPr>
            </w:pPr>
            <w:r w:rsidRPr="00B37B95">
              <w:rPr>
                <w:rFonts w:eastAsia="Calibri"/>
              </w:rPr>
              <w:t>12</w:t>
            </w:r>
          </w:p>
        </w:tc>
        <w:tc>
          <w:tcPr>
            <w:tcW w:w="3013" w:type="dxa"/>
            <w:tcBorders>
              <w:right w:val="single" w:sz="12" w:space="0" w:color="auto"/>
            </w:tcBorders>
            <w:vAlign w:val="center"/>
          </w:tcPr>
          <w:p w:rsidR="0099354A" w:rsidRPr="00B37B95" w:rsidRDefault="0099354A" w:rsidP="00330DF9">
            <w:pPr>
              <w:jc w:val="center"/>
              <w:rPr>
                <w:rFonts w:eastAsia="Calibri"/>
              </w:rPr>
            </w:pPr>
            <w:r w:rsidRPr="00B37B95">
              <w:rPr>
                <w:rFonts w:eastAsia="Calibri"/>
              </w:rPr>
              <w:t>4</w:t>
            </w:r>
          </w:p>
        </w:tc>
      </w:tr>
      <w:tr w:rsidR="0099354A" w:rsidRPr="00B37B95" w:rsidTr="00330DF9">
        <w:tc>
          <w:tcPr>
            <w:tcW w:w="3014" w:type="dxa"/>
            <w:tcBorders>
              <w:left w:val="single" w:sz="12" w:space="0" w:color="auto"/>
              <w:bottom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na obstaranie ubytovacieho domu</w:t>
            </w:r>
          </w:p>
        </w:tc>
        <w:tc>
          <w:tcPr>
            <w:tcW w:w="3015" w:type="dxa"/>
            <w:tcBorders>
              <w:left w:val="single" w:sz="12" w:space="0" w:color="auto"/>
              <w:bottom w:val="single" w:sz="12" w:space="0" w:color="auto"/>
            </w:tcBorders>
            <w:vAlign w:val="center"/>
          </w:tcPr>
          <w:p w:rsidR="0099354A" w:rsidRPr="00B37B95" w:rsidRDefault="0099354A" w:rsidP="00330DF9">
            <w:pPr>
              <w:jc w:val="center"/>
              <w:rPr>
                <w:rFonts w:eastAsia="Calibri"/>
              </w:rPr>
            </w:pPr>
            <w:r w:rsidRPr="00B37B95">
              <w:rPr>
                <w:rFonts w:eastAsia="Calibri"/>
              </w:rPr>
              <w:t>3</w:t>
            </w:r>
          </w:p>
        </w:tc>
        <w:tc>
          <w:tcPr>
            <w:tcW w:w="3013" w:type="dxa"/>
            <w:tcBorders>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0</w:t>
            </w:r>
          </w:p>
        </w:tc>
      </w:tr>
    </w:tbl>
    <w:p w:rsidR="0099354A" w:rsidRPr="00B37B95" w:rsidRDefault="0099354A" w:rsidP="0099354A">
      <w:pPr>
        <w:jc w:val="both"/>
        <w:rPr>
          <w:rFonts w:eastAsia="Calibri"/>
        </w:rPr>
      </w:pPr>
    </w:p>
    <w:tbl>
      <w:tblPr>
        <w:tblStyle w:val="Mriekatabuky"/>
        <w:tblW w:w="0" w:type="auto"/>
        <w:tblLook w:val="04A0" w:firstRow="1" w:lastRow="0" w:firstColumn="1" w:lastColumn="0" w:noHBand="0" w:noVBand="1"/>
      </w:tblPr>
      <w:tblGrid>
        <w:gridCol w:w="3020"/>
        <w:gridCol w:w="3021"/>
        <w:gridCol w:w="3021"/>
      </w:tblGrid>
      <w:tr w:rsidR="0099354A" w:rsidRPr="00B37B95" w:rsidTr="00330DF9">
        <w:tc>
          <w:tcPr>
            <w:tcW w:w="3020" w:type="dxa"/>
            <w:tcBorders>
              <w:top w:val="single" w:sz="12" w:space="0" w:color="auto"/>
              <w:left w:val="single" w:sz="12" w:space="0" w:color="auto"/>
              <w:bottom w:val="single" w:sz="12" w:space="0" w:color="auto"/>
              <w:right w:val="single" w:sz="12" w:space="0" w:color="auto"/>
            </w:tcBorders>
          </w:tcPr>
          <w:p w:rsidR="0099354A" w:rsidRPr="00B37B95" w:rsidRDefault="0099354A" w:rsidP="00330DF9">
            <w:pPr>
              <w:jc w:val="center"/>
              <w:rPr>
                <w:rFonts w:eastAsia="Calibri"/>
                <w:b/>
              </w:rPr>
            </w:pPr>
            <w:r w:rsidRPr="00B37B95">
              <w:rPr>
                <w:rFonts w:eastAsia="Calibri"/>
                <w:b/>
              </w:rPr>
              <w:t>Počty žiadostí za 2022</w:t>
            </w:r>
          </w:p>
        </w:tc>
        <w:tc>
          <w:tcPr>
            <w:tcW w:w="3021" w:type="dxa"/>
            <w:tcBorders>
              <w:top w:val="single" w:sz="12" w:space="0" w:color="auto"/>
              <w:left w:val="single" w:sz="12" w:space="0" w:color="auto"/>
              <w:bottom w:val="single" w:sz="12" w:space="0" w:color="auto"/>
            </w:tcBorders>
          </w:tcPr>
          <w:p w:rsidR="0099354A" w:rsidRPr="00B37B95" w:rsidRDefault="0099354A" w:rsidP="00330DF9">
            <w:pPr>
              <w:jc w:val="center"/>
              <w:rPr>
                <w:rFonts w:eastAsia="Calibri"/>
                <w:b/>
              </w:rPr>
            </w:pPr>
            <w:r w:rsidRPr="00B37B95">
              <w:rPr>
                <w:rFonts w:eastAsia="Calibri"/>
                <w:b/>
              </w:rPr>
              <w:t>Iné právnické osoby</w:t>
            </w:r>
          </w:p>
        </w:tc>
        <w:tc>
          <w:tcPr>
            <w:tcW w:w="3021" w:type="dxa"/>
            <w:tcBorders>
              <w:top w:val="single" w:sz="12" w:space="0" w:color="auto"/>
              <w:bottom w:val="single" w:sz="12" w:space="0" w:color="auto"/>
              <w:right w:val="single" w:sz="12" w:space="0" w:color="auto"/>
            </w:tcBorders>
          </w:tcPr>
          <w:p w:rsidR="0099354A" w:rsidRPr="00B37B95" w:rsidRDefault="0099354A" w:rsidP="00330DF9">
            <w:pPr>
              <w:jc w:val="center"/>
              <w:rPr>
                <w:rFonts w:eastAsia="Calibri"/>
                <w:b/>
              </w:rPr>
            </w:pPr>
            <w:r w:rsidRPr="00B37B95">
              <w:rPr>
                <w:rFonts w:eastAsia="Calibri"/>
                <w:b/>
              </w:rPr>
              <w:t>obce</w:t>
            </w:r>
          </w:p>
        </w:tc>
      </w:tr>
      <w:tr w:rsidR="0099354A" w:rsidRPr="00B37B95" w:rsidTr="00330DF9">
        <w:tc>
          <w:tcPr>
            <w:tcW w:w="3020" w:type="dxa"/>
            <w:tcBorders>
              <w:top w:val="single" w:sz="12" w:space="0" w:color="auto"/>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o poskytnutie podpory na obstaranie nájomných bytov</w:t>
            </w:r>
          </w:p>
        </w:tc>
        <w:tc>
          <w:tcPr>
            <w:tcW w:w="3021" w:type="dxa"/>
            <w:tcBorders>
              <w:top w:val="single" w:sz="12" w:space="0" w:color="auto"/>
              <w:left w:val="single" w:sz="12" w:space="0" w:color="auto"/>
            </w:tcBorders>
            <w:vAlign w:val="center"/>
          </w:tcPr>
          <w:p w:rsidR="0099354A" w:rsidRPr="00B37B95" w:rsidRDefault="0099354A" w:rsidP="00330DF9">
            <w:pPr>
              <w:jc w:val="center"/>
              <w:rPr>
                <w:rFonts w:eastAsia="Calibri"/>
              </w:rPr>
            </w:pPr>
            <w:r w:rsidRPr="00B37B95">
              <w:rPr>
                <w:rFonts w:eastAsia="Calibri"/>
              </w:rPr>
              <w:t>13</w:t>
            </w:r>
          </w:p>
        </w:tc>
        <w:tc>
          <w:tcPr>
            <w:tcW w:w="3021" w:type="dxa"/>
            <w:tcBorders>
              <w:top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44</w:t>
            </w:r>
          </w:p>
        </w:tc>
      </w:tr>
      <w:tr w:rsidR="0099354A" w:rsidRPr="00B37B95" w:rsidTr="00330DF9">
        <w:tc>
          <w:tcPr>
            <w:tcW w:w="3020" w:type="dxa"/>
            <w:tcBorders>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o poskytnutie podpory na obstaranie zariadenia sociálnych služieb</w:t>
            </w:r>
          </w:p>
        </w:tc>
        <w:tc>
          <w:tcPr>
            <w:tcW w:w="3021" w:type="dxa"/>
            <w:tcBorders>
              <w:left w:val="single" w:sz="12" w:space="0" w:color="auto"/>
            </w:tcBorders>
            <w:vAlign w:val="center"/>
          </w:tcPr>
          <w:p w:rsidR="0099354A" w:rsidRPr="00B37B95" w:rsidRDefault="0099354A" w:rsidP="00330DF9">
            <w:pPr>
              <w:jc w:val="center"/>
              <w:rPr>
                <w:rFonts w:eastAsia="Calibri"/>
              </w:rPr>
            </w:pPr>
            <w:r w:rsidRPr="00B37B95">
              <w:rPr>
                <w:rFonts w:eastAsia="Calibri"/>
              </w:rPr>
              <w:t>8</w:t>
            </w:r>
          </w:p>
        </w:tc>
        <w:tc>
          <w:tcPr>
            <w:tcW w:w="3021" w:type="dxa"/>
            <w:tcBorders>
              <w:right w:val="single" w:sz="12" w:space="0" w:color="auto"/>
            </w:tcBorders>
            <w:vAlign w:val="center"/>
          </w:tcPr>
          <w:p w:rsidR="0099354A" w:rsidRPr="00B37B95" w:rsidRDefault="0099354A" w:rsidP="00330DF9">
            <w:pPr>
              <w:jc w:val="center"/>
              <w:rPr>
                <w:rFonts w:eastAsia="Calibri"/>
              </w:rPr>
            </w:pPr>
            <w:r w:rsidRPr="00B37B95">
              <w:rPr>
                <w:rFonts w:eastAsia="Calibri"/>
              </w:rPr>
              <w:t>8</w:t>
            </w:r>
          </w:p>
        </w:tc>
      </w:tr>
      <w:tr w:rsidR="0099354A" w:rsidRPr="00B37B95" w:rsidTr="00330DF9">
        <w:tc>
          <w:tcPr>
            <w:tcW w:w="3020" w:type="dxa"/>
            <w:tcBorders>
              <w:left w:val="single" w:sz="12" w:space="0" w:color="auto"/>
              <w:bottom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Žiadosti na obstaranie ubytovacieho domu</w:t>
            </w:r>
          </w:p>
        </w:tc>
        <w:tc>
          <w:tcPr>
            <w:tcW w:w="3021" w:type="dxa"/>
            <w:tcBorders>
              <w:left w:val="single" w:sz="12" w:space="0" w:color="auto"/>
              <w:bottom w:val="single" w:sz="12" w:space="0" w:color="auto"/>
            </w:tcBorders>
            <w:vAlign w:val="center"/>
          </w:tcPr>
          <w:p w:rsidR="0099354A" w:rsidRPr="00B37B95" w:rsidRDefault="0099354A" w:rsidP="00330DF9">
            <w:pPr>
              <w:jc w:val="center"/>
              <w:rPr>
                <w:rFonts w:eastAsia="Calibri"/>
              </w:rPr>
            </w:pPr>
            <w:r w:rsidRPr="00B37B95">
              <w:rPr>
                <w:rFonts w:eastAsia="Calibri"/>
              </w:rPr>
              <w:t>3</w:t>
            </w:r>
          </w:p>
        </w:tc>
        <w:tc>
          <w:tcPr>
            <w:tcW w:w="3021" w:type="dxa"/>
            <w:tcBorders>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0</w:t>
            </w:r>
          </w:p>
        </w:tc>
      </w:tr>
    </w:tbl>
    <w:p w:rsidR="0099354A" w:rsidRDefault="0099354A" w:rsidP="0099354A">
      <w:pPr>
        <w:jc w:val="both"/>
        <w:rPr>
          <w:rFonts w:eastAsia="Calibri"/>
          <w:color w:val="000000" w:themeColor="text1"/>
        </w:rPr>
      </w:pPr>
    </w:p>
    <w:p w:rsidR="0099354A" w:rsidRDefault="0099354A" w:rsidP="0099354A">
      <w:pPr>
        <w:jc w:val="both"/>
        <w:rPr>
          <w:rFonts w:eastAsia="Calibri"/>
          <w:color w:val="000000" w:themeColor="text1"/>
        </w:rPr>
      </w:pPr>
    </w:p>
    <w:p w:rsidR="0099354A" w:rsidRDefault="0099354A" w:rsidP="0099354A">
      <w:pPr>
        <w:jc w:val="both"/>
        <w:rPr>
          <w:rFonts w:eastAsia="Calibri"/>
          <w:color w:val="000000" w:themeColor="text1"/>
        </w:rPr>
      </w:pPr>
    </w:p>
    <w:tbl>
      <w:tblPr>
        <w:tblStyle w:val="Mriekatabuky"/>
        <w:tblW w:w="9057" w:type="dxa"/>
        <w:tblLook w:val="04A0" w:firstRow="1" w:lastRow="0" w:firstColumn="1" w:lastColumn="0" w:noHBand="0" w:noVBand="1"/>
      </w:tblPr>
      <w:tblGrid>
        <w:gridCol w:w="2439"/>
        <w:gridCol w:w="843"/>
        <w:gridCol w:w="2255"/>
        <w:gridCol w:w="990"/>
        <w:gridCol w:w="2530"/>
      </w:tblGrid>
      <w:tr w:rsidR="0099354A" w:rsidRPr="00B37B95" w:rsidTr="00330DF9">
        <w:tc>
          <w:tcPr>
            <w:tcW w:w="2450" w:type="dxa"/>
            <w:tcBorders>
              <w:top w:val="single" w:sz="12" w:space="0" w:color="auto"/>
              <w:left w:val="single" w:sz="12" w:space="0" w:color="auto"/>
              <w:bottom w:val="single" w:sz="12" w:space="0" w:color="auto"/>
              <w:right w:val="single" w:sz="12" w:space="0" w:color="auto"/>
            </w:tcBorders>
          </w:tcPr>
          <w:p w:rsidR="0099354A" w:rsidRPr="00B37B95" w:rsidRDefault="0099354A" w:rsidP="00330DF9">
            <w:pPr>
              <w:jc w:val="center"/>
              <w:rPr>
                <w:rFonts w:eastAsia="Calibri"/>
                <w:b/>
              </w:rPr>
            </w:pPr>
            <w:r w:rsidRPr="00B37B95">
              <w:rPr>
                <w:rFonts w:eastAsia="Calibri"/>
                <w:b/>
              </w:rPr>
              <w:t>Výška finančnej podpory za rok 2021 v €</w:t>
            </w:r>
          </w:p>
        </w:tc>
        <w:tc>
          <w:tcPr>
            <w:tcW w:w="796" w:type="dxa"/>
            <w:tcBorders>
              <w:top w:val="single" w:sz="12"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b/>
              </w:rPr>
            </w:pPr>
            <w:r w:rsidRPr="00B37B95">
              <w:rPr>
                <w:rFonts w:eastAsia="Calibri"/>
                <w:b/>
              </w:rPr>
              <w:t>Počet</w:t>
            </w:r>
          </w:p>
          <w:p w:rsidR="0099354A" w:rsidRPr="00B37B95" w:rsidRDefault="0099354A" w:rsidP="00330DF9">
            <w:pPr>
              <w:jc w:val="center"/>
              <w:rPr>
                <w:rFonts w:eastAsia="Calibri"/>
                <w:b/>
              </w:rPr>
            </w:pPr>
            <w:r w:rsidRPr="00B37B95">
              <w:rPr>
                <w:rFonts w:eastAsia="Calibri"/>
                <w:b/>
              </w:rPr>
              <w:t>zmlúv</w:t>
            </w:r>
          </w:p>
        </w:tc>
        <w:tc>
          <w:tcPr>
            <w:tcW w:w="2268" w:type="dxa"/>
            <w:tcBorders>
              <w:top w:val="single" w:sz="12"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b/>
              </w:rPr>
            </w:pPr>
            <w:r w:rsidRPr="00B37B95">
              <w:rPr>
                <w:rFonts w:eastAsia="Calibri"/>
                <w:b/>
              </w:rPr>
              <w:t>Iné právnické osoby</w:t>
            </w:r>
          </w:p>
        </w:tc>
        <w:tc>
          <w:tcPr>
            <w:tcW w:w="992" w:type="dxa"/>
            <w:tcBorders>
              <w:top w:val="single" w:sz="12"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b/>
              </w:rPr>
            </w:pPr>
            <w:r w:rsidRPr="00B37B95">
              <w:rPr>
                <w:rFonts w:eastAsia="Calibri"/>
                <w:b/>
              </w:rPr>
              <w:t>Počet</w:t>
            </w:r>
          </w:p>
          <w:p w:rsidR="0099354A" w:rsidRPr="00B37B95" w:rsidRDefault="0099354A" w:rsidP="00330DF9">
            <w:pPr>
              <w:jc w:val="center"/>
              <w:rPr>
                <w:rFonts w:eastAsia="Calibri"/>
                <w:b/>
              </w:rPr>
            </w:pPr>
            <w:r w:rsidRPr="00B37B95">
              <w:rPr>
                <w:rFonts w:eastAsia="Calibri"/>
                <w:b/>
              </w:rPr>
              <w:t>zmlúv</w:t>
            </w:r>
          </w:p>
        </w:tc>
        <w:tc>
          <w:tcPr>
            <w:tcW w:w="2551" w:type="dxa"/>
            <w:tcBorders>
              <w:top w:val="single" w:sz="12"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b/>
              </w:rPr>
            </w:pPr>
            <w:r w:rsidRPr="00B37B95">
              <w:rPr>
                <w:rFonts w:eastAsia="Calibri"/>
                <w:b/>
              </w:rPr>
              <w:t>obce</w:t>
            </w:r>
          </w:p>
        </w:tc>
      </w:tr>
      <w:tr w:rsidR="0099354A" w:rsidRPr="00B37B95" w:rsidTr="00330DF9">
        <w:tc>
          <w:tcPr>
            <w:tcW w:w="2450" w:type="dxa"/>
            <w:tcBorders>
              <w:top w:val="single" w:sz="12" w:space="0" w:color="auto"/>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Zmluvy o poskytnutí podpory na obstaranie nájomných bytov</w:t>
            </w:r>
          </w:p>
        </w:tc>
        <w:tc>
          <w:tcPr>
            <w:tcW w:w="796" w:type="dxa"/>
            <w:tcBorders>
              <w:top w:val="single" w:sz="12" w:space="0" w:color="auto"/>
              <w:left w:val="single" w:sz="12" w:space="0" w:color="auto"/>
              <w:bottom w:val="single" w:sz="6"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t>2</w:t>
            </w:r>
          </w:p>
        </w:tc>
        <w:tc>
          <w:tcPr>
            <w:tcW w:w="2268" w:type="dxa"/>
            <w:tcBorders>
              <w:top w:val="single" w:sz="12" w:space="0" w:color="auto"/>
              <w:left w:val="single" w:sz="6" w:space="0" w:color="auto"/>
              <w:bottom w:val="single" w:sz="6"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1 362 250</w:t>
            </w:r>
          </w:p>
        </w:tc>
        <w:tc>
          <w:tcPr>
            <w:tcW w:w="992" w:type="dxa"/>
            <w:tcBorders>
              <w:top w:val="single" w:sz="12" w:space="0" w:color="auto"/>
              <w:left w:val="single" w:sz="12" w:space="0" w:color="auto"/>
            </w:tcBorders>
            <w:vAlign w:val="center"/>
          </w:tcPr>
          <w:p w:rsidR="0099354A" w:rsidRPr="00B37B95" w:rsidRDefault="0099354A" w:rsidP="00330DF9">
            <w:pPr>
              <w:jc w:val="center"/>
              <w:rPr>
                <w:rFonts w:eastAsia="Calibri"/>
              </w:rPr>
            </w:pPr>
            <w:r w:rsidRPr="00B37B95">
              <w:rPr>
                <w:rFonts w:eastAsia="Calibri"/>
              </w:rPr>
              <w:t>57</w:t>
            </w:r>
          </w:p>
        </w:tc>
        <w:tc>
          <w:tcPr>
            <w:tcW w:w="2551" w:type="dxa"/>
            <w:tcBorders>
              <w:top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39 766 670</w:t>
            </w:r>
          </w:p>
        </w:tc>
      </w:tr>
      <w:tr w:rsidR="0099354A" w:rsidRPr="00B37B95" w:rsidTr="00330DF9">
        <w:tc>
          <w:tcPr>
            <w:tcW w:w="2450" w:type="dxa"/>
            <w:tcBorders>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Zmluvy o poskytnutí podpory na obstaranie zariadenia sociálnych služieb</w:t>
            </w:r>
          </w:p>
        </w:tc>
        <w:tc>
          <w:tcPr>
            <w:tcW w:w="796" w:type="dxa"/>
            <w:tcBorders>
              <w:top w:val="single" w:sz="6" w:space="0" w:color="auto"/>
              <w:left w:val="single" w:sz="12" w:space="0" w:color="auto"/>
              <w:bottom w:val="single" w:sz="6"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t>1</w:t>
            </w:r>
          </w:p>
        </w:tc>
        <w:tc>
          <w:tcPr>
            <w:tcW w:w="2268" w:type="dxa"/>
            <w:tcBorders>
              <w:top w:val="single" w:sz="6" w:space="0" w:color="auto"/>
              <w:left w:val="single" w:sz="6" w:space="0" w:color="auto"/>
              <w:bottom w:val="single" w:sz="6"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1 337 810</w:t>
            </w:r>
          </w:p>
        </w:tc>
        <w:tc>
          <w:tcPr>
            <w:tcW w:w="992" w:type="dxa"/>
            <w:tcBorders>
              <w:left w:val="single" w:sz="12" w:space="0" w:color="auto"/>
            </w:tcBorders>
            <w:vAlign w:val="center"/>
          </w:tcPr>
          <w:p w:rsidR="0099354A" w:rsidRPr="00B37B95" w:rsidRDefault="0099354A" w:rsidP="00330DF9">
            <w:pPr>
              <w:jc w:val="center"/>
              <w:rPr>
                <w:rFonts w:eastAsia="Calibri"/>
              </w:rPr>
            </w:pPr>
            <w:r w:rsidRPr="00B37B95">
              <w:rPr>
                <w:rFonts w:eastAsia="Calibri"/>
              </w:rPr>
              <w:t>1</w:t>
            </w:r>
          </w:p>
        </w:tc>
        <w:tc>
          <w:tcPr>
            <w:tcW w:w="2551" w:type="dxa"/>
            <w:tcBorders>
              <w:right w:val="single" w:sz="12" w:space="0" w:color="auto"/>
            </w:tcBorders>
            <w:vAlign w:val="center"/>
          </w:tcPr>
          <w:p w:rsidR="0099354A" w:rsidRPr="00B37B95" w:rsidRDefault="0099354A" w:rsidP="00330DF9">
            <w:pPr>
              <w:jc w:val="center"/>
              <w:rPr>
                <w:rFonts w:eastAsia="Calibri"/>
              </w:rPr>
            </w:pPr>
            <w:r w:rsidRPr="00B37B95">
              <w:rPr>
                <w:rFonts w:eastAsia="Calibri"/>
              </w:rPr>
              <w:t>1 372 000</w:t>
            </w:r>
          </w:p>
        </w:tc>
      </w:tr>
      <w:tr w:rsidR="0099354A" w:rsidRPr="00B37B95" w:rsidTr="00330DF9">
        <w:tc>
          <w:tcPr>
            <w:tcW w:w="2450" w:type="dxa"/>
            <w:tcBorders>
              <w:left w:val="single" w:sz="12" w:space="0" w:color="auto"/>
              <w:bottom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 xml:space="preserve">Zmluvy o poskytnutí </w:t>
            </w:r>
            <w:r w:rsidRPr="00B37B95">
              <w:rPr>
                <w:rFonts w:eastAsia="Calibri"/>
              </w:rPr>
              <w:lastRenderedPageBreak/>
              <w:t>podpory na obstaranie ubytovacieho domu</w:t>
            </w:r>
          </w:p>
        </w:tc>
        <w:tc>
          <w:tcPr>
            <w:tcW w:w="796" w:type="dxa"/>
            <w:tcBorders>
              <w:top w:val="single" w:sz="6"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lastRenderedPageBreak/>
              <w:t>0</w:t>
            </w:r>
          </w:p>
        </w:tc>
        <w:tc>
          <w:tcPr>
            <w:tcW w:w="2268" w:type="dxa"/>
            <w:tcBorders>
              <w:top w:val="single" w:sz="6"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0</w:t>
            </w:r>
          </w:p>
        </w:tc>
        <w:tc>
          <w:tcPr>
            <w:tcW w:w="992" w:type="dxa"/>
            <w:tcBorders>
              <w:left w:val="single" w:sz="12" w:space="0" w:color="auto"/>
              <w:bottom w:val="single" w:sz="12" w:space="0" w:color="auto"/>
            </w:tcBorders>
            <w:vAlign w:val="center"/>
          </w:tcPr>
          <w:p w:rsidR="0099354A" w:rsidRPr="00B37B95" w:rsidRDefault="0099354A" w:rsidP="00330DF9">
            <w:pPr>
              <w:jc w:val="center"/>
              <w:rPr>
                <w:rFonts w:eastAsia="Calibri"/>
              </w:rPr>
            </w:pPr>
            <w:r w:rsidRPr="00B37B95">
              <w:rPr>
                <w:rFonts w:eastAsia="Calibri"/>
              </w:rPr>
              <w:t>0</w:t>
            </w:r>
          </w:p>
        </w:tc>
        <w:tc>
          <w:tcPr>
            <w:tcW w:w="2551" w:type="dxa"/>
            <w:tcBorders>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0</w:t>
            </w:r>
          </w:p>
        </w:tc>
      </w:tr>
    </w:tbl>
    <w:p w:rsidR="0099354A" w:rsidRPr="00B37B95" w:rsidRDefault="0099354A" w:rsidP="0099354A">
      <w:pPr>
        <w:jc w:val="both"/>
        <w:rPr>
          <w:rFonts w:eastAsia="Calibri"/>
        </w:rPr>
      </w:pPr>
    </w:p>
    <w:tbl>
      <w:tblPr>
        <w:tblStyle w:val="Mriekatabuky"/>
        <w:tblW w:w="9057" w:type="dxa"/>
        <w:tblLook w:val="04A0" w:firstRow="1" w:lastRow="0" w:firstColumn="1" w:lastColumn="0" w:noHBand="0" w:noVBand="1"/>
      </w:tblPr>
      <w:tblGrid>
        <w:gridCol w:w="2439"/>
        <w:gridCol w:w="843"/>
        <w:gridCol w:w="2255"/>
        <w:gridCol w:w="990"/>
        <w:gridCol w:w="2530"/>
      </w:tblGrid>
      <w:tr w:rsidR="0099354A" w:rsidRPr="00B37B95" w:rsidTr="00330DF9">
        <w:tc>
          <w:tcPr>
            <w:tcW w:w="2450" w:type="dxa"/>
            <w:tcBorders>
              <w:top w:val="single" w:sz="12" w:space="0" w:color="auto"/>
              <w:left w:val="single" w:sz="12" w:space="0" w:color="auto"/>
              <w:bottom w:val="single" w:sz="12" w:space="0" w:color="auto"/>
              <w:right w:val="single" w:sz="12" w:space="0" w:color="auto"/>
            </w:tcBorders>
          </w:tcPr>
          <w:p w:rsidR="0099354A" w:rsidRPr="00B37B95" w:rsidRDefault="0099354A" w:rsidP="00330DF9">
            <w:pPr>
              <w:jc w:val="center"/>
              <w:rPr>
                <w:rFonts w:eastAsia="Calibri"/>
                <w:b/>
              </w:rPr>
            </w:pPr>
            <w:r w:rsidRPr="00B37B95">
              <w:rPr>
                <w:rFonts w:eastAsia="Calibri"/>
                <w:b/>
              </w:rPr>
              <w:t>Výška finančnej podpory za rok 2022 v €</w:t>
            </w:r>
          </w:p>
        </w:tc>
        <w:tc>
          <w:tcPr>
            <w:tcW w:w="796" w:type="dxa"/>
            <w:tcBorders>
              <w:top w:val="single" w:sz="12"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b/>
              </w:rPr>
            </w:pPr>
            <w:r w:rsidRPr="00B37B95">
              <w:rPr>
                <w:rFonts w:eastAsia="Calibri"/>
                <w:b/>
              </w:rPr>
              <w:t>Počet</w:t>
            </w:r>
          </w:p>
          <w:p w:rsidR="0099354A" w:rsidRPr="00B37B95" w:rsidRDefault="0099354A" w:rsidP="00330DF9">
            <w:pPr>
              <w:jc w:val="center"/>
              <w:rPr>
                <w:rFonts w:eastAsia="Calibri"/>
                <w:b/>
              </w:rPr>
            </w:pPr>
            <w:r w:rsidRPr="00B37B95">
              <w:rPr>
                <w:rFonts w:eastAsia="Calibri"/>
                <w:b/>
              </w:rPr>
              <w:t>zmlúv</w:t>
            </w:r>
          </w:p>
        </w:tc>
        <w:tc>
          <w:tcPr>
            <w:tcW w:w="2268" w:type="dxa"/>
            <w:tcBorders>
              <w:top w:val="single" w:sz="12"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b/>
              </w:rPr>
            </w:pPr>
            <w:r w:rsidRPr="00B37B95">
              <w:rPr>
                <w:rFonts w:eastAsia="Calibri"/>
                <w:b/>
              </w:rPr>
              <w:t>Iné právnické osoby</w:t>
            </w:r>
          </w:p>
        </w:tc>
        <w:tc>
          <w:tcPr>
            <w:tcW w:w="992" w:type="dxa"/>
            <w:tcBorders>
              <w:top w:val="single" w:sz="12"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b/>
              </w:rPr>
            </w:pPr>
            <w:r w:rsidRPr="00B37B95">
              <w:rPr>
                <w:rFonts w:eastAsia="Calibri"/>
                <w:b/>
              </w:rPr>
              <w:t>Počet zmlúv</w:t>
            </w:r>
          </w:p>
        </w:tc>
        <w:tc>
          <w:tcPr>
            <w:tcW w:w="2551" w:type="dxa"/>
            <w:tcBorders>
              <w:top w:val="single" w:sz="12"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b/>
              </w:rPr>
            </w:pPr>
            <w:r w:rsidRPr="00B37B95">
              <w:rPr>
                <w:rFonts w:eastAsia="Calibri"/>
                <w:b/>
              </w:rPr>
              <w:t>obce</w:t>
            </w:r>
          </w:p>
        </w:tc>
      </w:tr>
      <w:tr w:rsidR="0099354A" w:rsidRPr="00B37B95" w:rsidTr="00330DF9">
        <w:tc>
          <w:tcPr>
            <w:tcW w:w="2450" w:type="dxa"/>
            <w:tcBorders>
              <w:top w:val="single" w:sz="12" w:space="0" w:color="auto"/>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Zmluvy o poskytnutí podpory na obstaranie nájomných bytov</w:t>
            </w:r>
          </w:p>
        </w:tc>
        <w:tc>
          <w:tcPr>
            <w:tcW w:w="796" w:type="dxa"/>
            <w:tcBorders>
              <w:top w:val="single" w:sz="12" w:space="0" w:color="auto"/>
              <w:left w:val="single" w:sz="12" w:space="0" w:color="auto"/>
              <w:bottom w:val="single" w:sz="6"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t>4</w:t>
            </w:r>
          </w:p>
        </w:tc>
        <w:tc>
          <w:tcPr>
            <w:tcW w:w="2268" w:type="dxa"/>
            <w:tcBorders>
              <w:top w:val="single" w:sz="12" w:space="0" w:color="auto"/>
              <w:left w:val="single" w:sz="6" w:space="0" w:color="auto"/>
              <w:bottom w:val="single" w:sz="6"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15 750 450</w:t>
            </w:r>
          </w:p>
        </w:tc>
        <w:tc>
          <w:tcPr>
            <w:tcW w:w="992" w:type="dxa"/>
            <w:tcBorders>
              <w:top w:val="single" w:sz="12" w:space="0" w:color="auto"/>
              <w:left w:val="single" w:sz="12" w:space="0" w:color="auto"/>
            </w:tcBorders>
            <w:vAlign w:val="center"/>
          </w:tcPr>
          <w:p w:rsidR="0099354A" w:rsidRPr="00B37B95" w:rsidRDefault="0099354A" w:rsidP="00330DF9">
            <w:pPr>
              <w:jc w:val="center"/>
              <w:rPr>
                <w:rFonts w:eastAsia="Calibri"/>
              </w:rPr>
            </w:pPr>
            <w:r w:rsidRPr="00B37B95">
              <w:rPr>
                <w:rFonts w:eastAsia="Calibri"/>
              </w:rPr>
              <w:t>36</w:t>
            </w:r>
          </w:p>
        </w:tc>
        <w:tc>
          <w:tcPr>
            <w:tcW w:w="2551" w:type="dxa"/>
            <w:tcBorders>
              <w:top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24 454 970</w:t>
            </w:r>
          </w:p>
        </w:tc>
      </w:tr>
      <w:tr w:rsidR="0099354A" w:rsidRPr="00B37B95" w:rsidTr="00330DF9">
        <w:tc>
          <w:tcPr>
            <w:tcW w:w="2450" w:type="dxa"/>
            <w:tcBorders>
              <w:left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Zmluvy o poskytnutí podpory na obstaranie zariadenia sociálnych služieb</w:t>
            </w:r>
          </w:p>
        </w:tc>
        <w:tc>
          <w:tcPr>
            <w:tcW w:w="796" w:type="dxa"/>
            <w:tcBorders>
              <w:top w:val="single" w:sz="6" w:space="0" w:color="auto"/>
              <w:left w:val="single" w:sz="12" w:space="0" w:color="auto"/>
              <w:bottom w:val="single" w:sz="6"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t xml:space="preserve">1 </w:t>
            </w:r>
          </w:p>
        </w:tc>
        <w:tc>
          <w:tcPr>
            <w:tcW w:w="2268" w:type="dxa"/>
            <w:tcBorders>
              <w:top w:val="single" w:sz="6" w:space="0" w:color="auto"/>
              <w:left w:val="single" w:sz="6" w:space="0" w:color="auto"/>
              <w:bottom w:val="single" w:sz="6"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1 864 040</w:t>
            </w:r>
          </w:p>
        </w:tc>
        <w:tc>
          <w:tcPr>
            <w:tcW w:w="992" w:type="dxa"/>
            <w:tcBorders>
              <w:left w:val="single" w:sz="12" w:space="0" w:color="auto"/>
            </w:tcBorders>
            <w:vAlign w:val="center"/>
          </w:tcPr>
          <w:p w:rsidR="0099354A" w:rsidRPr="00B37B95" w:rsidRDefault="0099354A" w:rsidP="00330DF9">
            <w:pPr>
              <w:jc w:val="center"/>
              <w:rPr>
                <w:rFonts w:eastAsia="Calibri"/>
              </w:rPr>
            </w:pPr>
            <w:r w:rsidRPr="00B37B95">
              <w:rPr>
                <w:rFonts w:eastAsia="Calibri"/>
              </w:rPr>
              <w:t>7</w:t>
            </w:r>
          </w:p>
        </w:tc>
        <w:tc>
          <w:tcPr>
            <w:tcW w:w="2551" w:type="dxa"/>
            <w:tcBorders>
              <w:right w:val="single" w:sz="12" w:space="0" w:color="auto"/>
            </w:tcBorders>
            <w:vAlign w:val="center"/>
          </w:tcPr>
          <w:p w:rsidR="0099354A" w:rsidRPr="00B37B95" w:rsidRDefault="0099354A" w:rsidP="00330DF9">
            <w:pPr>
              <w:jc w:val="center"/>
              <w:rPr>
                <w:rFonts w:eastAsia="Calibri"/>
              </w:rPr>
            </w:pPr>
            <w:r w:rsidRPr="00B37B95">
              <w:rPr>
                <w:rFonts w:eastAsia="Calibri"/>
              </w:rPr>
              <w:t>12 228 540</w:t>
            </w:r>
          </w:p>
        </w:tc>
      </w:tr>
      <w:tr w:rsidR="0099354A" w:rsidRPr="00B37B95" w:rsidTr="00330DF9">
        <w:tc>
          <w:tcPr>
            <w:tcW w:w="2450" w:type="dxa"/>
            <w:tcBorders>
              <w:left w:val="single" w:sz="12" w:space="0" w:color="auto"/>
              <w:bottom w:val="single" w:sz="12" w:space="0" w:color="auto"/>
              <w:right w:val="single" w:sz="12" w:space="0" w:color="auto"/>
            </w:tcBorders>
          </w:tcPr>
          <w:p w:rsidR="0099354A" w:rsidRPr="00B37B95" w:rsidRDefault="0099354A" w:rsidP="00330DF9">
            <w:pPr>
              <w:jc w:val="both"/>
              <w:rPr>
                <w:rFonts w:eastAsia="Calibri"/>
              </w:rPr>
            </w:pPr>
            <w:r w:rsidRPr="00B37B95">
              <w:rPr>
                <w:rFonts w:eastAsia="Calibri"/>
              </w:rPr>
              <w:t>Zmluvy o poskytnutí podpory na obstaranie ubytovacieho domu</w:t>
            </w:r>
          </w:p>
        </w:tc>
        <w:tc>
          <w:tcPr>
            <w:tcW w:w="796" w:type="dxa"/>
            <w:tcBorders>
              <w:top w:val="single" w:sz="6" w:space="0" w:color="auto"/>
              <w:left w:val="single" w:sz="12" w:space="0" w:color="auto"/>
              <w:bottom w:val="single" w:sz="12" w:space="0" w:color="auto"/>
              <w:right w:val="single" w:sz="6" w:space="0" w:color="auto"/>
            </w:tcBorders>
            <w:vAlign w:val="center"/>
          </w:tcPr>
          <w:p w:rsidR="0099354A" w:rsidRPr="00B37B95" w:rsidRDefault="0099354A" w:rsidP="00330DF9">
            <w:pPr>
              <w:jc w:val="center"/>
              <w:rPr>
                <w:rFonts w:eastAsia="Calibri"/>
              </w:rPr>
            </w:pPr>
            <w:r w:rsidRPr="00B37B95">
              <w:rPr>
                <w:rFonts w:eastAsia="Calibri"/>
              </w:rPr>
              <w:t>1</w:t>
            </w:r>
          </w:p>
        </w:tc>
        <w:tc>
          <w:tcPr>
            <w:tcW w:w="2268" w:type="dxa"/>
            <w:tcBorders>
              <w:top w:val="single" w:sz="6" w:space="0" w:color="auto"/>
              <w:left w:val="single" w:sz="6" w:space="0" w:color="auto"/>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300 200</w:t>
            </w:r>
          </w:p>
        </w:tc>
        <w:tc>
          <w:tcPr>
            <w:tcW w:w="992" w:type="dxa"/>
            <w:tcBorders>
              <w:left w:val="single" w:sz="12" w:space="0" w:color="auto"/>
              <w:bottom w:val="single" w:sz="12" w:space="0" w:color="auto"/>
            </w:tcBorders>
            <w:vAlign w:val="center"/>
          </w:tcPr>
          <w:p w:rsidR="0099354A" w:rsidRPr="00B37B95" w:rsidRDefault="0099354A" w:rsidP="00330DF9">
            <w:pPr>
              <w:jc w:val="center"/>
              <w:rPr>
                <w:rFonts w:eastAsia="Calibri"/>
              </w:rPr>
            </w:pPr>
            <w:r w:rsidRPr="00B37B95">
              <w:rPr>
                <w:rFonts w:eastAsia="Calibri"/>
              </w:rPr>
              <w:t>0</w:t>
            </w:r>
          </w:p>
        </w:tc>
        <w:tc>
          <w:tcPr>
            <w:tcW w:w="2551" w:type="dxa"/>
            <w:tcBorders>
              <w:bottom w:val="single" w:sz="12" w:space="0" w:color="auto"/>
              <w:right w:val="single" w:sz="12" w:space="0" w:color="auto"/>
            </w:tcBorders>
            <w:vAlign w:val="center"/>
          </w:tcPr>
          <w:p w:rsidR="0099354A" w:rsidRPr="00B37B95" w:rsidRDefault="0099354A" w:rsidP="00330DF9">
            <w:pPr>
              <w:jc w:val="center"/>
              <w:rPr>
                <w:rFonts w:eastAsia="Calibri"/>
              </w:rPr>
            </w:pPr>
            <w:r w:rsidRPr="00B37B95">
              <w:rPr>
                <w:rFonts w:eastAsia="Calibri"/>
              </w:rPr>
              <w:t>0</w:t>
            </w:r>
          </w:p>
        </w:tc>
      </w:tr>
    </w:tbl>
    <w:p w:rsidR="0099354A" w:rsidRPr="00B37B95" w:rsidRDefault="0099354A" w:rsidP="0099354A">
      <w:pPr>
        <w:jc w:val="both"/>
        <w:rPr>
          <w:rFonts w:eastAsia="Calibri"/>
        </w:rPr>
      </w:pPr>
      <w:r w:rsidRPr="00B37B95">
        <w:rPr>
          <w:rFonts w:eastAsia="Calibri"/>
        </w:rPr>
        <w:t xml:space="preserve">Zdroj: </w:t>
      </w:r>
    </w:p>
    <w:p w:rsidR="0099354A" w:rsidRPr="00316A32" w:rsidRDefault="0099354A" w:rsidP="0099354A">
      <w:pPr>
        <w:jc w:val="both"/>
        <w:rPr>
          <w:rFonts w:eastAsia="Calibri"/>
          <w:u w:val="single"/>
        </w:rPr>
      </w:pPr>
      <w:hyperlink r:id="rId8" w:history="1">
        <w:r w:rsidRPr="00B37B95">
          <w:rPr>
            <w:rStyle w:val="Hypertextovprepojenie"/>
            <w:rFonts w:eastAsia="Calibri"/>
          </w:rPr>
          <w:t>https://www.sfrb.sk/wp-content/uploads/2023/01/Stav-posudzovania</w:t>
        </w:r>
      </w:hyperlink>
    </w:p>
    <w:p w:rsidR="0099354A" w:rsidRPr="00B37B95" w:rsidRDefault="0099354A" w:rsidP="0099354A">
      <w:pPr>
        <w:jc w:val="both"/>
        <w:rPr>
          <w:rFonts w:eastAsia="Calibri"/>
        </w:rPr>
      </w:pPr>
      <w:hyperlink r:id="rId9" w:history="1">
        <w:r w:rsidRPr="00B37B95">
          <w:rPr>
            <w:rStyle w:val="Hypertextovprepojenie"/>
            <w:rFonts w:eastAsia="Calibri"/>
          </w:rPr>
          <w:t>https://www.sfrb.sk/wp-content/uploads/2022/02/Stav-ziadosti-31.12.2021.pdf</w:t>
        </w:r>
      </w:hyperlink>
    </w:p>
    <w:p w:rsidR="0099354A" w:rsidRDefault="0099354A" w:rsidP="0099354A">
      <w:pPr>
        <w:jc w:val="both"/>
        <w:rPr>
          <w:rFonts w:eastAsia="Calibri"/>
          <w:color w:val="000000" w:themeColor="text1"/>
        </w:rPr>
      </w:pPr>
    </w:p>
    <w:p w:rsidR="0099354A" w:rsidRPr="005E6A9E" w:rsidRDefault="0099354A" w:rsidP="0099354A">
      <w:pPr>
        <w:jc w:val="both"/>
        <w:rPr>
          <w:rFonts w:eastAsia="Calibri"/>
          <w:color w:val="000000" w:themeColor="text1"/>
        </w:rPr>
      </w:pPr>
      <w:r>
        <w:rPr>
          <w:rFonts w:eastAsia="Calibri"/>
          <w:color w:val="000000" w:themeColor="text1"/>
        </w:rPr>
        <w:t xml:space="preserve">V porovnaní žiadostí predložených obcami a inými právnickými osobami, sú žiadosti predložené právnickými osobami nižšie, avšak v prípade zvyšovania maximálnej výšky podpory budú žiadateľom poskytované vyššie úvery a teda hovoríme o pozitívnom vplyve na podnikateľské prostredie. </w:t>
      </w:r>
    </w:p>
    <w:p w:rsidR="0099354A" w:rsidRDefault="0099354A" w:rsidP="0099354A">
      <w:pPr>
        <w:jc w:val="both"/>
        <w:rPr>
          <w:rFonts w:eastAsia="Calibri"/>
          <w:color w:val="000000" w:themeColor="text1"/>
        </w:rPr>
      </w:pPr>
    </w:p>
    <w:p w:rsidR="0099354A" w:rsidRPr="005E6A9E" w:rsidRDefault="0099354A" w:rsidP="0099354A">
      <w:pPr>
        <w:jc w:val="both"/>
        <w:rPr>
          <w:rFonts w:eastAsia="Calibri"/>
          <w:color w:val="000000" w:themeColor="text1"/>
        </w:rPr>
      </w:pPr>
      <w:r w:rsidRPr="005E6A9E">
        <w:rPr>
          <w:rFonts w:eastAsia="Calibri"/>
          <w:color w:val="000000" w:themeColor="text1"/>
        </w:rPr>
        <w:t xml:space="preserve">Dôvodom nízkeho počtu </w:t>
      </w:r>
      <w:r>
        <w:rPr>
          <w:rFonts w:eastAsia="Calibri"/>
          <w:color w:val="000000" w:themeColor="text1"/>
        </w:rPr>
        <w:t xml:space="preserve">žiadostí iných právnických osôb </w:t>
      </w:r>
      <w:r w:rsidRPr="005E6A9E">
        <w:rPr>
          <w:rFonts w:eastAsia="Calibri"/>
          <w:color w:val="000000" w:themeColor="text1"/>
        </w:rPr>
        <w:t>je skutočnosť, že žiadateľ musí v podporených projektoch zachovať po dobu 20, resp. 30 rokov udržateľnosť poskytovanej služby.</w:t>
      </w:r>
    </w:p>
    <w:p w:rsidR="0099354A" w:rsidRDefault="0099354A" w:rsidP="0099354A">
      <w:pPr>
        <w:jc w:val="both"/>
        <w:rPr>
          <w:rFonts w:eastAsia="Calibri"/>
          <w:color w:val="000000" w:themeColor="text1"/>
        </w:rPr>
      </w:pPr>
    </w:p>
    <w:p w:rsidR="0099354A" w:rsidRDefault="0099354A" w:rsidP="0099354A">
      <w:pPr>
        <w:jc w:val="both"/>
        <w:rPr>
          <w:rFonts w:eastAsia="Calibri"/>
          <w:color w:val="000000" w:themeColor="text1"/>
        </w:rPr>
      </w:pPr>
      <w:r w:rsidRPr="005E6A9E">
        <w:rPr>
          <w:rFonts w:eastAsia="Calibri"/>
          <w:color w:val="000000" w:themeColor="text1"/>
        </w:rPr>
        <w:t>Návrhom zákona sa rieši úprava maximálnej výšky podpory t</w:t>
      </w:r>
      <w:r>
        <w:rPr>
          <w:rFonts w:eastAsia="Calibri"/>
          <w:color w:val="000000" w:themeColor="text1"/>
        </w:rPr>
        <w:t xml:space="preserve">akmer pre všetky účely podpory, čo bude mať pozitívne vplyvy na podnikateľské prostredie v prípade žiadostí o podporu inými právnickými osobami. </w:t>
      </w:r>
    </w:p>
    <w:p w:rsidR="0099354A" w:rsidRDefault="0099354A" w:rsidP="0099354A">
      <w:pPr>
        <w:jc w:val="both"/>
        <w:rPr>
          <w:rFonts w:eastAsia="Calibri"/>
          <w:color w:val="000000" w:themeColor="text1"/>
        </w:rPr>
      </w:pPr>
    </w:p>
    <w:p w:rsidR="0099354A" w:rsidRPr="005E6A9E" w:rsidRDefault="0099354A" w:rsidP="0099354A">
      <w:pPr>
        <w:jc w:val="both"/>
        <w:rPr>
          <w:rFonts w:eastAsia="Calibri"/>
          <w:color w:val="000000" w:themeColor="text1"/>
        </w:rPr>
      </w:pPr>
      <w:r w:rsidRPr="005E6A9E">
        <w:rPr>
          <w:rFonts w:eastAsia="Calibri"/>
          <w:color w:val="000000" w:themeColor="text1"/>
        </w:rPr>
        <w:t>Zvýšením limitu možnej podpory poskytovanej zo ŠFRB sa vytvára zákonný rámec pre možnosť financovania projektov rozvoja bývania a obnovy existujúceho bytového fondu.</w:t>
      </w:r>
      <w:r>
        <w:rPr>
          <w:rFonts w:eastAsia="Calibri"/>
          <w:color w:val="000000" w:themeColor="text1"/>
        </w:rPr>
        <w:t xml:space="preserve"> Konkrétne kvantifikácie budú vykonané v jednotlivých vykonávacích predpisoch.</w:t>
      </w:r>
    </w:p>
    <w:p w:rsidR="0099354A" w:rsidRPr="00590278" w:rsidRDefault="0099354A" w:rsidP="0099354A">
      <w:pPr>
        <w:pStyle w:val="ListParagraph1"/>
        <w:autoSpaceDE w:val="0"/>
        <w:autoSpaceDN w:val="0"/>
        <w:adjustRightInd w:val="0"/>
        <w:jc w:val="both"/>
        <w:rPr>
          <w:sz w:val="22"/>
          <w:szCs w:val="22"/>
        </w:rPr>
      </w:pPr>
    </w:p>
    <w:p w:rsidR="0064721A" w:rsidRDefault="0064721A"/>
    <w:sectPr w:rsidR="0064721A" w:rsidSect="00330DF9">
      <w:pgSz w:w="12240" w:h="15840"/>
      <w:pgMar w:top="1134"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330DF9" w:rsidRPr="006045CB" w:rsidRDefault="00330DF9" w:rsidP="00330DF9">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47444">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8C"/>
    <w:multiLevelType w:val="hybridMultilevel"/>
    <w:tmpl w:val="5DDAF120"/>
    <w:lvl w:ilvl="0" w:tplc="7E342E66">
      <w:start w:val="1"/>
      <w:numFmt w:val="decimal"/>
      <w:lvlText w:val="%1."/>
      <w:lvlJc w:val="left"/>
      <w:pPr>
        <w:ind w:left="135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DB6E36"/>
    <w:multiLevelType w:val="hybridMultilevel"/>
    <w:tmpl w:val="471C6C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5B77A4"/>
    <w:multiLevelType w:val="hybridMultilevel"/>
    <w:tmpl w:val="24D2E45C"/>
    <w:lvl w:ilvl="0" w:tplc="4E70B73C">
      <w:start w:val="1"/>
      <w:numFmt w:val="bullet"/>
      <w:lvlText w:val="-"/>
      <w:lvlJc w:val="left"/>
      <w:pPr>
        <w:tabs>
          <w:tab w:val="num" w:pos="1068"/>
        </w:tabs>
        <w:ind w:left="1068" w:hanging="360"/>
      </w:pPr>
      <w:rPr>
        <w:rFonts w:ascii="Times New Roman" w:eastAsia="Times New Roman" w:hAnsi="Times New Roman" w:hint="default"/>
      </w:rPr>
    </w:lvl>
    <w:lvl w:ilvl="1" w:tplc="041B0003" w:tentative="1">
      <w:start w:val="1"/>
      <w:numFmt w:val="bullet"/>
      <w:lvlText w:val="o"/>
      <w:lvlJc w:val="left"/>
      <w:pPr>
        <w:tabs>
          <w:tab w:val="num" w:pos="1428"/>
        </w:tabs>
        <w:ind w:left="1428" w:hanging="360"/>
      </w:pPr>
      <w:rPr>
        <w:rFonts w:ascii="Courier New" w:hAnsi="Courier New" w:hint="default"/>
      </w:rPr>
    </w:lvl>
    <w:lvl w:ilvl="2" w:tplc="041B0005" w:tentative="1">
      <w:start w:val="1"/>
      <w:numFmt w:val="bullet"/>
      <w:lvlText w:val=""/>
      <w:lvlJc w:val="left"/>
      <w:pPr>
        <w:tabs>
          <w:tab w:val="num" w:pos="2148"/>
        </w:tabs>
        <w:ind w:left="2148" w:hanging="360"/>
      </w:pPr>
      <w:rPr>
        <w:rFonts w:ascii="Wingdings" w:hAnsi="Wingdings" w:hint="default"/>
      </w:rPr>
    </w:lvl>
    <w:lvl w:ilvl="3" w:tplc="041B0001" w:tentative="1">
      <w:start w:val="1"/>
      <w:numFmt w:val="bullet"/>
      <w:lvlText w:val=""/>
      <w:lvlJc w:val="left"/>
      <w:pPr>
        <w:tabs>
          <w:tab w:val="num" w:pos="2868"/>
        </w:tabs>
        <w:ind w:left="2868" w:hanging="360"/>
      </w:pPr>
      <w:rPr>
        <w:rFonts w:ascii="Symbol" w:hAnsi="Symbol" w:hint="default"/>
      </w:rPr>
    </w:lvl>
    <w:lvl w:ilvl="4" w:tplc="041B0003" w:tentative="1">
      <w:start w:val="1"/>
      <w:numFmt w:val="bullet"/>
      <w:lvlText w:val="o"/>
      <w:lvlJc w:val="left"/>
      <w:pPr>
        <w:tabs>
          <w:tab w:val="num" w:pos="3588"/>
        </w:tabs>
        <w:ind w:left="3588" w:hanging="360"/>
      </w:pPr>
      <w:rPr>
        <w:rFonts w:ascii="Courier New" w:hAnsi="Courier New" w:hint="default"/>
      </w:rPr>
    </w:lvl>
    <w:lvl w:ilvl="5" w:tplc="041B0005" w:tentative="1">
      <w:start w:val="1"/>
      <w:numFmt w:val="bullet"/>
      <w:lvlText w:val=""/>
      <w:lvlJc w:val="left"/>
      <w:pPr>
        <w:tabs>
          <w:tab w:val="num" w:pos="4308"/>
        </w:tabs>
        <w:ind w:left="4308" w:hanging="360"/>
      </w:pPr>
      <w:rPr>
        <w:rFonts w:ascii="Wingdings" w:hAnsi="Wingdings" w:hint="default"/>
      </w:rPr>
    </w:lvl>
    <w:lvl w:ilvl="6" w:tplc="041B0001" w:tentative="1">
      <w:start w:val="1"/>
      <w:numFmt w:val="bullet"/>
      <w:lvlText w:val=""/>
      <w:lvlJc w:val="left"/>
      <w:pPr>
        <w:tabs>
          <w:tab w:val="num" w:pos="5028"/>
        </w:tabs>
        <w:ind w:left="5028" w:hanging="360"/>
      </w:pPr>
      <w:rPr>
        <w:rFonts w:ascii="Symbol" w:hAnsi="Symbol" w:hint="default"/>
      </w:rPr>
    </w:lvl>
    <w:lvl w:ilvl="7" w:tplc="041B0003" w:tentative="1">
      <w:start w:val="1"/>
      <w:numFmt w:val="bullet"/>
      <w:lvlText w:val="o"/>
      <w:lvlJc w:val="left"/>
      <w:pPr>
        <w:tabs>
          <w:tab w:val="num" w:pos="5748"/>
        </w:tabs>
        <w:ind w:left="5748" w:hanging="360"/>
      </w:pPr>
      <w:rPr>
        <w:rFonts w:ascii="Courier New" w:hAnsi="Courier New" w:hint="default"/>
      </w:rPr>
    </w:lvl>
    <w:lvl w:ilvl="8" w:tplc="041B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3266420B"/>
    <w:multiLevelType w:val="hybridMultilevel"/>
    <w:tmpl w:val="E820AF5A"/>
    <w:lvl w:ilvl="0" w:tplc="FDD442B8">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537F7A17"/>
    <w:multiLevelType w:val="hybridMultilevel"/>
    <w:tmpl w:val="AAF058D0"/>
    <w:lvl w:ilvl="0" w:tplc="4246F1FA">
      <w:start w:val="1"/>
      <w:numFmt w:val="decimal"/>
      <w:lvlText w:val="%1."/>
      <w:lvlJc w:val="left"/>
      <w:pPr>
        <w:ind w:left="5039" w:hanging="360"/>
      </w:pPr>
      <w:rPr>
        <w:rFonts w:cs="Times New Roman" w:hint="default"/>
      </w:rPr>
    </w:lvl>
    <w:lvl w:ilvl="1" w:tplc="041B0019" w:tentative="1">
      <w:start w:val="1"/>
      <w:numFmt w:val="lowerLetter"/>
      <w:lvlText w:val="%2."/>
      <w:lvlJc w:val="left"/>
      <w:pPr>
        <w:ind w:left="5759" w:hanging="360"/>
      </w:pPr>
      <w:rPr>
        <w:rFonts w:cs="Times New Roman"/>
      </w:rPr>
    </w:lvl>
    <w:lvl w:ilvl="2" w:tplc="041B001B" w:tentative="1">
      <w:start w:val="1"/>
      <w:numFmt w:val="lowerRoman"/>
      <w:lvlText w:val="%3."/>
      <w:lvlJc w:val="right"/>
      <w:pPr>
        <w:ind w:left="6479" w:hanging="180"/>
      </w:pPr>
      <w:rPr>
        <w:rFonts w:cs="Times New Roman"/>
      </w:rPr>
    </w:lvl>
    <w:lvl w:ilvl="3" w:tplc="041B000F" w:tentative="1">
      <w:start w:val="1"/>
      <w:numFmt w:val="decimal"/>
      <w:lvlText w:val="%4."/>
      <w:lvlJc w:val="left"/>
      <w:pPr>
        <w:ind w:left="7199" w:hanging="360"/>
      </w:pPr>
      <w:rPr>
        <w:rFonts w:cs="Times New Roman"/>
      </w:rPr>
    </w:lvl>
    <w:lvl w:ilvl="4" w:tplc="041B0019" w:tentative="1">
      <w:start w:val="1"/>
      <w:numFmt w:val="lowerLetter"/>
      <w:lvlText w:val="%5."/>
      <w:lvlJc w:val="left"/>
      <w:pPr>
        <w:ind w:left="7919" w:hanging="360"/>
      </w:pPr>
      <w:rPr>
        <w:rFonts w:cs="Times New Roman"/>
      </w:rPr>
    </w:lvl>
    <w:lvl w:ilvl="5" w:tplc="041B001B" w:tentative="1">
      <w:start w:val="1"/>
      <w:numFmt w:val="lowerRoman"/>
      <w:lvlText w:val="%6."/>
      <w:lvlJc w:val="right"/>
      <w:pPr>
        <w:ind w:left="8639" w:hanging="180"/>
      </w:pPr>
      <w:rPr>
        <w:rFonts w:cs="Times New Roman"/>
      </w:rPr>
    </w:lvl>
    <w:lvl w:ilvl="6" w:tplc="041B000F" w:tentative="1">
      <w:start w:val="1"/>
      <w:numFmt w:val="decimal"/>
      <w:lvlText w:val="%7."/>
      <w:lvlJc w:val="left"/>
      <w:pPr>
        <w:ind w:left="9359" w:hanging="360"/>
      </w:pPr>
      <w:rPr>
        <w:rFonts w:cs="Times New Roman"/>
      </w:rPr>
    </w:lvl>
    <w:lvl w:ilvl="7" w:tplc="041B0019" w:tentative="1">
      <w:start w:val="1"/>
      <w:numFmt w:val="lowerLetter"/>
      <w:lvlText w:val="%8."/>
      <w:lvlJc w:val="left"/>
      <w:pPr>
        <w:ind w:left="10079" w:hanging="360"/>
      </w:pPr>
      <w:rPr>
        <w:rFonts w:cs="Times New Roman"/>
      </w:rPr>
    </w:lvl>
    <w:lvl w:ilvl="8" w:tplc="041B001B" w:tentative="1">
      <w:start w:val="1"/>
      <w:numFmt w:val="lowerRoman"/>
      <w:lvlText w:val="%9."/>
      <w:lvlJc w:val="right"/>
      <w:pPr>
        <w:ind w:left="10799" w:hanging="180"/>
      </w:pPr>
      <w:rPr>
        <w:rFonts w:cs="Times New Roman"/>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4164FC9"/>
    <w:multiLevelType w:val="hybridMultilevel"/>
    <w:tmpl w:val="206AFE3A"/>
    <w:lvl w:ilvl="0" w:tplc="041B0017">
      <w:start w:val="1"/>
      <w:numFmt w:val="lowerLetter"/>
      <w:lvlText w:val="%1)"/>
      <w:lvlJc w:val="left"/>
      <w:pPr>
        <w:ind w:left="720" w:hanging="360"/>
      </w:pPr>
      <w:rPr>
        <w:rFonts w:cs="Times New Roman" w:hint="default"/>
      </w:rPr>
    </w:lvl>
    <w:lvl w:ilvl="1" w:tplc="4E70B73C">
      <w:start w:val="1"/>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4A"/>
    <w:rsid w:val="00330DF9"/>
    <w:rsid w:val="00447444"/>
    <w:rsid w:val="0064721A"/>
    <w:rsid w:val="0099173E"/>
    <w:rsid w:val="009935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AA75"/>
  <w15:chartTrackingRefBased/>
  <w15:docId w15:val="{AABBA2BD-2071-419C-965D-A22623F3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354A"/>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354A"/>
    <w:pPr>
      <w:widowControl/>
      <w:adjustRightInd/>
      <w:spacing w:after="200" w:line="276" w:lineRule="auto"/>
      <w:ind w:left="720"/>
      <w:contextualSpacing/>
    </w:pPr>
    <w:rPr>
      <w:rFonts w:ascii="Calibri" w:hAnsi="Calibri"/>
      <w:sz w:val="22"/>
      <w:szCs w:val="22"/>
    </w:rPr>
  </w:style>
  <w:style w:type="paragraph" w:customStyle="1" w:styleId="ListParagraph1">
    <w:name w:val="List Paragraph1"/>
    <w:basedOn w:val="Normlny"/>
    <w:rsid w:val="0099354A"/>
    <w:pPr>
      <w:widowControl/>
      <w:adjustRightInd/>
      <w:ind w:left="720"/>
      <w:contextualSpacing/>
    </w:pPr>
    <w:rPr>
      <w:lang w:val="cs-CZ" w:eastAsia="cs-CZ"/>
    </w:rPr>
  </w:style>
  <w:style w:type="table" w:customStyle="1" w:styleId="Mriekatabuky1">
    <w:name w:val="Mriežka tabuľky1"/>
    <w:basedOn w:val="Normlnatabuka"/>
    <w:next w:val="Mriekatabuky"/>
    <w:uiPriority w:val="59"/>
    <w:rsid w:val="0099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54A"/>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99354A"/>
    <w:pPr>
      <w:spacing w:after="0" w:line="240" w:lineRule="auto"/>
    </w:pPr>
    <w:rPr>
      <w:rFonts w:ascii="Calibri" w:eastAsia="Times New Roman"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9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354A"/>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99354A"/>
  </w:style>
  <w:style w:type="character" w:styleId="Hypertextovprepojenie">
    <w:name w:val="Hyperlink"/>
    <w:basedOn w:val="Predvolenpsmoodseku"/>
    <w:uiPriority w:val="99"/>
    <w:unhideWhenUsed/>
    <w:rsid w:val="0099354A"/>
    <w:rPr>
      <w:color w:val="0563C1" w:themeColor="hyperlink"/>
      <w:u w:val="single"/>
    </w:rPr>
  </w:style>
  <w:style w:type="paragraph" w:styleId="Normlnywebov">
    <w:name w:val="Normal (Web)"/>
    <w:aliases w:val="webb"/>
    <w:basedOn w:val="Normlny"/>
    <w:uiPriority w:val="99"/>
    <w:unhideWhenUsed/>
    <w:qFormat/>
    <w:rsid w:val="00330DF9"/>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rb.sk/wp-content/uploads/2023/01/Stav-posudzovania" TargetMode="External"/><Relationship Id="rId3" Type="http://schemas.openxmlformats.org/officeDocument/2006/relationships/settings" Target="settings.xml"/><Relationship Id="rId7" Type="http://schemas.openxmlformats.org/officeDocument/2006/relationships/hyperlink" Target="https://www.slov-lex.sk/legislativne-procesy/SK/PI/202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frb.sk/wp-content/uploads/2022/02/Stav-ziadosti-31.12.202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3098</Words>
  <Characters>17664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Svrček, Miloš</dc:creator>
  <cp:keywords/>
  <dc:description/>
  <cp:lastModifiedBy>Svrček, Miloš</cp:lastModifiedBy>
  <cp:revision>3</cp:revision>
  <dcterms:created xsi:type="dcterms:W3CDTF">2023-04-05T15:07:00Z</dcterms:created>
  <dcterms:modified xsi:type="dcterms:W3CDTF">2023-04-05T15:27:00Z</dcterms:modified>
</cp:coreProperties>
</file>