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b/>
          <w:bCs/>
        </w:rPr>
      </w:pPr>
      <w:r w:rsidRPr="00BC612E"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návrhu zákona</w:t>
      </w:r>
      <w:r w:rsidRPr="00BC612E">
        <w:rPr>
          <w:rFonts w:ascii="Book Antiqua" w:hAnsi="Book Antiqua" w:cs="Book Antiqua"/>
        </w:rPr>
        <w:t xml:space="preserve"> </w:t>
      </w:r>
      <w:r w:rsidRPr="00BC612E">
        <w:rPr>
          <w:rFonts w:ascii="Book Antiqua" w:hAnsi="Book Antiqua" w:cs="Book Antiqua"/>
          <w:b/>
          <w:bCs/>
        </w:rPr>
        <w:t>s právom Európskej únie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b/>
          <w:bCs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1. Navrhovateľ zákona:</w:t>
      </w:r>
      <w:r w:rsidRPr="00BC612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color w:val="000000"/>
        </w:rPr>
        <w:t>poslanec</w:t>
      </w:r>
      <w:r w:rsidRPr="00BC612E">
        <w:rPr>
          <w:rFonts w:ascii="Book Antiqua" w:hAnsi="Book Antiqua" w:cs="Book Antiqua"/>
          <w:color w:val="000000"/>
        </w:rPr>
        <w:t xml:space="preserve"> Národnej rady Slovenskej republiky Miloš Svrček, 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color w:val="C9211E"/>
        </w:rPr>
      </w:pPr>
    </w:p>
    <w:p w:rsidR="0091761F" w:rsidRPr="00BC612E" w:rsidRDefault="0091761F" w:rsidP="0091761F">
      <w:pPr>
        <w:spacing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2. Názov návrhu zákona:</w:t>
      </w:r>
      <w:r w:rsidRPr="00BC612E">
        <w:rPr>
          <w:rFonts w:ascii="Book Antiqua" w:hAnsi="Book Antiqua" w:cs="Book Antiqua"/>
        </w:rPr>
        <w:t xml:space="preserve"> </w:t>
      </w:r>
      <w:bookmarkStart w:id="0" w:name="__DdeLink__67868_1258658721"/>
      <w:r w:rsidRPr="00BC612E">
        <w:rPr>
          <w:rFonts w:ascii="Book Antiqua" w:hAnsi="Book Antiqua" w:cs="Book Antiqua"/>
          <w:color w:val="000000"/>
        </w:rPr>
        <w:t xml:space="preserve">návrh </w:t>
      </w:r>
      <w:bookmarkEnd w:id="0"/>
      <w:r>
        <w:rPr>
          <w:rFonts w:ascii="Book Antiqua" w:hAnsi="Book Antiqua" w:cs="Book Antiqua"/>
          <w:color w:val="000000"/>
        </w:rPr>
        <w:t>zákona,</w:t>
      </w:r>
      <w:r w:rsidRPr="00BC612E">
        <w:rPr>
          <w:rFonts w:ascii="Book Antiqua" w:hAnsi="Book Antiqua" w:cs="Book Antiqua"/>
          <w:color w:val="000000"/>
        </w:rPr>
        <w:t xml:space="preserve"> </w:t>
      </w:r>
      <w:r w:rsidRPr="00BC612E">
        <w:rPr>
          <w:rFonts w:ascii="Book Antiqua" w:hAnsi="Book Antiqua"/>
          <w:color w:val="000000" w:themeColor="text1"/>
        </w:rPr>
        <w:t>ktorým sa mení a dopĺňa zákon č. 91/2010 Z. z. o podpore cestovného ruchu v znení neskorších predpisov</w:t>
      </w:r>
    </w:p>
    <w:p w:rsidR="0091761F" w:rsidRPr="00BC612E" w:rsidRDefault="0091761F" w:rsidP="0091761F">
      <w:pPr>
        <w:spacing w:line="276" w:lineRule="auto"/>
        <w:jc w:val="both"/>
        <w:rPr>
          <w:rFonts w:ascii="Book Antiqua" w:hAnsi="Book Antiqua"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3. Predmet návrhu zákona:</w:t>
      </w:r>
    </w:p>
    <w:p w:rsidR="0091761F" w:rsidRPr="00BC612E" w:rsidRDefault="0091761F" w:rsidP="0091761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</w:rPr>
      </w:pPr>
      <w:r w:rsidRPr="00BC612E">
        <w:rPr>
          <w:rFonts w:ascii="Book Antiqua" w:hAnsi="Book Antiqua" w:cs="Book Antiqua"/>
          <w:bCs/>
        </w:rPr>
        <w:t>nie je upravený v primárnom práve Európskej únie,</w:t>
      </w:r>
    </w:p>
    <w:p w:rsidR="0091761F" w:rsidRPr="00BC612E" w:rsidRDefault="0091761F" w:rsidP="0091761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  <w:bCs/>
        </w:rPr>
      </w:pPr>
      <w:r w:rsidRPr="00BC612E">
        <w:rPr>
          <w:rFonts w:ascii="Book Antiqua" w:hAnsi="Book Antiqua" w:cs="Book Antiqua"/>
        </w:rPr>
        <w:t>nie je upravený v sekundárnom práve Európskej únie,</w:t>
      </w:r>
    </w:p>
    <w:p w:rsidR="0091761F" w:rsidRPr="00BC612E" w:rsidRDefault="0091761F" w:rsidP="0091761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</w:rPr>
      </w:pPr>
      <w:r w:rsidRPr="00BC612E">
        <w:rPr>
          <w:rFonts w:ascii="Book Antiqua" w:hAnsi="Book Antiqua" w:cs="Book Antiqua"/>
          <w:bCs/>
        </w:rPr>
        <w:t>nie je obsiahnutý v judikatúre Súdneho dvora Európskej únie.</w:t>
      </w:r>
      <w:r w:rsidRPr="00BC612E">
        <w:rPr>
          <w:rFonts w:ascii="Book Antiqua" w:hAnsi="Book Antiqua" w:cs="Book Antiqua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</w:rPr>
      </w:pPr>
      <w:r w:rsidRPr="00BC612E">
        <w:rPr>
          <w:rFonts w:ascii="Book Antiqua" w:hAnsi="Book Antiqua" w:cs="Book Antiqua"/>
          <w:b/>
          <w:bCs/>
        </w:rPr>
        <w:t>Vzhľadom na to, že predmet návrhu zákona nie je upravený v práve Európskej únie, je bezpredmetné vyjadrovať sa k bodom 4. a 5.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</w:rPr>
        <w:sectPr w:rsidR="0091761F" w:rsidRPr="00BC612E">
          <w:footerReference w:type="default" r:id="rId5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BC612E">
        <w:rPr>
          <w:rFonts w:ascii="Book Antiqua" w:hAnsi="Book Antiqua" w:cs="Book Antiqua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aps/>
          <w:color w:val="000000"/>
          <w:spacing w:val="30"/>
        </w:rPr>
        <w:lastRenderedPageBreak/>
        <w:t>Doložka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vybraných vplyvov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color w:val="000000"/>
        </w:rPr>
        <w:t> 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 xml:space="preserve">A.1. Názov materiálu: </w:t>
      </w:r>
      <w:r w:rsidRPr="00BC612E">
        <w:rPr>
          <w:rFonts w:ascii="Book Antiqua" w:hAnsi="Book Antiqua" w:cs="Book Antiqua"/>
          <w:color w:val="000000"/>
        </w:rPr>
        <w:t xml:space="preserve">návrh </w:t>
      </w:r>
      <w:r w:rsidRPr="00BC612E">
        <w:rPr>
          <w:rFonts w:ascii="Book Antiqua" w:hAnsi="Book Antiqua"/>
          <w:color w:val="000000" w:themeColor="text1"/>
        </w:rPr>
        <w:t>ktorým sa mení a dopĺňa zákon č. 91/2010 Z. z. o podpore cestovného ruchu v znení neskorších predpisov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>       </w:t>
      </w:r>
      <w:r w:rsidRPr="00BC612E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BC612E">
        <w:rPr>
          <w:rFonts w:ascii="Book Antiqua" w:hAnsi="Book Antiqua" w:cs="Book Antiqua"/>
          <w:b/>
          <w:bCs/>
          <w:color w:val="000000"/>
        </w:rPr>
        <w:t>Termín začatia a ukončenia PPK:</w:t>
      </w:r>
      <w:r w:rsidRPr="00BC612E">
        <w:rPr>
          <w:rFonts w:ascii="Book Antiqua" w:hAnsi="Book Antiqua" w:cs="Book Antiqua"/>
          <w:color w:val="000000"/>
        </w:rPr>
        <w:t xml:space="preserve"> </w:t>
      </w:r>
      <w:r w:rsidRPr="00BC612E">
        <w:rPr>
          <w:rFonts w:ascii="Book Antiqua" w:hAnsi="Book Antiqua" w:cs="Book Antiqua"/>
          <w:i/>
          <w:iCs/>
          <w:color w:val="000000"/>
        </w:rPr>
        <w:t>bezpredmetné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1192"/>
        <w:gridCol w:w="1178"/>
        <w:gridCol w:w="1241"/>
      </w:tblGrid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Negatívne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 xml:space="preserve">sociálnu </w:t>
            </w:r>
            <w:proofErr w:type="spellStart"/>
            <w:r w:rsidRPr="00BC612E">
              <w:rPr>
                <w:rFonts w:ascii="Book Antiqua" w:hAnsi="Book Antiqua" w:cs="Book Antiqua"/>
                <w:color w:val="000000"/>
              </w:rPr>
              <w:t>exklúziu</w:t>
            </w:r>
            <w:proofErr w:type="spellEnd"/>
            <w:r w:rsidRPr="00BC612E">
              <w:rPr>
                <w:rFonts w:ascii="Book Antiqua" w:hAnsi="Book Antiqua" w:cs="Book Antiqua"/>
                <w:color w:val="000000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</w:tbl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>A.3. Poznámky</w:t>
      </w:r>
    </w:p>
    <w:p w:rsidR="0091761F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91761F">
        <w:rPr>
          <w:rFonts w:ascii="Book Antiqua" w:hAnsi="Book Antiqua"/>
        </w:rPr>
        <w:t>Návrh zákona č.  91/2010 Z. z. o podpore cestovného ruchu v znení neskorších predpisov vychádza z rozsiahlej diskusie s oblastnými organizáciami cestovného ruchu, krajskými organizáciami cestovného ruchu, samosprávami a profesijnými združeniami.</w:t>
      </w:r>
      <w:r w:rsidRPr="0091761F">
        <w:rPr>
          <w:rFonts w:ascii="Book Antiqua" w:hAnsi="Book Antiqua"/>
          <w:bCs/>
        </w:rPr>
        <w:t xml:space="preserve"> Navrhovaná právna úprava reflektuje aktuálne potreby sektora cestovného ruchu a smeruje k reštartu prostredia po jednotlivých vlnách pandémie, ktorá zasiahla celý svet.</w:t>
      </w:r>
      <w:r w:rsidRPr="0091761F">
        <w:rPr>
          <w:rFonts w:ascii="Book Antiqua" w:hAnsi="Book Antiqua"/>
          <w:bCs/>
        </w:rPr>
        <w:t xml:space="preserve"> </w:t>
      </w:r>
      <w:r w:rsidRPr="0091761F">
        <w:rPr>
          <w:rFonts w:ascii="Book Antiqua" w:hAnsi="Book Antiqua"/>
        </w:rPr>
        <w:t>Prostredníctvom úprav práv a povinností organizácie cestovného ruchu z úrovne manažmentu cieľového miesta predkladaná úprava definuje oblasti, vymedzuje činnosti a formu výkonu organizácie v území jej pôsobnosti, čím vytvára štruktúru náplne a priestor pre stabilizačné pomocné nástroje pre dosiahnutie udržateľnosti v systéme sektorového riadenia.</w:t>
      </w:r>
      <w:r w:rsidRPr="0091761F">
        <w:rPr>
          <w:rFonts w:ascii="Book Antiqua" w:hAnsi="Book Antiqua"/>
        </w:rPr>
        <w:t xml:space="preserve"> </w:t>
      </w:r>
      <w:r w:rsidRPr="0091761F">
        <w:rPr>
          <w:rFonts w:ascii="Book Antiqua" w:hAnsi="Book Antiqua"/>
          <w:bCs/>
        </w:rPr>
        <w:t xml:space="preserve">Zásadné je zdôraznenie významu investovania do produktu cestovného ruchu, sprehľadnenie definovania úkonov, procesov a možností z pozície samospráv. 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A.4. Alternatívne riešenia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i/>
          <w:iCs/>
          <w:color w:val="000000"/>
        </w:rPr>
        <w:t>bezpredmetné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A.5. Stanovisko gestorov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2B1AD2" w:rsidRDefault="002B1AD2">
      <w:bookmarkStart w:id="1" w:name="_GoBack"/>
      <w:bookmarkEnd w:id="1"/>
    </w:p>
    <w:sectPr w:rsidR="002B1AD2" w:rsidSect="00694F0A">
      <w:footerReference w:type="default" r:id="rId6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2E" w:rsidRDefault="0091761F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9A640F" wp14:editId="23FD57A3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835" cy="350520"/>
              <wp:effectExtent l="1905" t="635" r="8255" b="254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612E" w:rsidRDefault="0091761F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:rsidR="00BC612E" w:rsidRDefault="0091761F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A640F" id="Text Box 2" o:spid="_x0000_s1026" style="position:absolute;margin-left:518.4pt;margin-top:.05pt;width:6.05pt;height:2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" filled="f" stroked="f">
              <v:textbox inset="0,0,0,0">
                <w:txbxContent>
                  <w:p w:rsidR="00BC612E" w:rsidRDefault="0091761F">
                    <w:pPr>
                      <w:pStyle w:val="Pta"/>
                    </w:pPr>
                    <w:r>
                      <w:rPr>
                        <w:rStyle w:val="slostrany"/>
                        <w:color w:val="000000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  <w:noProof/>
                      </w:rPr>
                      <w:t>1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:rsidR="00BC612E" w:rsidRDefault="0091761F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0A" w:rsidRDefault="0091761F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1F"/>
    <w:rsid w:val="002B1AD2"/>
    <w:rsid w:val="009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E0D2"/>
  <w15:chartTrackingRefBased/>
  <w15:docId w15:val="{CC9CB2B7-6CA3-47CF-84EC-B22688B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91761F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nhideWhenUsed/>
    <w:rsid w:val="0091761F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9176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qFormat/>
    <w:rsid w:val="0091761F"/>
  </w:style>
  <w:style w:type="table" w:customStyle="1" w:styleId="Mriekatabuky1">
    <w:name w:val="Mriežka tabuľky1"/>
    <w:basedOn w:val="Normlnatabuka"/>
    <w:next w:val="Mriekatabuky"/>
    <w:uiPriority w:val="59"/>
    <w:rsid w:val="0091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99"/>
    <w:qFormat/>
    <w:rsid w:val="0091761F"/>
    <w:rPr>
      <w:rFonts w:ascii="Times New Roman" w:hAnsi="Times New Roman" w:cs="Times New Roman"/>
      <w:b/>
      <w:bCs/>
    </w:rPr>
  </w:style>
  <w:style w:type="table" w:styleId="Mriekatabuky">
    <w:name w:val="Table Grid"/>
    <w:basedOn w:val="Normlnatabuka"/>
    <w:uiPriority w:val="39"/>
    <w:rsid w:val="0091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1</cp:revision>
  <dcterms:created xsi:type="dcterms:W3CDTF">2023-04-05T13:27:00Z</dcterms:created>
  <dcterms:modified xsi:type="dcterms:W3CDTF">2023-04-05T13:36:00Z</dcterms:modified>
</cp:coreProperties>
</file>