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30005">
        <w:rPr>
          <w:sz w:val="20"/>
        </w:rPr>
        <w:t>499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86CF4" w:rsidP="007375F5">
      <w:pPr>
        <w:pStyle w:val="uznesenia"/>
      </w:pPr>
      <w:r>
        <w:t>2103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386CF4">
        <w:rPr>
          <w:spacing w:val="0"/>
        </w:rPr>
        <w:t>21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30005" w:rsidP="006F3EE5">
      <w:pPr>
        <w:jc w:val="both"/>
      </w:pPr>
      <w:r>
        <w:t>k n</w:t>
      </w:r>
      <w:r w:rsidRPr="00130005">
        <w:t>ávrh</w:t>
      </w:r>
      <w:r>
        <w:t xml:space="preserve">u </w:t>
      </w:r>
      <w:r w:rsidRPr="00130005">
        <w:t xml:space="preserve">poslancov Národnej rady Slovenskej republiky Jany </w:t>
      </w:r>
      <w:proofErr w:type="spellStart"/>
      <w:r w:rsidRPr="00130005">
        <w:t>Žitňanskej</w:t>
      </w:r>
      <w:proofErr w:type="spellEnd"/>
      <w:r w:rsidRPr="00130005">
        <w:t xml:space="preserve">, Vladimíry </w:t>
      </w:r>
      <w:proofErr w:type="spellStart"/>
      <w:r w:rsidRPr="00130005">
        <w:t>Marcinkovej</w:t>
      </w:r>
      <w:proofErr w:type="spellEnd"/>
      <w:r w:rsidRPr="00130005">
        <w:t>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 (tlač 1478)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D92EA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0005">
        <w:rPr>
          <w:rFonts w:cs="Arial"/>
        </w:rPr>
        <w:t xml:space="preserve"> </w:t>
      </w:r>
    </w:p>
    <w:p w:rsidR="00130005" w:rsidRDefault="00D92EA2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</w:t>
      </w:r>
      <w:r w:rsidR="00130005">
        <w:rPr>
          <w:rFonts w:cs="Arial"/>
        </w:rPr>
        <w:t>sociálne veci a</w:t>
      </w:r>
    </w:p>
    <w:p w:rsidR="007375F5" w:rsidRDefault="00130005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vzdelávanie, vedu, mládež a šport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130005">
        <w:t>sociálne veci</w:t>
      </w:r>
      <w:r w:rsidR="00B63411">
        <w:t xml:space="preserve">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130005">
        <w:t xml:space="preserve"> vo výboroch</w:t>
      </w:r>
      <w:r w:rsidR="00864EA9">
        <w:t xml:space="preserve"> do </w:t>
      </w:r>
      <w:r w:rsidR="009F2073">
        <w:t>26. apríla 2023</w:t>
      </w:r>
      <w:r w:rsidR="00864EA9">
        <w:t xml:space="preserve"> a</w:t>
      </w:r>
      <w:r w:rsidR="003C709A">
        <w:t xml:space="preserve"> </w:t>
      </w:r>
      <w:r w:rsidR="000905A9">
        <w:t xml:space="preserve">v 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86CF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C3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67</cp:revision>
  <cp:lastPrinted>2023-02-01T11:03:00Z</cp:lastPrinted>
  <dcterms:created xsi:type="dcterms:W3CDTF">2022-11-24T09:04:00Z</dcterms:created>
  <dcterms:modified xsi:type="dcterms:W3CDTF">2023-03-23T07:40:00Z</dcterms:modified>
</cp:coreProperties>
</file>