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BF7BB" w14:textId="67B576F9" w:rsidR="004320A9" w:rsidRDefault="004320A9" w:rsidP="00D91ABE">
      <w:pPr>
        <w:pStyle w:val="Zkladntext"/>
        <w:jc w:val="center"/>
        <w:rPr>
          <w:rFonts w:hAnsi="Times New Roman" w:cs="Times New Roman"/>
          <w:b/>
          <w:bCs/>
        </w:rPr>
      </w:pPr>
      <w:bookmarkStart w:id="0" w:name="_Hlk89090475"/>
    </w:p>
    <w:p w14:paraId="37A21B07" w14:textId="21FD17C7" w:rsidR="00D91ABE" w:rsidRDefault="00D91ABE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0585FB00" w14:textId="2951ACBF" w:rsidR="00D91ABE" w:rsidRDefault="00D91ABE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3D5CEC9C" w14:textId="195DA754" w:rsidR="00D91ABE" w:rsidRDefault="00D91ABE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38E8F1EC" w14:textId="5E8DE514" w:rsidR="00D91ABE" w:rsidRDefault="00D91ABE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049A09A9" w14:textId="77777777" w:rsidR="00D91ABE" w:rsidRPr="00D91ABE" w:rsidRDefault="00D91ABE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04A90CDF" w14:textId="452E6C26" w:rsidR="00FE521A" w:rsidRPr="00D91ABE" w:rsidRDefault="00FE521A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20F7C326" w14:textId="0CDAEB59" w:rsidR="00FE521A" w:rsidRPr="00D91ABE" w:rsidRDefault="00FE521A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45836C68" w14:textId="108C0961" w:rsidR="00FE521A" w:rsidRPr="00D91ABE" w:rsidRDefault="00FE521A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67508A67" w14:textId="0F46909B" w:rsidR="00FE521A" w:rsidRPr="00D91ABE" w:rsidRDefault="00FE521A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21264C2C" w14:textId="406602BE" w:rsidR="00FE521A" w:rsidRPr="00D91ABE" w:rsidRDefault="00FE521A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24841CF9" w14:textId="77777777" w:rsidR="00FE521A" w:rsidRPr="00D91ABE" w:rsidRDefault="00FE521A" w:rsidP="00D91ABE">
      <w:pPr>
        <w:pStyle w:val="Zkladntext"/>
        <w:jc w:val="center"/>
        <w:rPr>
          <w:rFonts w:hAnsi="Times New Roman" w:cs="Times New Roman"/>
          <w:b/>
          <w:bCs/>
        </w:rPr>
      </w:pPr>
    </w:p>
    <w:p w14:paraId="7A2B985F" w14:textId="591A0FC9" w:rsidR="004320A9" w:rsidRPr="00D91ABE" w:rsidRDefault="008D32BF" w:rsidP="00D91ABE">
      <w:pPr>
        <w:pStyle w:val="Zkladntext"/>
        <w:jc w:val="center"/>
        <w:rPr>
          <w:rFonts w:hAnsi="Times New Roman" w:cs="Times New Roman"/>
          <w:b/>
          <w:bCs/>
        </w:rPr>
      </w:pPr>
      <w:r w:rsidRPr="00D91ABE">
        <w:rPr>
          <w:rFonts w:hAnsi="Times New Roman" w:cs="Times New Roman"/>
          <w:b/>
          <w:bCs/>
        </w:rPr>
        <w:t>z</w:t>
      </w:r>
      <w:r w:rsidR="00FE521A" w:rsidRPr="00D91ABE">
        <w:rPr>
          <w:rFonts w:hAnsi="Times New Roman" w:cs="Times New Roman"/>
          <w:b/>
          <w:bCs/>
        </w:rPr>
        <w:t> 30. marca</w:t>
      </w:r>
      <w:r w:rsidR="004320A9" w:rsidRPr="00D91ABE">
        <w:rPr>
          <w:rFonts w:hAnsi="Times New Roman" w:cs="Times New Roman"/>
          <w:b/>
          <w:bCs/>
        </w:rPr>
        <w:t xml:space="preserve"> 202</w:t>
      </w:r>
      <w:r w:rsidR="006C5CD6" w:rsidRPr="00D91ABE">
        <w:rPr>
          <w:rFonts w:hAnsi="Times New Roman" w:cs="Times New Roman"/>
          <w:b/>
          <w:bCs/>
        </w:rPr>
        <w:t>3</w:t>
      </w:r>
      <w:r w:rsidR="004320A9" w:rsidRPr="00D91ABE">
        <w:rPr>
          <w:rFonts w:hAnsi="Times New Roman" w:cs="Times New Roman"/>
          <w:b/>
          <w:bCs/>
        </w:rPr>
        <w:t>,</w:t>
      </w:r>
    </w:p>
    <w:p w14:paraId="75E46972" w14:textId="77777777" w:rsidR="00397A35" w:rsidRPr="00D91ABE" w:rsidRDefault="00397A35" w:rsidP="00D9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CCADA" w14:textId="6B4A9DD8" w:rsidR="003D2BCA" w:rsidRPr="00D91ABE" w:rsidRDefault="00DE67BB" w:rsidP="00D91ABE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ktorým sa mení </w:t>
      </w:r>
      <w:r w:rsidR="008D32BF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 dopĺňa </w:t>
      </w:r>
      <w:r w:rsidR="00DA2CD7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zákon </w:t>
      </w:r>
      <w:r w:rsidR="00FC335B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č. </w:t>
      </w:r>
      <w:hyperlink r:id="rId8" w:tooltip="Odkaz na predpis alebo ustanovenie" w:history="1">
        <w:r w:rsidR="00FC335B" w:rsidRPr="00D91ABE">
          <w:rPr>
            <w:rStyle w:val="Hypertextovprepojenie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  <w:shd w:val="clear" w:color="auto" w:fill="FFFFFF"/>
          </w:rPr>
          <w:t>400/2015 Z. z.</w:t>
        </w:r>
      </w:hyperlink>
      <w:r w:rsidR="00FC335B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o tvorbe právnych predpisov a o Zbierke zákonov Slovenskej republiky a o zmene a doplnení niektorých zákonov</w:t>
      </w:r>
      <w:r w:rsidR="00D061A4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 znení</w:t>
      </w:r>
      <w:r w:rsidR="00260655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neskorších predpisov</w:t>
      </w:r>
      <w:r w:rsidR="00D31E1F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</w:t>
      </w:r>
      <w:r w:rsid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o zmene a doplnení </w:t>
      </w:r>
      <w:r w:rsidR="00D31E1F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zákon</w:t>
      </w:r>
      <w:r w:rsid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D31E1F" w:rsidRPr="00D9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Národnej rady Slovenskej republiky č. 350/1996 Z. z. </w:t>
      </w:r>
      <w:r w:rsidR="00D31E1F" w:rsidRPr="00D91ABE">
        <w:rPr>
          <w:rFonts w:ascii="Times New Roman" w:hAnsi="Times New Roman" w:cs="Times New Roman"/>
          <w:b/>
          <w:bCs/>
          <w:sz w:val="24"/>
          <w:szCs w:val="24"/>
        </w:rPr>
        <w:t>o rokovacom  poriadku Národnej  rady Slovenskej  republiky v znení neskorších predpisov</w:t>
      </w:r>
    </w:p>
    <w:p w14:paraId="43A6CD28" w14:textId="77777777" w:rsidR="00DE67BB" w:rsidRPr="00D91ABE" w:rsidRDefault="00DE67BB" w:rsidP="00D91ABE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83E0D" w14:textId="11ABB99F" w:rsidR="00245722" w:rsidRPr="00D91ABE" w:rsidRDefault="00245722" w:rsidP="00D91ABE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AB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81EAA9D" w14:textId="77777777" w:rsidR="00D91ABE" w:rsidRDefault="00D91ABE" w:rsidP="00D91A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960EB" w14:textId="192D40E1" w:rsidR="00245722" w:rsidRDefault="00156B46" w:rsidP="00D91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  <w:r w:rsidRPr="00D91ABE"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  <w:t>Čl. I</w:t>
      </w:r>
    </w:p>
    <w:p w14:paraId="1F256344" w14:textId="77777777" w:rsidR="00D91ABE" w:rsidRPr="00D91ABE" w:rsidRDefault="00D91ABE" w:rsidP="00D91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sk-SK"/>
        </w:rPr>
      </w:pPr>
    </w:p>
    <w:p w14:paraId="7376BD2A" w14:textId="13713DDB" w:rsidR="0002460A" w:rsidRDefault="00FC335B" w:rsidP="00D91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 </w:t>
      </w:r>
      <w:hyperlink r:id="rId9" w:tooltip="Odkaz na predpis alebo ustanovenie" w:history="1">
        <w:r w:rsidRPr="00D91ABE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400/2015 Z. z.</w:t>
        </w:r>
      </w:hyperlink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 o tvorbe právnych predpisov a o Zbierke zákonov Slovenskej republiky a o zmene a doplnení niektorých zákonov v znení zákona č. 310/2016 Z. z., zákona č. 217/2018 Z. z., zákona č. 134/2020 Z. z., zákona č. 198/2020 Z. z. a zákona č. 423/2020 Z. z. sa mení a dopĺňa takto:</w:t>
      </w:r>
    </w:p>
    <w:p w14:paraId="7A5EA783" w14:textId="77777777" w:rsidR="00D91ABE" w:rsidRPr="00D91ABE" w:rsidRDefault="00D91ABE" w:rsidP="00D91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7E624A" w14:textId="1FDD86C9" w:rsidR="00DA2CD7" w:rsidRPr="00D91ABE" w:rsidRDefault="00DA2CD7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1 odsek 2 znie:</w:t>
      </w:r>
    </w:p>
    <w:p w14:paraId="088D70BA" w14:textId="00B12489" w:rsidR="00DA2CD7" w:rsidRDefault="00DA2CD7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615FD" w:rsidRPr="00D91ABE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D91ABE">
        <w:rPr>
          <w:rFonts w:ascii="Times New Roman" w:hAnsi="Times New Roman" w:cs="Times New Roman"/>
          <w:sz w:val="24"/>
          <w:szCs w:val="24"/>
        </w:rPr>
        <w:t xml:space="preserve">Ustanovenia § 2 ods. 3, § 4 ods. 3, § 6 ods. 2 a 3, § 7 ods. 1 písm. a), d), e), g), h) a i) a ods. 4 a 5, § 8 až  10 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sa nevzťahujú na návrh ústavy, ústavného zákona a zákona, ktorý podáva výbor Národnej rady Slovenskej republiky alebo poslanec Národnej rady Slovenskej republiky</w:t>
      </w:r>
      <w:r w:rsidRPr="00D91ABE">
        <w:rPr>
          <w:rFonts w:ascii="Times New Roman" w:hAnsi="Times New Roman" w:cs="Times New Roman"/>
          <w:sz w:val="24"/>
          <w:szCs w:val="24"/>
        </w:rPr>
        <w:t>.“.</w:t>
      </w:r>
    </w:p>
    <w:p w14:paraId="26D34030" w14:textId="77777777" w:rsidR="00D91ABE" w:rsidRPr="00D91ABE" w:rsidRDefault="00D91ABE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F86A9A" w14:textId="20AC12EF" w:rsidR="0081766C" w:rsidRPr="00D91ABE" w:rsidRDefault="00FC335B" w:rsidP="00D91ABE">
      <w:pPr>
        <w:pStyle w:val="Odsekzoznamu"/>
        <w:numPr>
          <w:ilvl w:val="0"/>
          <w:numId w:val="37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§ 5a sa vypúšťa.</w:t>
      </w:r>
    </w:p>
    <w:p w14:paraId="045F2ADA" w14:textId="77777777" w:rsidR="00F615FD" w:rsidRPr="00D91ABE" w:rsidRDefault="00F615FD" w:rsidP="00D91ABE">
      <w:pPr>
        <w:pStyle w:val="Odsekzoznamu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8BB6A7" w14:textId="5EEC0CA9" w:rsidR="00BE2F7D" w:rsidRPr="00D91ABE" w:rsidRDefault="00BE2F7D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 ods. 1 písm. c) sa vypúšťajú slová „a analýzu vplyvov“.</w:t>
      </w:r>
    </w:p>
    <w:p w14:paraId="20AE8ABC" w14:textId="2FE8DF39" w:rsidR="00F615FD" w:rsidRPr="00D91ABE" w:rsidRDefault="00F615F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53F31" w14:textId="77777777" w:rsidR="00F615FD" w:rsidRPr="00D91ABE" w:rsidRDefault="00BE2F7D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 ods. 1 sa za písmeno c) vkladá nové písmeno d), ktoré znie:</w:t>
      </w:r>
    </w:p>
    <w:p w14:paraId="78519186" w14:textId="58FE558F" w:rsidR="00BE2F7D" w:rsidRPr="00D91ABE" w:rsidRDefault="00BE2F7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„d) analýzu vplyvov,“.</w:t>
      </w:r>
    </w:p>
    <w:p w14:paraId="65262D64" w14:textId="77777777" w:rsidR="00F615FD" w:rsidRPr="00D91ABE" w:rsidRDefault="00F615F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3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8B020" w14:textId="60DDA754" w:rsidR="00BE2F7D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Doterajšie písmená d) až g) sa označujú ako písmená e) až h).</w:t>
      </w:r>
    </w:p>
    <w:p w14:paraId="326937AE" w14:textId="77777777" w:rsidR="00D91ABE" w:rsidRPr="00D91ABE" w:rsidRDefault="00D91ABE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7B023" w14:textId="3AAF8A57" w:rsidR="00BE2F7D" w:rsidRPr="00D91ABE" w:rsidRDefault="00BE2F7D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 ods. 1 písm. f) sa vypúšťajú slová „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a pri preberaní alebo vykonávaní právne záväzného aktu Európskej únie aj tabuľku zhody návrhu právneho predpisu s právom Európskej únie“.</w:t>
      </w:r>
    </w:p>
    <w:p w14:paraId="7B5B0D15" w14:textId="77777777" w:rsidR="00F615FD" w:rsidRPr="00D91ABE" w:rsidRDefault="00F615F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4A4D5B" w14:textId="77777777" w:rsidR="00BE2F7D" w:rsidRPr="00D91ABE" w:rsidRDefault="00BE2F7D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 ods. 1 sa za písmeno f) vkladá nové písmeno g), ktoré znie:</w:t>
      </w:r>
    </w:p>
    <w:p w14:paraId="695805F1" w14:textId="413C3AA1" w:rsidR="00F615FD" w:rsidRPr="00D91ABE" w:rsidRDefault="00BE2F7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„g) 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tabuľku zhody návrhu právneho predpisu s právom Európskej únie pri preberaní alebo vykonávaní právne záväzného aktu Európskej únie,“.</w:t>
      </w:r>
    </w:p>
    <w:p w14:paraId="413BAFF7" w14:textId="77777777" w:rsidR="002C003A" w:rsidRDefault="002C003A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5D8E1" w14:textId="4ACD4E25" w:rsidR="00BE2F7D" w:rsidRPr="00D91ABE" w:rsidRDefault="00BE2F7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Doterajšie písmená g) a h) sa označujú ako písmená h) a i).“.</w:t>
      </w:r>
    </w:p>
    <w:p w14:paraId="07ADDF9C" w14:textId="77777777" w:rsidR="00F615FD" w:rsidRPr="00D91ABE" w:rsidRDefault="00F615F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D5E38" w14:textId="77777777" w:rsidR="00BE2F7D" w:rsidRPr="00D91ABE" w:rsidRDefault="00BE2F7D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 ods. 3 písmeno a) znie:</w:t>
      </w:r>
    </w:p>
    <w:p w14:paraId="12845BDE" w14:textId="3580AA18" w:rsidR="00BE2F7D" w:rsidRPr="00D91ABE" w:rsidRDefault="00BE2F7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„a) vplyvy na rozpočet verejnej správy,</w:t>
      </w:r>
      <w:r w:rsidRPr="00D91A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1aa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240A2041" w14:textId="77777777" w:rsidR="00F615FD" w:rsidRPr="00D91ABE" w:rsidRDefault="00F615F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51F19" w14:textId="77777777" w:rsidR="00BE2F7D" w:rsidRPr="00D91ABE" w:rsidRDefault="00BE2F7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Poznámka pod čiarou k odkazu 1aa znie:</w:t>
      </w:r>
    </w:p>
    <w:p w14:paraId="7746FEE9" w14:textId="61BAAC90" w:rsidR="00BE2F7D" w:rsidRPr="00D91ABE" w:rsidRDefault="00BE2F7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91A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1aa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>) § 33 zákona č. 523/2004 Z. z. o rozpočtových pravidlách verejnej správy a o zmene a doplnení niektorých zákonov.“.</w:t>
      </w:r>
    </w:p>
    <w:p w14:paraId="517B0E1E" w14:textId="77777777" w:rsidR="00F615FD" w:rsidRPr="00D91ABE" w:rsidRDefault="00F615FD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B248C" w14:textId="4F89399F" w:rsidR="00DA2CD7" w:rsidRPr="00D91ABE" w:rsidRDefault="00DA2CD7" w:rsidP="00D91ABE">
      <w:pPr>
        <w:pStyle w:val="Odsekzoznamu"/>
        <w:numPr>
          <w:ilvl w:val="0"/>
          <w:numId w:val="37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ABE">
        <w:rPr>
          <w:rFonts w:ascii="Times New Roman" w:hAnsi="Times New Roman" w:cs="Times New Roman"/>
          <w:sz w:val="24"/>
          <w:szCs w:val="24"/>
        </w:rPr>
        <w:t>V §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ods. 3 písm. b) sa spojka  „a“ nahrádza čiarkou a na konci sa pripájajú tieto slová „a deti“.</w:t>
      </w:r>
    </w:p>
    <w:p w14:paraId="5E7460F3" w14:textId="77777777" w:rsidR="00F615FD" w:rsidRPr="00D91ABE" w:rsidRDefault="00F615FD" w:rsidP="00D91ABE">
      <w:pPr>
        <w:pStyle w:val="Odsekzoznamu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20C781" w14:textId="77777777" w:rsidR="00F615FD" w:rsidRPr="00D91ABE" w:rsidRDefault="00BE2F7D" w:rsidP="00D91ABE">
      <w:pPr>
        <w:pStyle w:val="Odsekzoznamu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 ods. 3 písm. c) sa na konci pripájajú tieto slová: „vrátane ich vyčíslenia“.</w:t>
      </w:r>
      <w:r w:rsidR="00957351" w:rsidRPr="00D91ABE" w:rsidDel="00957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86D3C8" w14:textId="73783A1E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94F86" w14:textId="5BF8B9AC" w:rsidR="00DA2CD7" w:rsidRPr="00D91ABE" w:rsidRDefault="00DA2CD7" w:rsidP="00D91ABE">
      <w:pPr>
        <w:pStyle w:val="Odsekzoznamu"/>
        <w:numPr>
          <w:ilvl w:val="0"/>
          <w:numId w:val="37"/>
        </w:numPr>
        <w:tabs>
          <w:tab w:val="left" w:pos="851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V § 7 ods. 4 sa za slovo „detí,“ vkladajú slová „práva detí,“.</w:t>
      </w:r>
    </w:p>
    <w:p w14:paraId="6FF7E654" w14:textId="77777777" w:rsidR="00F615FD" w:rsidRPr="00D91ABE" w:rsidRDefault="00F615FD" w:rsidP="00D91ABE">
      <w:pPr>
        <w:pStyle w:val="Odsekzoznamu"/>
        <w:tabs>
          <w:tab w:val="left" w:pos="851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A68A14" w14:textId="74276653" w:rsidR="00FC335B" w:rsidRPr="00D91ABE" w:rsidRDefault="00FC335B" w:rsidP="00D91ABE">
      <w:pPr>
        <w:pStyle w:val="Odsekzoznamu"/>
        <w:numPr>
          <w:ilvl w:val="0"/>
          <w:numId w:val="37"/>
        </w:numPr>
        <w:tabs>
          <w:tab w:val="left" w:pos="851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§ 19 sa dopĺňa odsekom 6, ktorý znie:</w:t>
      </w:r>
    </w:p>
    <w:p w14:paraId="60C30035" w14:textId="23A08829" w:rsidR="00BE2F7D" w:rsidRPr="00D91ABE" w:rsidRDefault="00FC335B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„(6)</w:t>
      </w:r>
      <w:r w:rsidR="00380450"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Právny predpis, ktorý má podľa doložky vplyvov alebo analýzy vplyvov vplyv na podnikateľské prostredie</w:t>
      </w:r>
      <w:r w:rsidR="00534322"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môže nadobudnúť účinnosť len 1. januára alebo 1. júla príslušného kalendárneho roka, pričom pri stanovení dátumu nadobudnutia jeho účinnosti sa dbá na to, aby bola zabezpečená primeraná </w:t>
      </w:r>
      <w:proofErr w:type="spellStart"/>
      <w:r w:rsidR="00534322"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legisvakancia</w:t>
      </w:r>
      <w:proofErr w:type="spellEnd"/>
      <w:r w:rsidR="00534322"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podľa odseku 5.</w:t>
      </w:r>
      <w:r w:rsidR="00BE2F7D" w:rsidRPr="00D91ABE">
        <w:rPr>
          <w:rFonts w:ascii="Times New Roman" w:eastAsia="Times New Roman" w:hAnsi="Times New Roman" w:cs="Times New Roman"/>
          <w:sz w:val="24"/>
          <w:szCs w:val="24"/>
        </w:rPr>
        <w:t xml:space="preserve"> Ustanovenie o dni nadobudnutia účinnosti právneho predpisu podľa prvej vety sa nemusí uplatniť, ak:</w:t>
      </w:r>
    </w:p>
    <w:p w14:paraId="33EBC9E5" w14:textId="7CFFEB91" w:rsidR="00BE2F7D" w:rsidRPr="00D91ABE" w:rsidRDefault="00726D65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BE2F7D" w:rsidRPr="00D91ABE">
        <w:rPr>
          <w:rFonts w:ascii="Times New Roman" w:hAnsi="Times New Roman" w:cs="Times New Roman"/>
          <w:iCs/>
          <w:sz w:val="24"/>
          <w:szCs w:val="24"/>
        </w:rPr>
        <w:t>o návrhu zákona Národná rada Slovenskej republiky rozhodla, že ho prerokuje v skrátenom legislatívnom konaní,</w:t>
      </w:r>
      <w:r w:rsidR="00BE2F7D" w:rsidRPr="00D91ABE">
        <w:rPr>
          <w:rFonts w:ascii="Times New Roman" w:hAnsi="Times New Roman" w:cs="Times New Roman"/>
          <w:iCs/>
          <w:sz w:val="24"/>
          <w:szCs w:val="24"/>
          <w:vertAlign w:val="superscript"/>
        </w:rPr>
        <w:t>5a</w:t>
      </w:r>
      <w:r w:rsidR="00BE2F7D" w:rsidRPr="00D91ABE">
        <w:rPr>
          <w:rFonts w:ascii="Times New Roman" w:hAnsi="Times New Roman" w:cs="Times New Roman"/>
          <w:iCs/>
          <w:sz w:val="24"/>
          <w:szCs w:val="24"/>
        </w:rPr>
        <w:t>)</w:t>
      </w:r>
    </w:p>
    <w:p w14:paraId="77AD2B75" w14:textId="5EF6CFEA" w:rsidR="00BE2F7D" w:rsidRPr="00D91ABE" w:rsidRDefault="00726D65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BE2F7D" w:rsidRPr="00D91ABE">
        <w:rPr>
          <w:rFonts w:ascii="Times New Roman" w:hAnsi="Times New Roman" w:cs="Times New Roman"/>
          <w:iCs/>
          <w:sz w:val="24"/>
          <w:szCs w:val="24"/>
        </w:rPr>
        <w:t>právne záväzný akt Európskej únie, ktorý si vyžaduje implementáciu,</w:t>
      </w:r>
      <w:r w:rsidR="00BE2F7D" w:rsidRPr="00D91ABE">
        <w:rPr>
          <w:rFonts w:ascii="Times New Roman" w:hAnsi="Times New Roman" w:cs="Times New Roman"/>
          <w:iCs/>
          <w:sz w:val="24"/>
          <w:szCs w:val="24"/>
          <w:vertAlign w:val="superscript"/>
        </w:rPr>
        <w:t>5b</w:t>
      </w:r>
      <w:r w:rsidR="00BE2F7D" w:rsidRPr="00D91ABE">
        <w:rPr>
          <w:rFonts w:ascii="Times New Roman" w:hAnsi="Times New Roman" w:cs="Times New Roman"/>
          <w:iCs/>
          <w:sz w:val="24"/>
          <w:szCs w:val="24"/>
        </w:rPr>
        <w:t>) nadobúda účinnosť alebo sa má uplatňovať k inému dňu ako by mal nadobudnúť účinnosť právny predpis podľa prvej vety,</w:t>
      </w:r>
    </w:p>
    <w:p w14:paraId="49691C77" w14:textId="2D6551E6" w:rsidR="00BE2F7D" w:rsidRPr="00D91ABE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>c)</w:t>
      </w:r>
      <w:r w:rsidR="00726D65">
        <w:rPr>
          <w:rFonts w:ascii="Times New Roman" w:hAnsi="Times New Roman" w:cs="Times New Roman"/>
          <w:iCs/>
          <w:sz w:val="24"/>
          <w:szCs w:val="24"/>
        </w:rPr>
        <w:tab/>
      </w:r>
      <w:r w:rsidRPr="00D91ABE">
        <w:rPr>
          <w:rFonts w:ascii="Times New Roman" w:hAnsi="Times New Roman" w:cs="Times New Roman"/>
          <w:iCs/>
          <w:sz w:val="24"/>
          <w:szCs w:val="24"/>
        </w:rPr>
        <w:t>medzinárodná zmluva, ktorou je Slovenská republika viazaná, si vyžaduje implementáciu k inému dňu</w:t>
      </w:r>
      <w:r w:rsidR="00957351" w:rsidRPr="00D91ABE">
        <w:rPr>
          <w:rFonts w:ascii="Times New Roman" w:hAnsi="Times New Roman" w:cs="Times New Roman"/>
          <w:iCs/>
          <w:sz w:val="24"/>
          <w:szCs w:val="24"/>
        </w:rPr>
        <w:t>,</w:t>
      </w:r>
      <w:r w:rsidRPr="00D91ABE">
        <w:rPr>
          <w:rFonts w:ascii="Times New Roman" w:hAnsi="Times New Roman" w:cs="Times New Roman"/>
          <w:iCs/>
          <w:sz w:val="24"/>
          <w:szCs w:val="24"/>
        </w:rPr>
        <w:t xml:space="preserve"> ako by mal nadobudnúť účinnosť právny predpis podľa prvej vety,</w:t>
      </w:r>
    </w:p>
    <w:p w14:paraId="6075EFE6" w14:textId="1E09FE43" w:rsidR="00BE2F7D" w:rsidRPr="00D91ABE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 xml:space="preserve">d) </w:t>
      </w:r>
      <w:r w:rsidR="00726D65">
        <w:rPr>
          <w:rFonts w:ascii="Times New Roman" w:hAnsi="Times New Roman" w:cs="Times New Roman"/>
          <w:iCs/>
          <w:sz w:val="24"/>
          <w:szCs w:val="24"/>
        </w:rPr>
        <w:tab/>
      </w:r>
      <w:r w:rsidRPr="00D91ABE">
        <w:rPr>
          <w:rFonts w:ascii="Times New Roman" w:hAnsi="Times New Roman" w:cs="Times New Roman"/>
          <w:iCs/>
          <w:sz w:val="24"/>
          <w:szCs w:val="24"/>
        </w:rPr>
        <w:t>ide o návrh ústavy alebo návrh ústavného zákona,</w:t>
      </w:r>
    </w:p>
    <w:p w14:paraId="27812F43" w14:textId="68A08BE8" w:rsidR="00BE2F7D" w:rsidRPr="00D91ABE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 xml:space="preserve">e) </w:t>
      </w:r>
      <w:r w:rsidR="00726D65">
        <w:rPr>
          <w:rFonts w:ascii="Times New Roman" w:hAnsi="Times New Roman" w:cs="Times New Roman"/>
          <w:iCs/>
          <w:sz w:val="24"/>
          <w:szCs w:val="24"/>
        </w:rPr>
        <w:tab/>
      </w:r>
      <w:r w:rsidRPr="00D91ABE">
        <w:rPr>
          <w:rFonts w:ascii="Times New Roman" w:hAnsi="Times New Roman" w:cs="Times New Roman"/>
          <w:iCs/>
          <w:sz w:val="24"/>
          <w:szCs w:val="24"/>
        </w:rPr>
        <w:t>ide o návrh zákona o štátnom rozpočte,</w:t>
      </w:r>
    </w:p>
    <w:p w14:paraId="21FED59D" w14:textId="271175EB" w:rsidR="00BE2F7D" w:rsidRPr="00D91ABE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 xml:space="preserve">f) </w:t>
      </w:r>
      <w:r w:rsidR="00726D65">
        <w:rPr>
          <w:rFonts w:ascii="Times New Roman" w:hAnsi="Times New Roman" w:cs="Times New Roman"/>
          <w:iCs/>
          <w:sz w:val="24"/>
          <w:szCs w:val="24"/>
        </w:rPr>
        <w:tab/>
      </w:r>
      <w:r w:rsidRPr="00D91ABE">
        <w:rPr>
          <w:rFonts w:ascii="Times New Roman" w:hAnsi="Times New Roman" w:cs="Times New Roman"/>
          <w:iCs/>
          <w:sz w:val="24"/>
          <w:szCs w:val="24"/>
        </w:rPr>
        <w:t xml:space="preserve">ide o návrh právneho predpisu, ktorý má podľa doložky vybraných vplyvov pozitívne sociálne vplyvy alebo pozitívne vplyvy 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>na manželstvo, rodičovstvo a rodinu a iný deň nadobudnutia účinnosti právneho predpisu ako deň nadobudnutia účinnosti podľa prvej vety je uvedený v spoločnom stanovisku z plenárneho zasadnutia Hospodárskej a sociálnej rady Slovenskej republiky,</w:t>
      </w:r>
      <w:r w:rsidRPr="00D91A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5c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55AB52" w14:textId="017C3E80" w:rsidR="00BE2F7D" w:rsidRPr="00D91ABE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>g)</w:t>
      </w:r>
      <w:r w:rsidR="00726D65">
        <w:rPr>
          <w:rFonts w:ascii="Times New Roman" w:hAnsi="Times New Roman" w:cs="Times New Roman"/>
          <w:iCs/>
          <w:sz w:val="24"/>
          <w:szCs w:val="24"/>
        </w:rPr>
        <w:tab/>
      </w:r>
      <w:r w:rsidRPr="00D91ABE">
        <w:rPr>
          <w:rFonts w:ascii="Times New Roman" w:hAnsi="Times New Roman" w:cs="Times New Roman"/>
          <w:iCs/>
          <w:sz w:val="24"/>
          <w:szCs w:val="24"/>
        </w:rPr>
        <w:t>ide o zákon vrátený prezidentom, ktorý bol prerokovaný v skrátenom legislatívnom konaní.“.</w:t>
      </w:r>
    </w:p>
    <w:p w14:paraId="7D76A149" w14:textId="77777777" w:rsidR="005E1BB4" w:rsidRPr="00D91ABE" w:rsidRDefault="005E1BB4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9A46FA" w14:textId="508445CD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>Poznámky pod čiarou k odkazom 5a až 5c znejú:</w:t>
      </w:r>
    </w:p>
    <w:p w14:paraId="4EA1A4A9" w14:textId="77777777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</w:rPr>
        <w:t>„</w:t>
      </w:r>
      <w:r w:rsidRPr="00D91ABE">
        <w:rPr>
          <w:rFonts w:ascii="Times New Roman" w:hAnsi="Times New Roman" w:cs="Times New Roman"/>
          <w:iCs/>
          <w:sz w:val="24"/>
          <w:szCs w:val="24"/>
          <w:vertAlign w:val="superscript"/>
        </w:rPr>
        <w:t>5a</w:t>
      </w:r>
      <w:r w:rsidRPr="00D91ABE">
        <w:rPr>
          <w:rFonts w:ascii="Times New Roman" w:hAnsi="Times New Roman" w:cs="Times New Roman"/>
          <w:iCs/>
          <w:sz w:val="24"/>
          <w:szCs w:val="24"/>
        </w:rPr>
        <w:t xml:space="preserve">) § 89 zákona Národnej rady Slovenskej republiky č. 350/1996 Z. z. </w:t>
      </w:r>
      <w:r w:rsidRPr="00D91ABE">
        <w:rPr>
          <w:rFonts w:ascii="Times New Roman" w:hAnsi="Times New Roman" w:cs="Times New Roman"/>
          <w:bCs/>
          <w:sz w:val="24"/>
          <w:szCs w:val="24"/>
        </w:rPr>
        <w:t xml:space="preserve">o rokovacom  poriadku Národnej  rady Slovenskej  republiky </w:t>
      </w:r>
      <w:r w:rsidRPr="00D91ABE">
        <w:rPr>
          <w:rFonts w:ascii="Times New Roman" w:hAnsi="Times New Roman" w:cs="Times New Roman"/>
          <w:iCs/>
          <w:sz w:val="24"/>
          <w:szCs w:val="24"/>
        </w:rPr>
        <w:t>v znení neskorších predpisov.</w:t>
      </w:r>
    </w:p>
    <w:p w14:paraId="2A36B7F2" w14:textId="77777777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  <w:vertAlign w:val="superscript"/>
        </w:rPr>
        <w:t>5b</w:t>
      </w:r>
      <w:r w:rsidRPr="00D91ABE">
        <w:rPr>
          <w:rFonts w:ascii="Times New Roman" w:hAnsi="Times New Roman" w:cs="Times New Roman"/>
          <w:iCs/>
          <w:sz w:val="24"/>
          <w:szCs w:val="24"/>
        </w:rPr>
        <w:t>) Čl. 7 ods. 2 tretia veta Ústavy Slovenskej republiky.</w:t>
      </w:r>
    </w:p>
    <w:p w14:paraId="103B7C82" w14:textId="5DD75399" w:rsidR="00BE2F7D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6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1ABE">
        <w:rPr>
          <w:rFonts w:ascii="Times New Roman" w:hAnsi="Times New Roman" w:cs="Times New Roman"/>
          <w:iCs/>
          <w:sz w:val="24"/>
          <w:szCs w:val="24"/>
          <w:vertAlign w:val="superscript"/>
        </w:rPr>
        <w:t>5c</w:t>
      </w:r>
      <w:r w:rsidRPr="00D91ABE">
        <w:rPr>
          <w:rFonts w:ascii="Times New Roman" w:hAnsi="Times New Roman" w:cs="Times New Roman"/>
          <w:iCs/>
          <w:sz w:val="24"/>
          <w:szCs w:val="24"/>
        </w:rPr>
        <w:t>) § 7 ods. 7 zákona č. 103/2007 Z. z. o trojstranných konzultáciách na celoštátnej úrovni a o zmene a doplnení niektorých zákonov (zákon o tripartite) v znení zákona č. 76/2021 Z. z.“.</w:t>
      </w:r>
    </w:p>
    <w:p w14:paraId="7647D688" w14:textId="29E595EF" w:rsidR="00FC335B" w:rsidRPr="00D91ABE" w:rsidRDefault="00FC335B" w:rsidP="00D91ABE">
      <w:pPr>
        <w:pStyle w:val="Odsekzoznamu"/>
        <w:numPr>
          <w:ilvl w:val="0"/>
          <w:numId w:val="37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GoBack"/>
      <w:bookmarkEnd w:id="1"/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V § 27 ods. 1 a 2 sa vypúšťajú slová „§ 5a a“.</w:t>
      </w:r>
    </w:p>
    <w:p w14:paraId="1DD821E2" w14:textId="0F198ED4" w:rsidR="005E1BB4" w:rsidRDefault="005E1BB4" w:rsidP="00D91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9E90" w14:textId="281C38E0" w:rsidR="00C03B15" w:rsidRDefault="00494F0E" w:rsidP="00D91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BE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5DBEC071" w14:textId="77777777" w:rsidR="00D91ABE" w:rsidRPr="00D91ABE" w:rsidRDefault="00D91ABE" w:rsidP="00D91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EEC8D" w14:textId="5134E331" w:rsidR="00BE2F7D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Zákon Národnej rady  Slovenskej  republiky  č. 350/1996 Z. z. o rokovacom  poriadku Národnej  rady Slovenskej  republiky v znení nálezu Ústavného súdu  Slovenskej  republiky č. 77/1998  Z. z., zákona č. 86/2000 Z. z., zákona č. 138/2002 Z. z., zákona č. 100/2003 Z. z., zákona č. 551/2003 Z. z., zákona č. 215/2004 Z. z., zákona č. 360/2004 Z. z., zákona č. 253/2005 Z. z., nálezu Ústavného súdu Slovenskej republiky č. 320/2005 Z. z., zákona č. 261/2006 Z. z., zákona č. 199/2007 Z. z., zákona č. 400/2009 Z. z., zákona č. 38/2010 Z. z., zákona č. 153/2011 Z. z., zákona č. 187/2011 Z. z., uznesenia Ústavného súdu Slovenskej republiky  č. 191/2011 Z. z., uznesenia Ústavného súdu Slovenskej republiky č. 237/2011 Z. z., zákona č. 69/2012 Z. z., zákona č. 79/2012 Z. z., zákona č. 236/2012 Z. z., zákona               č. 296/2012 Z. z., zákona č. 330/2012 Z. z., zákona č. 309/2013 Z. z., zákona  č. 402/2013 Z. z., zákona č. 375/2015 Z. z., zákona č. 399/2015 Z. z., zákona č. 1/2017 Z. z., zákona č. 55/2017 Z. z., zákona č. 217/2018 Z. z., zákona č. 314/2018 Z. z., zákona č. 318/2018 Z. z., zákona č. 6/2019 Z. z., zákona č. 241/2020 Z. z., zákona č. 423/2020 Z. z., zákona č. 288/2021 Z. z., zákona č. 252/2022 Z. z. a zákona č. 264/2022 Z. z. sa mení a dopĺňa takto:</w:t>
      </w:r>
    </w:p>
    <w:p w14:paraId="74FCA989" w14:textId="77777777" w:rsidR="00D91ABE" w:rsidRPr="00D91ABE" w:rsidRDefault="00D91ABE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5A00F" w14:textId="4F83C3A7" w:rsidR="00BE2F7D" w:rsidRPr="00D91ABE" w:rsidRDefault="00BE2F7D" w:rsidP="00D91ABE">
      <w:pPr>
        <w:pStyle w:val="Odsekzoznamu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V § 68 odsek 3 znie:</w:t>
      </w:r>
    </w:p>
    <w:p w14:paraId="446A3A30" w14:textId="7F7276A2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 xml:space="preserve">„(3) </w:t>
      </w:r>
      <w:r w:rsidRPr="00D91ABE">
        <w:rPr>
          <w:rFonts w:ascii="Times New Roman" w:hAnsi="Times New Roman" w:cs="Times New Roman"/>
          <w:bCs/>
          <w:sz w:val="24"/>
          <w:szCs w:val="24"/>
        </w:rPr>
        <w:tab/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Dôvodová správa musí obsahovať náležitosti podľa osobitného zákona,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54</w:t>
      </w: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D91ABE">
        <w:rPr>
          <w:rFonts w:ascii="Times New Roman" w:hAnsi="Times New Roman" w:cs="Times New Roman"/>
          <w:bCs/>
          <w:sz w:val="24"/>
          <w:szCs w:val="24"/>
        </w:rPr>
        <w:t>doložku zlučiteľnosti návrhu zákona s právom Európskej únie a doložku vybraných vplyvov.</w:t>
      </w:r>
      <w:r w:rsidRPr="00D91ABE">
        <w:rPr>
          <w:rFonts w:ascii="Times New Roman" w:hAnsi="Times New Roman" w:cs="Times New Roman"/>
          <w:bCs/>
          <w:sz w:val="24"/>
          <w:szCs w:val="24"/>
          <w:vertAlign w:val="superscript"/>
        </w:rPr>
        <w:t>54a</w:t>
      </w:r>
      <w:r w:rsidRPr="00D91AB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D91ABE">
        <w:rPr>
          <w:rFonts w:ascii="Times New Roman" w:hAnsi="Times New Roman" w:cs="Times New Roman"/>
          <w:sz w:val="24"/>
          <w:szCs w:val="24"/>
        </w:rPr>
        <w:t xml:space="preserve">Ministerstvá a ostatné ústredné orgány štátnej správy sú povinné poskytnúť poslancom a výborom súčinnosť pri vypracovávaní doložky vybraných vplyvov formou zaslania potrebných podkladov. 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 xml:space="preserve">Pri návrhu zákona podanom výborom alebo poslancom treba návrh zákona vždy vopred  prerokovať  s Ministerstvom hospodárstva Slovenskej republiky (ďalej len „ministerstvo hospodárstva“) z hľadiska jeho vplyvu na podnikateľské prostredie;  </w:t>
      </w:r>
      <w:r w:rsidRPr="00D91ABE">
        <w:rPr>
          <w:rStyle w:val="markedcontent"/>
          <w:rFonts w:ascii="Times New Roman" w:hAnsi="Times New Roman" w:cs="Times New Roman"/>
          <w:sz w:val="24"/>
          <w:szCs w:val="24"/>
        </w:rPr>
        <w:t xml:space="preserve">súčasťou stanoviska ministerstva hospodárstva  k  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 xml:space="preserve">návrhu zákona </w:t>
      </w:r>
      <w:r w:rsidRPr="00D91ABE">
        <w:rPr>
          <w:rStyle w:val="markedcontent"/>
          <w:rFonts w:ascii="Times New Roman" w:hAnsi="Times New Roman" w:cs="Times New Roman"/>
          <w:sz w:val="24"/>
          <w:szCs w:val="24"/>
        </w:rPr>
        <w:t>je aj vyčíslenie vplyvov na podnikateľské prostredie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1ABE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62DF40B2" w14:textId="77777777" w:rsidR="005E1BB4" w:rsidRPr="00D91ABE" w:rsidRDefault="005E1BB4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471C01" w14:textId="2FDA403D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Poznámky pod čiarou k odkazom 54 a 54a znejú:</w:t>
      </w:r>
    </w:p>
    <w:p w14:paraId="550A20AA" w14:textId="59B3F6E2" w:rsidR="00BE2F7D" w:rsidRPr="00D91ABE" w:rsidRDefault="00BE2F7D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„</w:t>
      </w:r>
      <w:r w:rsidRPr="00D91ABE">
        <w:rPr>
          <w:rFonts w:ascii="Times New Roman" w:hAnsi="Times New Roman" w:cs="Times New Roman"/>
          <w:bCs/>
          <w:sz w:val="24"/>
          <w:szCs w:val="24"/>
          <w:vertAlign w:val="superscript"/>
        </w:rPr>
        <w:t>54)</w:t>
      </w:r>
      <w:r w:rsidRPr="00D91ABE">
        <w:rPr>
          <w:rFonts w:ascii="Times New Roman" w:hAnsi="Times New Roman" w:cs="Times New Roman"/>
          <w:bCs/>
          <w:sz w:val="24"/>
          <w:szCs w:val="24"/>
        </w:rPr>
        <w:t xml:space="preserve"> § 7 ods. 2 zákona č. 400/2015 Z. z. o tvorbe právnych predpisov a o Zbierke zákonov Slovenskej republiky a o zmene a doplnení niektorých zákonov v znení neskorších predpisov.</w:t>
      </w:r>
    </w:p>
    <w:p w14:paraId="0093EC7C" w14:textId="77777777" w:rsidR="00BE2F7D" w:rsidRPr="00D91ABE" w:rsidRDefault="00BE2F7D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  <w:vertAlign w:val="superscript"/>
        </w:rPr>
        <w:t>54a)</w:t>
      </w:r>
      <w:r w:rsidRPr="00D91ABE">
        <w:rPr>
          <w:rFonts w:ascii="Times New Roman" w:hAnsi="Times New Roman" w:cs="Times New Roman"/>
          <w:bCs/>
          <w:sz w:val="24"/>
          <w:szCs w:val="24"/>
        </w:rPr>
        <w:t xml:space="preserve"> § 7 ods. 3 zákona č. 400/2015 Z. z. v znení neskorších predpisov.“.</w:t>
      </w:r>
    </w:p>
    <w:p w14:paraId="1EDF288B" w14:textId="3BD7AD29" w:rsidR="00BE2F7D" w:rsidRPr="00D91ABE" w:rsidRDefault="00BE2F7D" w:rsidP="00D91ABE">
      <w:pPr>
        <w:spacing w:after="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D2FC" w14:textId="4718527A" w:rsidR="00D31E1F" w:rsidRDefault="00D31E1F" w:rsidP="00D91ABE">
      <w:pPr>
        <w:pStyle w:val="Odsekzoznamu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V § 77 ods. 3 sa na konci bodka nahrádza čiarkou a pripájajú sa tieto slová: „stanovisku Ministerstva financií Slovenskej republiky k vplyvu návrhu zákona na rozpočet verejnej správy a stanovisku ministerstva hospodárstva k vplyvu návrhu zákona na podnikateľské prostredie. Navrhovateľ zákona upraví účinnosť návrhu zákona s prihliadnutím na stanovisko ministerstva hospodárstva k vplyvu návrhu zákona na podnikateľské prostredie v súlade s osobitným predpisom.</w:t>
      </w:r>
      <w:r w:rsidRPr="00D91ABE">
        <w:rPr>
          <w:rFonts w:ascii="Times New Roman" w:hAnsi="Times New Roman" w:cs="Times New Roman"/>
          <w:bCs/>
          <w:sz w:val="24"/>
          <w:szCs w:val="24"/>
          <w:vertAlign w:val="superscript"/>
        </w:rPr>
        <w:t>54b</w:t>
      </w:r>
      <w:r w:rsidRPr="00D91ABE">
        <w:rPr>
          <w:rFonts w:ascii="Times New Roman" w:hAnsi="Times New Roman" w:cs="Times New Roman"/>
          <w:bCs/>
          <w:sz w:val="24"/>
          <w:szCs w:val="24"/>
        </w:rPr>
        <w:t>)“.</w:t>
      </w:r>
    </w:p>
    <w:p w14:paraId="5508C6D9" w14:textId="77777777" w:rsidR="00D91ABE" w:rsidRPr="00D91ABE" w:rsidRDefault="00D91ABE" w:rsidP="00D91ABE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3EFBD6" w14:textId="77777777" w:rsidR="00D31E1F" w:rsidRPr="00D91ABE" w:rsidRDefault="00D31E1F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Poznámka pod čiarou k odkazu  54b znie:</w:t>
      </w:r>
    </w:p>
    <w:p w14:paraId="2E504F55" w14:textId="0704FE6C" w:rsidR="00D31E1F" w:rsidRPr="00D91ABE" w:rsidRDefault="00D31E1F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„</w:t>
      </w:r>
      <w:r w:rsidRPr="00D91ABE">
        <w:rPr>
          <w:rFonts w:ascii="Times New Roman" w:hAnsi="Times New Roman" w:cs="Times New Roman"/>
          <w:bCs/>
          <w:sz w:val="24"/>
          <w:szCs w:val="24"/>
          <w:vertAlign w:val="superscript"/>
        </w:rPr>
        <w:t>54b)</w:t>
      </w:r>
      <w:r w:rsidR="00F615FD" w:rsidRPr="00D9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ABE">
        <w:rPr>
          <w:rFonts w:ascii="Times New Roman" w:hAnsi="Times New Roman" w:cs="Times New Roman"/>
          <w:bCs/>
          <w:sz w:val="24"/>
          <w:szCs w:val="24"/>
        </w:rPr>
        <w:t>§ 19 ods. 6 zákona č. 400/2015 Z. z. v znení zákona č. .../2023 Z. z.“.</w:t>
      </w:r>
    </w:p>
    <w:p w14:paraId="5A003CD4" w14:textId="77777777" w:rsidR="00D31E1F" w:rsidRPr="00D91ABE" w:rsidRDefault="00D31E1F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A7FC2" w14:textId="77777777" w:rsidR="00D31E1F" w:rsidRPr="00D91ABE" w:rsidRDefault="00D31E1F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ab/>
        <w:t>V § 79 ods. 4 sa za písmeno c) vkladá nové písmeno d), ktoré znie:</w:t>
      </w:r>
    </w:p>
    <w:p w14:paraId="37742126" w14:textId="26D21A3C" w:rsidR="00D31E1F" w:rsidRPr="00D91ABE" w:rsidRDefault="00D31E1F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„d) informáciu o stanovisku vlády podľa § 70 ods. 2,“.</w:t>
      </w:r>
    </w:p>
    <w:p w14:paraId="48A1D725" w14:textId="77777777" w:rsidR="00D31E1F" w:rsidRPr="00D91ABE" w:rsidRDefault="00D31E1F" w:rsidP="00D91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A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7D288951" w14:textId="58301BA8" w:rsidR="00D31E1F" w:rsidRPr="00D91ABE" w:rsidRDefault="00D31E1F" w:rsidP="00726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ABE">
        <w:rPr>
          <w:rFonts w:ascii="Times New Roman" w:eastAsia="Times New Roman" w:hAnsi="Times New Roman" w:cs="Times New Roman"/>
          <w:sz w:val="24"/>
          <w:szCs w:val="24"/>
        </w:rPr>
        <w:t>Doterajšie písmená d) až f) sa označujú ako písmená e) až g).</w:t>
      </w:r>
    </w:p>
    <w:p w14:paraId="141E6085" w14:textId="11DC17E1" w:rsidR="00D31E1F" w:rsidRDefault="00D31E1F" w:rsidP="00D91ABE">
      <w:pPr>
        <w:pStyle w:val="Odsekzoznamu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bCs/>
          <w:sz w:val="24"/>
          <w:szCs w:val="24"/>
        </w:rPr>
        <w:t>4.</w:t>
      </w:r>
      <w:r w:rsidRPr="00D91ABE">
        <w:rPr>
          <w:rFonts w:ascii="Times New Roman" w:hAnsi="Times New Roman" w:cs="Times New Roman"/>
          <w:bCs/>
          <w:sz w:val="24"/>
          <w:szCs w:val="24"/>
        </w:rPr>
        <w:tab/>
        <w:t>Za § 150f sa vkladá § 150g, ktorý vrátane nadpisu znie:</w:t>
      </w:r>
    </w:p>
    <w:p w14:paraId="438CD473" w14:textId="77777777" w:rsidR="00D91ABE" w:rsidRPr="00D91ABE" w:rsidRDefault="00D91ABE" w:rsidP="00D91ABE">
      <w:pPr>
        <w:pStyle w:val="Odsekzoznamu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98084" w14:textId="77777777" w:rsidR="00D31E1F" w:rsidRPr="00D91ABE" w:rsidRDefault="00D31E1F" w:rsidP="00D91AB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BE">
        <w:rPr>
          <w:rFonts w:ascii="Times New Roman" w:hAnsi="Times New Roman" w:cs="Times New Roman"/>
          <w:b/>
          <w:bCs/>
          <w:sz w:val="24"/>
          <w:szCs w:val="24"/>
        </w:rPr>
        <w:t xml:space="preserve">„§ </w:t>
      </w:r>
      <w:r w:rsidRPr="00D91ABE">
        <w:rPr>
          <w:rFonts w:ascii="Times New Roman" w:hAnsi="Times New Roman" w:cs="Times New Roman"/>
          <w:b/>
          <w:sz w:val="24"/>
          <w:szCs w:val="24"/>
        </w:rPr>
        <w:t>150g</w:t>
      </w:r>
    </w:p>
    <w:p w14:paraId="26743C9E" w14:textId="6EE744F9" w:rsidR="00D31E1F" w:rsidRDefault="00D31E1F" w:rsidP="00D91AB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ABE">
        <w:rPr>
          <w:rFonts w:ascii="Times New Roman" w:hAnsi="Times New Roman" w:cs="Times New Roman"/>
          <w:b/>
          <w:sz w:val="24"/>
          <w:szCs w:val="24"/>
        </w:rPr>
        <w:t>Prechodné ustanovenie k úpravám účinným od 1. mája 2023</w:t>
      </w:r>
    </w:p>
    <w:p w14:paraId="394E04F6" w14:textId="77777777" w:rsidR="0019214D" w:rsidRPr="00D91ABE" w:rsidRDefault="0019214D" w:rsidP="00D91ABE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464C31" w14:textId="6F066AD4" w:rsidR="00D31E1F" w:rsidRPr="00D91ABE" w:rsidRDefault="00D31E1F" w:rsidP="00D91AB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BE">
        <w:rPr>
          <w:rFonts w:ascii="Times New Roman" w:hAnsi="Times New Roman" w:cs="Times New Roman"/>
          <w:sz w:val="24"/>
          <w:szCs w:val="24"/>
          <w:shd w:val="clear" w:color="auto" w:fill="FFFFFF"/>
        </w:rPr>
        <w:t>Návrhy zákonov predložené národnej rade pred 1. májom 2023 sa prerokujú podľa predpisov účinných do 30. apríla 2023.</w:t>
      </w:r>
      <w:r w:rsidRPr="00D91ABE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5C1AD243" w14:textId="433E9471" w:rsidR="00BE2F7D" w:rsidRPr="00D91ABE" w:rsidRDefault="00BE2F7D" w:rsidP="00D91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8A6B" w14:textId="78F1F2DB" w:rsidR="00FE521A" w:rsidRPr="00D91ABE" w:rsidRDefault="00FE521A" w:rsidP="00D91A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FF7DB" w14:textId="38FE2004" w:rsidR="00BE2F7D" w:rsidRDefault="00D31E1F" w:rsidP="00D91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BE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081EFCD1" w14:textId="77777777" w:rsidR="00726D65" w:rsidRPr="00D91ABE" w:rsidRDefault="00726D65" w:rsidP="00D91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07CD0" w14:textId="3F0B7B32" w:rsidR="0086692E" w:rsidRPr="00D91ABE" w:rsidRDefault="00C03B15" w:rsidP="00D9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1ABE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20727" w:rsidRPr="00D91ABE">
        <w:rPr>
          <w:rFonts w:ascii="Times New Roman" w:hAnsi="Times New Roman" w:cs="Times New Roman"/>
          <w:sz w:val="24"/>
          <w:szCs w:val="24"/>
        </w:rPr>
        <w:t xml:space="preserve">1. </w:t>
      </w:r>
      <w:r w:rsidR="00D31E1F" w:rsidRPr="00D91ABE">
        <w:rPr>
          <w:rFonts w:ascii="Times New Roman" w:hAnsi="Times New Roman" w:cs="Times New Roman"/>
          <w:sz w:val="24"/>
          <w:szCs w:val="24"/>
        </w:rPr>
        <w:t>mája</w:t>
      </w:r>
      <w:r w:rsidR="00E91528" w:rsidRPr="00D91ABE">
        <w:rPr>
          <w:rFonts w:ascii="Times New Roman" w:hAnsi="Times New Roman" w:cs="Times New Roman"/>
          <w:sz w:val="24"/>
          <w:szCs w:val="24"/>
        </w:rPr>
        <w:t xml:space="preserve"> </w:t>
      </w:r>
      <w:r w:rsidRPr="00D91ABE">
        <w:rPr>
          <w:rFonts w:ascii="Times New Roman" w:hAnsi="Times New Roman" w:cs="Times New Roman"/>
          <w:sz w:val="24"/>
          <w:szCs w:val="24"/>
        </w:rPr>
        <w:t>202</w:t>
      </w:r>
      <w:r w:rsidR="00CB7961" w:rsidRPr="00D91ABE">
        <w:rPr>
          <w:rFonts w:ascii="Times New Roman" w:hAnsi="Times New Roman" w:cs="Times New Roman"/>
          <w:sz w:val="24"/>
          <w:szCs w:val="24"/>
        </w:rPr>
        <w:t>3</w:t>
      </w:r>
      <w:r w:rsidR="00AA587F" w:rsidRPr="00D91ABE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68210D2" w14:textId="230FE5F5" w:rsidR="00025B69" w:rsidRPr="00D91ABE" w:rsidRDefault="00025B69" w:rsidP="00D9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3F5A7C5" w14:textId="01656270" w:rsidR="00025B69" w:rsidRPr="00D91ABE" w:rsidRDefault="00025B69" w:rsidP="00D9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7E11D2" w14:textId="64335122" w:rsidR="00025B69" w:rsidRPr="00D91ABE" w:rsidRDefault="00025B69" w:rsidP="00D9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FBC6DE1" w14:textId="77777777" w:rsidR="00025B69" w:rsidRPr="00D91ABE" w:rsidRDefault="00025B69" w:rsidP="00D9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03BCA53" w14:textId="77777777" w:rsidR="00025B69" w:rsidRPr="00025B69" w:rsidRDefault="00025B69" w:rsidP="00D9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0CD9E81" w14:textId="77777777" w:rsidR="00025B69" w:rsidRPr="00025B69" w:rsidRDefault="00025B69" w:rsidP="00D9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5B469839" w14:textId="77777777" w:rsidR="00025B69" w:rsidRPr="00025B69" w:rsidRDefault="00025B69" w:rsidP="00D9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E4AA8FC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025B69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prezidentka  Slovenskej republiky</w:t>
      </w:r>
    </w:p>
    <w:p w14:paraId="5141A310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5E197CA5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12CFABFF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44061840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8DD1515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147EAB8F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5A885A20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BF65AE9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025B69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predseda Národnej rady Slovenskej republiky</w:t>
      </w:r>
    </w:p>
    <w:p w14:paraId="750A7BF3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2E421B48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91D5254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34EC2AB2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632EC1C2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13CC1A2D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1814FD01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783ABBDE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00462FCF" w14:textId="77777777" w:rsidR="00025B69" w:rsidRPr="00025B69" w:rsidRDefault="00025B69" w:rsidP="00D91A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025B69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predseda vlády Slovenskej republiky</w:t>
      </w:r>
    </w:p>
    <w:p w14:paraId="1FA4CAEE" w14:textId="77777777" w:rsidR="00025B69" w:rsidRPr="00025B69" w:rsidRDefault="00025B69" w:rsidP="00D9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21E1FCC8" w14:textId="77777777" w:rsidR="00025B69" w:rsidRPr="00D91ABE" w:rsidRDefault="00025B69" w:rsidP="00D9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25B69" w:rsidRPr="00D91ABE" w:rsidSect="00E34C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D473" w14:textId="77777777" w:rsidR="008543B3" w:rsidRDefault="008543B3" w:rsidP="00E541C0">
      <w:pPr>
        <w:spacing w:after="0" w:line="240" w:lineRule="auto"/>
      </w:pPr>
      <w:r>
        <w:separator/>
      </w:r>
    </w:p>
  </w:endnote>
  <w:endnote w:type="continuationSeparator" w:id="0">
    <w:p w14:paraId="0EE01380" w14:textId="77777777" w:rsidR="008543B3" w:rsidRDefault="008543B3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5FC374EA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3A">
          <w:rPr>
            <w:noProof/>
          </w:rPr>
          <w:t>2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F98D" w14:textId="77777777" w:rsidR="008543B3" w:rsidRDefault="008543B3" w:rsidP="00E541C0">
      <w:pPr>
        <w:spacing w:after="0" w:line="240" w:lineRule="auto"/>
      </w:pPr>
      <w:r>
        <w:separator/>
      </w:r>
    </w:p>
  </w:footnote>
  <w:footnote w:type="continuationSeparator" w:id="0">
    <w:p w14:paraId="50DEB7D6" w14:textId="77777777" w:rsidR="008543B3" w:rsidRDefault="008543B3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887"/>
    <w:multiLevelType w:val="hybridMultilevel"/>
    <w:tmpl w:val="C7384C7A"/>
    <w:lvl w:ilvl="0" w:tplc="2FAE9F36">
      <w:start w:val="1"/>
      <w:numFmt w:val="decimal"/>
      <w:lvlText w:val="%1."/>
      <w:lvlJc w:val="left"/>
      <w:pPr>
        <w:ind w:left="1978" w:hanging="112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8626D"/>
    <w:multiLevelType w:val="hybridMultilevel"/>
    <w:tmpl w:val="D65864E4"/>
    <w:lvl w:ilvl="0" w:tplc="0DC6E028">
      <w:start w:val="1"/>
      <w:numFmt w:val="decimal"/>
      <w:lvlText w:val="%1."/>
      <w:lvlJc w:val="left"/>
      <w:pPr>
        <w:ind w:left="1637" w:hanging="121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FA3"/>
    <w:multiLevelType w:val="hybridMultilevel"/>
    <w:tmpl w:val="C2D644F2"/>
    <w:lvl w:ilvl="0" w:tplc="0DC6E028">
      <w:start w:val="1"/>
      <w:numFmt w:val="decimal"/>
      <w:lvlText w:val="%1."/>
      <w:lvlJc w:val="left"/>
      <w:pPr>
        <w:ind w:left="2063" w:hanging="121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25F4EE0"/>
    <w:multiLevelType w:val="hybridMultilevel"/>
    <w:tmpl w:val="7D7A1F52"/>
    <w:lvl w:ilvl="0" w:tplc="0DC6E028">
      <w:start w:val="1"/>
      <w:numFmt w:val="decimal"/>
      <w:lvlText w:val="%1."/>
      <w:lvlJc w:val="left"/>
      <w:pPr>
        <w:ind w:left="2063" w:hanging="121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57D39"/>
    <w:multiLevelType w:val="hybridMultilevel"/>
    <w:tmpl w:val="A12234A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7"/>
  </w:num>
  <w:num w:numId="5">
    <w:abstractNumId w:val="5"/>
  </w:num>
  <w:num w:numId="6">
    <w:abstractNumId w:val="35"/>
  </w:num>
  <w:num w:numId="7">
    <w:abstractNumId w:val="39"/>
  </w:num>
  <w:num w:numId="8">
    <w:abstractNumId w:val="14"/>
  </w:num>
  <w:num w:numId="9">
    <w:abstractNumId w:val="2"/>
  </w:num>
  <w:num w:numId="10">
    <w:abstractNumId w:val="27"/>
  </w:num>
  <w:num w:numId="11">
    <w:abstractNumId w:val="38"/>
  </w:num>
  <w:num w:numId="12">
    <w:abstractNumId w:val="8"/>
  </w:num>
  <w:num w:numId="13">
    <w:abstractNumId w:val="1"/>
  </w:num>
  <w:num w:numId="14">
    <w:abstractNumId w:val="20"/>
  </w:num>
  <w:num w:numId="15">
    <w:abstractNumId w:val="19"/>
  </w:num>
  <w:num w:numId="16">
    <w:abstractNumId w:val="0"/>
  </w:num>
  <w:num w:numId="17">
    <w:abstractNumId w:val="34"/>
  </w:num>
  <w:num w:numId="18">
    <w:abstractNumId w:val="15"/>
  </w:num>
  <w:num w:numId="19">
    <w:abstractNumId w:val="37"/>
  </w:num>
  <w:num w:numId="20">
    <w:abstractNumId w:val="13"/>
  </w:num>
  <w:num w:numId="21">
    <w:abstractNumId w:val="25"/>
  </w:num>
  <w:num w:numId="22">
    <w:abstractNumId w:val="16"/>
  </w:num>
  <w:num w:numId="23">
    <w:abstractNumId w:val="22"/>
  </w:num>
  <w:num w:numId="24">
    <w:abstractNumId w:val="9"/>
  </w:num>
  <w:num w:numId="25">
    <w:abstractNumId w:val="30"/>
  </w:num>
  <w:num w:numId="26">
    <w:abstractNumId w:val="10"/>
  </w:num>
  <w:num w:numId="27">
    <w:abstractNumId w:val="31"/>
  </w:num>
  <w:num w:numId="28">
    <w:abstractNumId w:val="32"/>
  </w:num>
  <w:num w:numId="29">
    <w:abstractNumId w:val="36"/>
  </w:num>
  <w:num w:numId="30">
    <w:abstractNumId w:val="26"/>
  </w:num>
  <w:num w:numId="31">
    <w:abstractNumId w:val="28"/>
  </w:num>
  <w:num w:numId="32">
    <w:abstractNumId w:val="24"/>
  </w:num>
  <w:num w:numId="33">
    <w:abstractNumId w:val="29"/>
  </w:num>
  <w:num w:numId="34">
    <w:abstractNumId w:val="3"/>
  </w:num>
  <w:num w:numId="35">
    <w:abstractNumId w:val="11"/>
  </w:num>
  <w:num w:numId="36">
    <w:abstractNumId w:val="33"/>
  </w:num>
  <w:num w:numId="37">
    <w:abstractNumId w:val="6"/>
  </w:num>
  <w:num w:numId="38">
    <w:abstractNumId w:val="23"/>
  </w:num>
  <w:num w:numId="39">
    <w:abstractNumId w:val="21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53F0"/>
    <w:rsid w:val="00020F16"/>
    <w:rsid w:val="00023A0B"/>
    <w:rsid w:val="0002460A"/>
    <w:rsid w:val="00025B69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28C1"/>
    <w:rsid w:val="000B7D2A"/>
    <w:rsid w:val="000C63EA"/>
    <w:rsid w:val="000D49AB"/>
    <w:rsid w:val="000D73EC"/>
    <w:rsid w:val="000D7668"/>
    <w:rsid w:val="000E29B5"/>
    <w:rsid w:val="000E403E"/>
    <w:rsid w:val="000E51EB"/>
    <w:rsid w:val="000E6CF6"/>
    <w:rsid w:val="000E7795"/>
    <w:rsid w:val="000F1C96"/>
    <w:rsid w:val="000F355B"/>
    <w:rsid w:val="00101494"/>
    <w:rsid w:val="0011027D"/>
    <w:rsid w:val="00113514"/>
    <w:rsid w:val="00120727"/>
    <w:rsid w:val="00123354"/>
    <w:rsid w:val="00144C1C"/>
    <w:rsid w:val="00146F53"/>
    <w:rsid w:val="001471A1"/>
    <w:rsid w:val="00156B46"/>
    <w:rsid w:val="00157945"/>
    <w:rsid w:val="0018370D"/>
    <w:rsid w:val="00183EED"/>
    <w:rsid w:val="001848AC"/>
    <w:rsid w:val="00187740"/>
    <w:rsid w:val="00192112"/>
    <w:rsid w:val="0019214D"/>
    <w:rsid w:val="001922A2"/>
    <w:rsid w:val="0019356A"/>
    <w:rsid w:val="001D2729"/>
    <w:rsid w:val="001D35B3"/>
    <w:rsid w:val="001F1C5D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5218F"/>
    <w:rsid w:val="00257F1E"/>
    <w:rsid w:val="00260655"/>
    <w:rsid w:val="00262B58"/>
    <w:rsid w:val="00287F57"/>
    <w:rsid w:val="0029368A"/>
    <w:rsid w:val="002B06C1"/>
    <w:rsid w:val="002B68AF"/>
    <w:rsid w:val="002C003A"/>
    <w:rsid w:val="002C1879"/>
    <w:rsid w:val="002F1689"/>
    <w:rsid w:val="003055E8"/>
    <w:rsid w:val="00305D63"/>
    <w:rsid w:val="0032223A"/>
    <w:rsid w:val="003315C1"/>
    <w:rsid w:val="00343CF6"/>
    <w:rsid w:val="00356BC0"/>
    <w:rsid w:val="00362673"/>
    <w:rsid w:val="00363316"/>
    <w:rsid w:val="00380450"/>
    <w:rsid w:val="00380F1B"/>
    <w:rsid w:val="00384601"/>
    <w:rsid w:val="00397A35"/>
    <w:rsid w:val="003A0C96"/>
    <w:rsid w:val="003B2AB8"/>
    <w:rsid w:val="003B64F1"/>
    <w:rsid w:val="003C5F4A"/>
    <w:rsid w:val="003D2BCA"/>
    <w:rsid w:val="003D4D55"/>
    <w:rsid w:val="00406A8A"/>
    <w:rsid w:val="00411101"/>
    <w:rsid w:val="00425A9D"/>
    <w:rsid w:val="00426DC4"/>
    <w:rsid w:val="004303BC"/>
    <w:rsid w:val="004320A9"/>
    <w:rsid w:val="00437A67"/>
    <w:rsid w:val="00445691"/>
    <w:rsid w:val="00445CEB"/>
    <w:rsid w:val="00453B44"/>
    <w:rsid w:val="00454AF5"/>
    <w:rsid w:val="00456D7B"/>
    <w:rsid w:val="00461874"/>
    <w:rsid w:val="004739DE"/>
    <w:rsid w:val="00475B55"/>
    <w:rsid w:val="00481B7C"/>
    <w:rsid w:val="00482E52"/>
    <w:rsid w:val="004867A6"/>
    <w:rsid w:val="00494F0E"/>
    <w:rsid w:val="004A6D96"/>
    <w:rsid w:val="004B511A"/>
    <w:rsid w:val="004B5543"/>
    <w:rsid w:val="004D2FFA"/>
    <w:rsid w:val="004D541C"/>
    <w:rsid w:val="004E38E5"/>
    <w:rsid w:val="004E5058"/>
    <w:rsid w:val="004F0C8E"/>
    <w:rsid w:val="004F2493"/>
    <w:rsid w:val="004F387A"/>
    <w:rsid w:val="004F4601"/>
    <w:rsid w:val="00517D81"/>
    <w:rsid w:val="00520DF2"/>
    <w:rsid w:val="00524471"/>
    <w:rsid w:val="005263DF"/>
    <w:rsid w:val="00534322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9489B"/>
    <w:rsid w:val="00594FC0"/>
    <w:rsid w:val="005B3053"/>
    <w:rsid w:val="005C2E62"/>
    <w:rsid w:val="005D1875"/>
    <w:rsid w:val="005D1F50"/>
    <w:rsid w:val="005D6D90"/>
    <w:rsid w:val="005E1BB4"/>
    <w:rsid w:val="005E1C24"/>
    <w:rsid w:val="005E7B78"/>
    <w:rsid w:val="005F2703"/>
    <w:rsid w:val="005F4658"/>
    <w:rsid w:val="005F7933"/>
    <w:rsid w:val="006000B9"/>
    <w:rsid w:val="00616AE8"/>
    <w:rsid w:val="00617C22"/>
    <w:rsid w:val="00620621"/>
    <w:rsid w:val="00627FF3"/>
    <w:rsid w:val="006332AD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7C8B"/>
    <w:rsid w:val="006E381A"/>
    <w:rsid w:val="006E45D6"/>
    <w:rsid w:val="006F5E14"/>
    <w:rsid w:val="00710B2E"/>
    <w:rsid w:val="00710FDD"/>
    <w:rsid w:val="007152CD"/>
    <w:rsid w:val="00716C45"/>
    <w:rsid w:val="00721212"/>
    <w:rsid w:val="00722B39"/>
    <w:rsid w:val="00726D65"/>
    <w:rsid w:val="00732BBD"/>
    <w:rsid w:val="00737306"/>
    <w:rsid w:val="0074441F"/>
    <w:rsid w:val="00744C40"/>
    <w:rsid w:val="00751B32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4639"/>
    <w:rsid w:val="007B5931"/>
    <w:rsid w:val="007B7921"/>
    <w:rsid w:val="007C0113"/>
    <w:rsid w:val="007C6324"/>
    <w:rsid w:val="007D3EC9"/>
    <w:rsid w:val="007E2B07"/>
    <w:rsid w:val="00801C48"/>
    <w:rsid w:val="0080460A"/>
    <w:rsid w:val="00806CE4"/>
    <w:rsid w:val="00811009"/>
    <w:rsid w:val="008112B0"/>
    <w:rsid w:val="0081766C"/>
    <w:rsid w:val="00823274"/>
    <w:rsid w:val="008233BF"/>
    <w:rsid w:val="00832E14"/>
    <w:rsid w:val="00837F96"/>
    <w:rsid w:val="00853134"/>
    <w:rsid w:val="008543B3"/>
    <w:rsid w:val="008552A7"/>
    <w:rsid w:val="0086579E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E42B4"/>
    <w:rsid w:val="008F4E1D"/>
    <w:rsid w:val="00903E9F"/>
    <w:rsid w:val="00907BF3"/>
    <w:rsid w:val="009138E0"/>
    <w:rsid w:val="00914877"/>
    <w:rsid w:val="009259C3"/>
    <w:rsid w:val="0092642A"/>
    <w:rsid w:val="00927AEC"/>
    <w:rsid w:val="00934E81"/>
    <w:rsid w:val="0094156B"/>
    <w:rsid w:val="00943CFA"/>
    <w:rsid w:val="00954189"/>
    <w:rsid w:val="0095585B"/>
    <w:rsid w:val="00957351"/>
    <w:rsid w:val="009605B2"/>
    <w:rsid w:val="00960708"/>
    <w:rsid w:val="00972E02"/>
    <w:rsid w:val="00991B99"/>
    <w:rsid w:val="00997203"/>
    <w:rsid w:val="009C264F"/>
    <w:rsid w:val="009C46FA"/>
    <w:rsid w:val="009C77E2"/>
    <w:rsid w:val="009E072F"/>
    <w:rsid w:val="00A0601D"/>
    <w:rsid w:val="00A209F6"/>
    <w:rsid w:val="00A2326F"/>
    <w:rsid w:val="00A2452F"/>
    <w:rsid w:val="00A25781"/>
    <w:rsid w:val="00A46595"/>
    <w:rsid w:val="00A53ED5"/>
    <w:rsid w:val="00A556C8"/>
    <w:rsid w:val="00A603F6"/>
    <w:rsid w:val="00A656F7"/>
    <w:rsid w:val="00A74373"/>
    <w:rsid w:val="00A84E05"/>
    <w:rsid w:val="00A85443"/>
    <w:rsid w:val="00A8623B"/>
    <w:rsid w:val="00A87213"/>
    <w:rsid w:val="00A94AA3"/>
    <w:rsid w:val="00A96131"/>
    <w:rsid w:val="00AA587F"/>
    <w:rsid w:val="00AB7033"/>
    <w:rsid w:val="00AD65A6"/>
    <w:rsid w:val="00AE41FD"/>
    <w:rsid w:val="00AE57D3"/>
    <w:rsid w:val="00B01B90"/>
    <w:rsid w:val="00B05E18"/>
    <w:rsid w:val="00B20F71"/>
    <w:rsid w:val="00B227F6"/>
    <w:rsid w:val="00B2403A"/>
    <w:rsid w:val="00B37C15"/>
    <w:rsid w:val="00B40326"/>
    <w:rsid w:val="00B4231A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947C9"/>
    <w:rsid w:val="00B958A9"/>
    <w:rsid w:val="00BC136F"/>
    <w:rsid w:val="00BD1055"/>
    <w:rsid w:val="00BD4164"/>
    <w:rsid w:val="00BD5FFC"/>
    <w:rsid w:val="00BE0C16"/>
    <w:rsid w:val="00BE2F7D"/>
    <w:rsid w:val="00BF01C2"/>
    <w:rsid w:val="00BF13B5"/>
    <w:rsid w:val="00BF73A8"/>
    <w:rsid w:val="00C03B15"/>
    <w:rsid w:val="00C04113"/>
    <w:rsid w:val="00C12B17"/>
    <w:rsid w:val="00C1433F"/>
    <w:rsid w:val="00C20EBF"/>
    <w:rsid w:val="00C24DB8"/>
    <w:rsid w:val="00C44F63"/>
    <w:rsid w:val="00C45643"/>
    <w:rsid w:val="00C519B4"/>
    <w:rsid w:val="00C53203"/>
    <w:rsid w:val="00C65BB9"/>
    <w:rsid w:val="00C73D6A"/>
    <w:rsid w:val="00C752D9"/>
    <w:rsid w:val="00C94380"/>
    <w:rsid w:val="00CA0238"/>
    <w:rsid w:val="00CA1145"/>
    <w:rsid w:val="00CA41C0"/>
    <w:rsid w:val="00CA493F"/>
    <w:rsid w:val="00CA7A53"/>
    <w:rsid w:val="00CB4A41"/>
    <w:rsid w:val="00CB5C0E"/>
    <w:rsid w:val="00CB7961"/>
    <w:rsid w:val="00CD0968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61A4"/>
    <w:rsid w:val="00D07B1A"/>
    <w:rsid w:val="00D17B3C"/>
    <w:rsid w:val="00D2589D"/>
    <w:rsid w:val="00D31E1F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4651"/>
    <w:rsid w:val="00D87CB4"/>
    <w:rsid w:val="00D91ABE"/>
    <w:rsid w:val="00D927B4"/>
    <w:rsid w:val="00DA1BE5"/>
    <w:rsid w:val="00DA2CD7"/>
    <w:rsid w:val="00DC2FFD"/>
    <w:rsid w:val="00DC50B2"/>
    <w:rsid w:val="00DD52E9"/>
    <w:rsid w:val="00DE10CF"/>
    <w:rsid w:val="00DE4B49"/>
    <w:rsid w:val="00DE67BB"/>
    <w:rsid w:val="00DF0954"/>
    <w:rsid w:val="00DF4438"/>
    <w:rsid w:val="00E01BB3"/>
    <w:rsid w:val="00E06CE8"/>
    <w:rsid w:val="00E11921"/>
    <w:rsid w:val="00E24837"/>
    <w:rsid w:val="00E34C68"/>
    <w:rsid w:val="00E41A30"/>
    <w:rsid w:val="00E43BD3"/>
    <w:rsid w:val="00E44BF0"/>
    <w:rsid w:val="00E474C8"/>
    <w:rsid w:val="00E541C0"/>
    <w:rsid w:val="00E63072"/>
    <w:rsid w:val="00E6526C"/>
    <w:rsid w:val="00E7209F"/>
    <w:rsid w:val="00E84ED2"/>
    <w:rsid w:val="00E9131B"/>
    <w:rsid w:val="00E91528"/>
    <w:rsid w:val="00E93E46"/>
    <w:rsid w:val="00EA0FFB"/>
    <w:rsid w:val="00EA350C"/>
    <w:rsid w:val="00EA4505"/>
    <w:rsid w:val="00EB0F79"/>
    <w:rsid w:val="00EC3B71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332"/>
    <w:rsid w:val="00F54845"/>
    <w:rsid w:val="00F615FD"/>
    <w:rsid w:val="00F61F0D"/>
    <w:rsid w:val="00F64204"/>
    <w:rsid w:val="00F66FFC"/>
    <w:rsid w:val="00F672EF"/>
    <w:rsid w:val="00F96E12"/>
    <w:rsid w:val="00F96ECB"/>
    <w:rsid w:val="00FA213F"/>
    <w:rsid w:val="00FA6332"/>
    <w:rsid w:val="00FA75A3"/>
    <w:rsid w:val="00FB6C3B"/>
    <w:rsid w:val="00FC09D8"/>
    <w:rsid w:val="00FC335B"/>
    <w:rsid w:val="00FD3999"/>
    <w:rsid w:val="00FD3B97"/>
    <w:rsid w:val="00FE4980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FDD66217-D298-4A73-BE63-0B839519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tavec cíl se seznamem,Odstavec se seznamem1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markedcontent">
    <w:name w:val="markedcontent"/>
    <w:basedOn w:val="Predvolenpsmoodseku"/>
    <w:rsid w:val="00BE2F7D"/>
  </w:style>
  <w:style w:type="character" w:customStyle="1" w:styleId="OdsekzoznamuChar">
    <w:name w:val="Odsek zoznamu Char"/>
    <w:aliases w:val="Odstavec cíl se seznamem Char,Odstavec se seznamem1 Char"/>
    <w:basedOn w:val="Predvolenpsmoodseku"/>
    <w:link w:val="Odsekzoznamu"/>
    <w:uiPriority w:val="34"/>
    <w:locked/>
    <w:rsid w:val="00D3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4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40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170B-A1AC-49B6-923B-2A3359EB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Gregáň Peter</dc:creator>
  <cp:lastModifiedBy>Durgalová, Veronika</cp:lastModifiedBy>
  <cp:revision>4</cp:revision>
  <cp:lastPrinted>2023-03-30T16:18:00Z</cp:lastPrinted>
  <dcterms:created xsi:type="dcterms:W3CDTF">2023-03-30T16:16:00Z</dcterms:created>
  <dcterms:modified xsi:type="dcterms:W3CDTF">2023-03-31T07:00:00Z</dcterms:modified>
</cp:coreProperties>
</file>