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8FC" w:rsidRPr="00A7506A" w:rsidRDefault="00D618FC" w:rsidP="00D618FC">
      <w:pPr>
        <w:pStyle w:val="Normlnywebov"/>
        <w:spacing w:before="0" w:beforeAutospacing="0" w:after="0" w:afterAutospacing="0"/>
        <w:ind w:left="360"/>
        <w:jc w:val="center"/>
      </w:pPr>
      <w:r w:rsidRPr="00A7506A">
        <w:rPr>
          <w:b/>
          <w:bCs/>
        </w:rPr>
        <w:t>DOLOŽKA ZLUČITEĽNOSTI</w:t>
      </w:r>
    </w:p>
    <w:p w:rsidR="00D618FC" w:rsidRDefault="00D618FC" w:rsidP="00D618FC">
      <w:pPr>
        <w:pStyle w:val="Normlnywebov"/>
        <w:spacing w:before="0" w:beforeAutospacing="0" w:after="0" w:afterAutospacing="0"/>
        <w:ind w:left="426"/>
        <w:jc w:val="center"/>
        <w:rPr>
          <w:b/>
          <w:bCs/>
        </w:rPr>
      </w:pPr>
      <w:r w:rsidRPr="00A7506A">
        <w:rPr>
          <w:b/>
          <w:bCs/>
        </w:rPr>
        <w:t>návrhu zákona s právom Európskej únie</w:t>
      </w:r>
    </w:p>
    <w:p w:rsidR="00822E34" w:rsidRPr="00A7506A" w:rsidRDefault="00822E34" w:rsidP="00D618FC">
      <w:pPr>
        <w:pStyle w:val="Normlnywebov"/>
        <w:spacing w:before="0" w:beforeAutospacing="0" w:after="0" w:afterAutospacing="0"/>
        <w:ind w:left="426"/>
        <w:jc w:val="center"/>
      </w:pPr>
    </w:p>
    <w:p w:rsidR="00D618FC" w:rsidRPr="00A7506A" w:rsidRDefault="00D618FC" w:rsidP="00D618FC">
      <w:pPr>
        <w:pStyle w:val="Normlnywebov"/>
        <w:spacing w:before="0" w:beforeAutospacing="0" w:after="0" w:afterAutospacing="0"/>
        <w:jc w:val="center"/>
      </w:pPr>
      <w:r w:rsidRPr="00A7506A">
        <w:t> </w:t>
      </w:r>
    </w:p>
    <w:p w:rsidR="00D618FC" w:rsidRDefault="00D618FC" w:rsidP="00AA0CCB">
      <w:pPr>
        <w:pStyle w:val="Normlnywebov"/>
        <w:numPr>
          <w:ilvl w:val="0"/>
          <w:numId w:val="11"/>
        </w:numPr>
        <w:spacing w:before="0" w:beforeAutospacing="0" w:after="0" w:afterAutospacing="0"/>
        <w:ind w:left="851" w:hanging="425"/>
      </w:pPr>
      <w:r w:rsidRPr="00A7506A">
        <w:rPr>
          <w:b/>
          <w:bCs/>
        </w:rPr>
        <w:t>Navrhovateľ zákona</w:t>
      </w:r>
      <w:r w:rsidRPr="00A7506A">
        <w:t xml:space="preserve">: </w:t>
      </w:r>
    </w:p>
    <w:p w:rsidR="00D618FC" w:rsidRDefault="0094370D" w:rsidP="0094370D">
      <w:pPr>
        <w:pStyle w:val="Normlnywebov"/>
        <w:spacing w:before="0" w:beforeAutospacing="0" w:after="0" w:afterAutospacing="0"/>
        <w:ind w:left="851"/>
        <w:jc w:val="both"/>
      </w:pPr>
      <w:r>
        <w:rPr>
          <w:color w:val="000000"/>
        </w:rPr>
        <w:t>Poslanci</w:t>
      </w:r>
      <w:r w:rsidR="00C8079F">
        <w:rPr>
          <w:color w:val="000000"/>
        </w:rPr>
        <w:t xml:space="preserve"> Národnej rady Slovenskej republiky</w:t>
      </w:r>
      <w:bookmarkStart w:id="0" w:name="_GoBack"/>
      <w:bookmarkEnd w:id="0"/>
      <w:r>
        <w:rPr>
          <w:color w:val="000000"/>
        </w:rPr>
        <w:t xml:space="preserve"> </w:t>
      </w:r>
      <w:r w:rsidRPr="00B77CB5">
        <w:rPr>
          <w:color w:val="000000"/>
        </w:rPr>
        <w:t>Petra Krištúfková</w:t>
      </w:r>
      <w:r>
        <w:rPr>
          <w:color w:val="000000"/>
        </w:rPr>
        <w:t xml:space="preserve">, </w:t>
      </w:r>
      <w:r>
        <w:rPr>
          <w:bCs/>
        </w:rPr>
        <w:t>Igor Kašper, Ľudovít Goga, Zuzana Šebová a Adriana Pčolinská</w:t>
      </w:r>
      <w:r w:rsidR="00D618FC" w:rsidRPr="00A7506A">
        <w:t> </w:t>
      </w:r>
    </w:p>
    <w:p w:rsidR="0094370D" w:rsidRPr="00A7506A" w:rsidRDefault="0094370D" w:rsidP="0094370D">
      <w:pPr>
        <w:pStyle w:val="Normlnywebov"/>
        <w:spacing w:before="0" w:beforeAutospacing="0" w:after="0" w:afterAutospacing="0"/>
        <w:ind w:left="851"/>
        <w:jc w:val="both"/>
      </w:pPr>
    </w:p>
    <w:p w:rsidR="00AA0CCB" w:rsidRDefault="00D618FC" w:rsidP="00AA0CCB">
      <w:pPr>
        <w:pStyle w:val="Normlnywebov"/>
        <w:numPr>
          <w:ilvl w:val="0"/>
          <w:numId w:val="11"/>
        </w:numPr>
        <w:tabs>
          <w:tab w:val="left" w:pos="142"/>
        </w:tabs>
        <w:spacing w:before="0" w:beforeAutospacing="0" w:after="0" w:afterAutospacing="0"/>
        <w:ind w:left="851"/>
        <w:jc w:val="both"/>
      </w:pPr>
      <w:r w:rsidRPr="00A7506A">
        <w:rPr>
          <w:b/>
          <w:bCs/>
        </w:rPr>
        <w:t>Názov návrhu zákona</w:t>
      </w:r>
      <w:r w:rsidRPr="00A7506A">
        <w:t xml:space="preserve">: </w:t>
      </w:r>
    </w:p>
    <w:p w:rsidR="00D618FC" w:rsidRPr="008144EB" w:rsidRDefault="00D618FC" w:rsidP="008144E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4EB">
        <w:rPr>
          <w:rFonts w:ascii="Times New Roman" w:hAnsi="Times New Roman" w:cs="Times New Roman"/>
          <w:sz w:val="24"/>
          <w:szCs w:val="24"/>
        </w:rPr>
        <w:t xml:space="preserve">Zákon, </w:t>
      </w:r>
      <w:r w:rsidR="008144EB" w:rsidRPr="008144EB">
        <w:rPr>
          <w:rFonts w:ascii="Times New Roman" w:hAnsi="Times New Roman" w:cs="Times New Roman"/>
          <w:color w:val="000000"/>
          <w:sz w:val="24"/>
          <w:szCs w:val="24"/>
        </w:rPr>
        <w:t>ktorým sa mení a dopĺňa zákon č. 58/2014 Z. z. o výbušninách, výbušných predmetoch a munícii v znení neskorších predpisov a zákon č. 372/1990 Zb. o priestupkoch v znení neskorších predpisov</w:t>
      </w:r>
    </w:p>
    <w:p w:rsidR="00D618FC" w:rsidRPr="00A7506A" w:rsidRDefault="00D618FC" w:rsidP="00551CDC">
      <w:pPr>
        <w:pStyle w:val="Normlnywebov"/>
        <w:numPr>
          <w:ilvl w:val="0"/>
          <w:numId w:val="11"/>
        </w:numPr>
        <w:spacing w:before="0" w:beforeAutospacing="0" w:after="0" w:afterAutospacing="0"/>
      </w:pPr>
      <w:r w:rsidRPr="00551CDC">
        <w:rPr>
          <w:b/>
          <w:bCs/>
        </w:rPr>
        <w:t>Predmet návrhu zákona je upravený v práve Európskej únie</w:t>
      </w:r>
      <w:r w:rsidR="008144EB" w:rsidRPr="00551CDC">
        <w:rPr>
          <w:b/>
          <w:bCs/>
        </w:rPr>
        <w:t xml:space="preserve"> nasledovne</w:t>
      </w:r>
      <w:r>
        <w:t>:</w:t>
      </w:r>
    </w:p>
    <w:p w:rsidR="00D618FC" w:rsidRDefault="00D618FC" w:rsidP="0089186B">
      <w:pPr>
        <w:pStyle w:val="Normlnywebov"/>
        <w:numPr>
          <w:ilvl w:val="0"/>
          <w:numId w:val="12"/>
        </w:numPr>
        <w:spacing w:before="120" w:beforeAutospacing="0" w:after="0" w:afterAutospacing="0"/>
        <w:jc w:val="both"/>
      </w:pPr>
      <w:r w:rsidRPr="00A7506A">
        <w:t xml:space="preserve">v primárnom práve, </w:t>
      </w:r>
    </w:p>
    <w:p w:rsidR="0089186B" w:rsidRDefault="0089186B" w:rsidP="0089186B">
      <w:pPr>
        <w:pStyle w:val="Normlnywebov"/>
        <w:spacing w:before="120" w:beforeAutospacing="0" w:after="0" w:afterAutospacing="0"/>
        <w:ind w:left="1352"/>
        <w:jc w:val="both"/>
        <w:rPr>
          <w:i/>
        </w:rPr>
      </w:pPr>
      <w:r w:rsidRPr="0089186B">
        <w:rPr>
          <w:i/>
        </w:rPr>
        <w:t xml:space="preserve">článok  28 až 37 Zmluvy o fungovaní Európskej únie </w:t>
      </w:r>
    </w:p>
    <w:p w:rsidR="0089186B" w:rsidRPr="0089186B" w:rsidRDefault="0089186B" w:rsidP="0089186B">
      <w:pPr>
        <w:pStyle w:val="Normlnywebov"/>
        <w:spacing w:before="120" w:beforeAutospacing="0" w:after="0" w:afterAutospacing="0"/>
        <w:ind w:left="1352"/>
        <w:jc w:val="both"/>
        <w:rPr>
          <w:i/>
        </w:rPr>
      </w:pPr>
    </w:p>
    <w:p w:rsidR="00AC169F" w:rsidRDefault="00D618FC" w:rsidP="0089186B">
      <w:pPr>
        <w:pStyle w:val="Normlnywebov"/>
        <w:numPr>
          <w:ilvl w:val="0"/>
          <w:numId w:val="12"/>
        </w:numPr>
        <w:spacing w:before="0" w:beforeAutospacing="0" w:after="0" w:afterAutospacing="0"/>
        <w:jc w:val="both"/>
      </w:pPr>
      <w:r w:rsidRPr="00A7506A">
        <w:t xml:space="preserve">v sekundárnom práve, </w:t>
      </w:r>
    </w:p>
    <w:p w:rsidR="0089186B" w:rsidRDefault="0089186B" w:rsidP="0089186B">
      <w:pPr>
        <w:pStyle w:val="Normlnywebov"/>
        <w:spacing w:before="0" w:beforeAutospacing="0" w:after="0" w:afterAutospacing="0"/>
        <w:ind w:left="1352"/>
        <w:jc w:val="both"/>
      </w:pPr>
    </w:p>
    <w:p w:rsidR="00551CDC" w:rsidRPr="008144EB" w:rsidRDefault="00551CDC" w:rsidP="00551CDC">
      <w:pPr>
        <w:ind w:left="127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8144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čl. 4. ods. 2 Smernica Európskeho parlamentu a Rady 2013/29/EÚ z  12. júna 2013 o harmonizácii zákonov členských štátov </w:t>
      </w:r>
      <w:r w:rsidRPr="008144EB">
        <w:rPr>
          <w:rFonts w:ascii="Times New Roman" w:hAnsi="Times New Roman" w:cs="Times New Roman"/>
          <w:i/>
          <w:color w:val="000000"/>
          <w:sz w:val="24"/>
          <w:szCs w:val="24"/>
        </w:rPr>
        <w:t>týkajúcich sa sprístupňovania pyrotechnických výrobkov na trhu (prepracované znenie)</w:t>
      </w:r>
      <w:r w:rsidRPr="008144EB">
        <w:t xml:space="preserve"> </w:t>
      </w:r>
      <w:r w:rsidRPr="008144EB">
        <w:rPr>
          <w:rFonts w:ascii="Times New Roman" w:hAnsi="Times New Roman" w:cs="Times New Roman"/>
          <w:i/>
          <w:color w:val="000000"/>
          <w:sz w:val="24"/>
          <w:szCs w:val="24"/>
        </w:rPr>
        <w:t>(Ú</w:t>
      </w:r>
      <w:r w:rsidR="0089186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144EB">
        <w:rPr>
          <w:rFonts w:ascii="Times New Roman" w:hAnsi="Times New Roman" w:cs="Times New Roman"/>
          <w:i/>
          <w:color w:val="000000"/>
          <w:sz w:val="24"/>
          <w:szCs w:val="24"/>
        </w:rPr>
        <w:t>.v. EÚ L 178, 28.6.2013).</w:t>
      </w:r>
    </w:p>
    <w:p w:rsidR="00AC169F" w:rsidRPr="008144EB" w:rsidRDefault="00AC169F" w:rsidP="008144EB">
      <w:pPr>
        <w:pStyle w:val="Normlnywebov"/>
        <w:spacing w:before="0" w:beforeAutospacing="0" w:after="0" w:afterAutospacing="0"/>
        <w:ind w:left="1276" w:hanging="283"/>
        <w:jc w:val="both"/>
        <w:rPr>
          <w:i/>
        </w:rPr>
      </w:pPr>
    </w:p>
    <w:p w:rsidR="00D618FC" w:rsidRDefault="00D618FC" w:rsidP="00D618FC">
      <w:pPr>
        <w:pStyle w:val="Normlnywebov"/>
        <w:spacing w:before="0" w:beforeAutospacing="0" w:after="0" w:afterAutospacing="0"/>
        <w:jc w:val="both"/>
        <w:rPr>
          <w:i/>
        </w:rPr>
      </w:pPr>
    </w:p>
    <w:p w:rsidR="00D618FC" w:rsidRPr="00A7506A" w:rsidRDefault="00D618FC" w:rsidP="00D618FC">
      <w:pPr>
        <w:pStyle w:val="Normlnywebov"/>
        <w:spacing w:before="0" w:beforeAutospacing="0" w:after="0" w:afterAutospacing="0"/>
        <w:ind w:left="1276" w:hanging="283"/>
        <w:jc w:val="both"/>
      </w:pPr>
      <w:r w:rsidRPr="00A7506A">
        <w:t xml:space="preserve">c) v judikatúre Súdneho dvora Európskej únie </w:t>
      </w:r>
      <w:r w:rsidR="00822E34">
        <w:t xml:space="preserve">predmet návrhu </w:t>
      </w:r>
      <w:r w:rsidR="00F72E88">
        <w:t xml:space="preserve">zákona </w:t>
      </w:r>
      <w:r w:rsidR="00822E34">
        <w:t>nie je  obsiahnutý</w:t>
      </w:r>
      <w:r w:rsidRPr="00A7506A">
        <w:t xml:space="preserve">. </w:t>
      </w:r>
    </w:p>
    <w:p w:rsidR="00D618FC" w:rsidRDefault="00D618FC" w:rsidP="00D618FC">
      <w:pPr>
        <w:pStyle w:val="Normlnywebov"/>
        <w:spacing w:before="0" w:beforeAutospacing="0" w:after="0" w:afterAutospacing="0"/>
        <w:ind w:left="1276" w:hanging="283"/>
        <w:jc w:val="both"/>
        <w:rPr>
          <w:i/>
        </w:rPr>
      </w:pPr>
      <w:r w:rsidRPr="00A7506A">
        <w:t xml:space="preserve">     </w:t>
      </w:r>
    </w:p>
    <w:p w:rsidR="00822E34" w:rsidRPr="00A7506A" w:rsidRDefault="00191CB2" w:rsidP="00822E34">
      <w:pPr>
        <w:pStyle w:val="Normlnywebov"/>
        <w:spacing w:before="0" w:beforeAutospacing="0" w:after="0" w:afterAutospacing="0"/>
        <w:ind w:left="1276" w:hanging="283"/>
        <w:jc w:val="both"/>
        <w:rPr>
          <w:i/>
        </w:rPr>
      </w:pPr>
      <w:r>
        <w:rPr>
          <w:i/>
        </w:rPr>
        <w:tab/>
      </w:r>
    </w:p>
    <w:p w:rsidR="00D618FC" w:rsidRPr="00A7506A" w:rsidRDefault="00551CDC" w:rsidP="00D618FC">
      <w:pPr>
        <w:pStyle w:val="Normlnywebov"/>
        <w:spacing w:before="0" w:beforeAutospacing="0" w:after="0" w:afterAutospacing="0"/>
        <w:ind w:firstLine="426"/>
      </w:pPr>
      <w:r>
        <w:t>5</w:t>
      </w:r>
      <w:r w:rsidR="00D618FC" w:rsidRPr="00A7506A">
        <w:t xml:space="preserve">. </w:t>
      </w:r>
      <w:r w:rsidR="00D618FC" w:rsidRPr="00A7506A">
        <w:rPr>
          <w:b/>
          <w:bCs/>
        </w:rPr>
        <w:t>Záväzky Slovenskej republiky vo vzťahu k Európskej únii</w:t>
      </w:r>
      <w:r w:rsidR="00D618FC" w:rsidRPr="00A7506A">
        <w:t xml:space="preserve">: </w:t>
      </w:r>
    </w:p>
    <w:p w:rsidR="00495D9D" w:rsidRDefault="00D618FC" w:rsidP="00822E34">
      <w:pPr>
        <w:pStyle w:val="Normlnywebov"/>
        <w:spacing w:before="120" w:beforeAutospacing="0" w:after="0" w:afterAutospacing="0"/>
        <w:ind w:left="1276" w:hanging="284"/>
        <w:jc w:val="both"/>
      </w:pPr>
      <w:r w:rsidRPr="00A7506A">
        <w:t>a) uviesť lehotu na prebranie príslušného právneho aktu Európskej únie, príp. aj</w:t>
      </w:r>
      <w:r w:rsidR="00F72E88">
        <w:t> </w:t>
      </w:r>
      <w:r w:rsidRPr="00A7506A">
        <w:t xml:space="preserve">osobitnú lehotu účinnosti jeho ustanovení, </w:t>
      </w:r>
    </w:p>
    <w:p w:rsidR="008144EB" w:rsidRPr="00A7506A" w:rsidRDefault="008144EB" w:rsidP="00822E34">
      <w:pPr>
        <w:pStyle w:val="Normlnywebov"/>
        <w:spacing w:before="120" w:beforeAutospacing="0" w:after="0" w:afterAutospacing="0"/>
        <w:ind w:left="1276" w:hanging="284"/>
        <w:jc w:val="both"/>
      </w:pPr>
    </w:p>
    <w:p w:rsidR="00D618FC" w:rsidRDefault="008144EB" w:rsidP="00D618FC">
      <w:pPr>
        <w:pStyle w:val="Normlnywebov"/>
        <w:spacing w:before="0" w:beforeAutospacing="0" w:after="0" w:afterAutospacing="0"/>
        <w:ind w:left="1276"/>
        <w:jc w:val="both"/>
        <w:rPr>
          <w:rStyle w:val="awspan"/>
          <w:i/>
          <w:color w:val="000000"/>
        </w:rPr>
      </w:pPr>
      <w:r w:rsidRPr="008144EB">
        <w:rPr>
          <w:rStyle w:val="awspan"/>
          <w:i/>
          <w:color w:val="000000"/>
        </w:rPr>
        <w:t>Smernica</w:t>
      </w:r>
      <w:r w:rsidRPr="008144EB">
        <w:rPr>
          <w:rStyle w:val="awspan"/>
          <w:i/>
          <w:color w:val="000000"/>
          <w:spacing w:val="10"/>
        </w:rPr>
        <w:t xml:space="preserve"> </w:t>
      </w:r>
      <w:r w:rsidRPr="008144EB">
        <w:rPr>
          <w:rStyle w:val="awspan"/>
          <w:i/>
          <w:color w:val="000000"/>
        </w:rPr>
        <w:t>Európskeho parlamentu a</w:t>
      </w:r>
      <w:r w:rsidRPr="008144EB">
        <w:rPr>
          <w:rStyle w:val="awspan"/>
          <w:i/>
          <w:color w:val="000000"/>
          <w:spacing w:val="10"/>
        </w:rPr>
        <w:t xml:space="preserve"> </w:t>
      </w:r>
      <w:r w:rsidRPr="008144EB">
        <w:rPr>
          <w:rStyle w:val="awspan"/>
          <w:i/>
          <w:color w:val="000000"/>
        </w:rPr>
        <w:t>Rady</w:t>
      </w:r>
      <w:r w:rsidRPr="008144EB">
        <w:rPr>
          <w:rStyle w:val="awspan"/>
          <w:i/>
          <w:color w:val="000000"/>
          <w:spacing w:val="10"/>
        </w:rPr>
        <w:t xml:space="preserve"> </w:t>
      </w:r>
      <w:r w:rsidRPr="008144EB">
        <w:rPr>
          <w:rStyle w:val="awspan"/>
          <w:i/>
          <w:color w:val="000000"/>
        </w:rPr>
        <w:t>2013/29/EÚ – 30. 6. 2015</w:t>
      </w:r>
    </w:p>
    <w:p w:rsidR="008144EB" w:rsidRPr="008144EB" w:rsidRDefault="008144EB" w:rsidP="00D618FC">
      <w:pPr>
        <w:pStyle w:val="Normlnywebov"/>
        <w:spacing w:before="0" w:beforeAutospacing="0" w:after="0" w:afterAutospacing="0"/>
        <w:ind w:left="1276"/>
        <w:jc w:val="both"/>
        <w:rPr>
          <w:i/>
        </w:rPr>
      </w:pPr>
    </w:p>
    <w:p w:rsidR="00D618FC" w:rsidRPr="00A7506A" w:rsidRDefault="00D618FC" w:rsidP="00D618FC">
      <w:pPr>
        <w:pStyle w:val="Normlnywebov"/>
        <w:spacing w:before="0" w:beforeAutospacing="0" w:after="0" w:afterAutospacing="0"/>
        <w:ind w:left="1276" w:hanging="283"/>
        <w:jc w:val="both"/>
      </w:pPr>
      <w:r w:rsidRPr="00A7506A">
        <w:t>b) uviesť informáciu o začatí konania v rámci „EÚ Pilot“ alebo o začatí postupu Európskej komisie, alebo o konaní Súdneho dvora Európskej únie proti Slovenskej republike podľa čl. 258 a 260 Zmluvy o fungovaní Európskej únie v</w:t>
      </w:r>
      <w:r w:rsidR="00F72E88">
        <w:t> </w:t>
      </w:r>
      <w:r w:rsidRPr="00A7506A">
        <w:t>jej platnom znení, spolu s uvedením konkrétnych vytýkaných nedostatkov a</w:t>
      </w:r>
      <w:r w:rsidR="00F72E88">
        <w:t> </w:t>
      </w:r>
      <w:r w:rsidRPr="00A7506A">
        <w:t xml:space="preserve">požiadaviek na zabezpečenie nápravy so zreteľom na nariadenie Európskeho parlamentu a Rady (ES) č. 1049/2001 z 30. mája 2001 o prístupe verejnosti k dokumentom Európskeho parlamentu, Rady a Komisie, </w:t>
      </w:r>
    </w:p>
    <w:p w:rsidR="0030677A" w:rsidRDefault="00D618FC" w:rsidP="00B11297">
      <w:pPr>
        <w:pStyle w:val="Normlnywebov"/>
        <w:spacing w:before="0" w:beforeAutospacing="0" w:after="0" w:afterAutospacing="0"/>
        <w:ind w:left="1276" w:hanging="283"/>
        <w:jc w:val="both"/>
      </w:pPr>
      <w:r w:rsidRPr="00A7506A">
        <w:tab/>
      </w:r>
    </w:p>
    <w:p w:rsidR="006C37C2" w:rsidRDefault="001A24B2" w:rsidP="0030677A">
      <w:pPr>
        <w:pStyle w:val="Normlnywebov"/>
        <w:spacing w:before="0" w:beforeAutospacing="0" w:after="0" w:afterAutospacing="0"/>
        <w:ind w:left="1276"/>
        <w:jc w:val="both"/>
        <w:rPr>
          <w:i/>
        </w:rPr>
      </w:pPr>
      <w:r>
        <w:rPr>
          <w:i/>
        </w:rPr>
        <w:t>Neprebiehajú žiadne konania proti Slovenskej republike o porušení podľa čl. 258 a 260 Zmluvy o fungovaní Európskej únie</w:t>
      </w:r>
    </w:p>
    <w:p w:rsidR="0030677A" w:rsidRDefault="0030677A" w:rsidP="0030677A">
      <w:pPr>
        <w:pStyle w:val="Normlnywebov"/>
        <w:spacing w:before="0" w:beforeAutospacing="0" w:after="0" w:afterAutospacing="0"/>
        <w:ind w:left="1276"/>
        <w:jc w:val="both"/>
        <w:rPr>
          <w:i/>
        </w:rPr>
      </w:pPr>
    </w:p>
    <w:p w:rsidR="00D618FC" w:rsidRDefault="00D618FC" w:rsidP="00B11297">
      <w:pPr>
        <w:pStyle w:val="Normlnywebov"/>
        <w:spacing w:before="0" w:beforeAutospacing="0" w:after="0" w:afterAutospacing="0"/>
        <w:ind w:left="1276" w:hanging="283"/>
        <w:jc w:val="both"/>
      </w:pPr>
      <w:r w:rsidRPr="00A7506A">
        <w:lastRenderedPageBreak/>
        <w:t xml:space="preserve">c) uviesť informáciu o právnych predpisoch, v ktorých sú uvádzané právne akty Európskej únie už prebrané, spolu s uvedením rozsahu ich prebrania, príp. </w:t>
      </w:r>
      <w:r w:rsidR="006C37C2">
        <w:t>potreby prijatia ďalších úprav</w:t>
      </w:r>
    </w:p>
    <w:p w:rsidR="003A3286" w:rsidRDefault="003A3286" w:rsidP="00D618FC">
      <w:pPr>
        <w:pStyle w:val="Normlnywebov"/>
        <w:spacing w:before="0" w:beforeAutospacing="0" w:after="0" w:afterAutospacing="0"/>
        <w:ind w:left="1276" w:hanging="283"/>
        <w:jc w:val="both"/>
      </w:pPr>
    </w:p>
    <w:p w:rsidR="003A3286" w:rsidRDefault="003A3286" w:rsidP="00822E34">
      <w:pPr>
        <w:pStyle w:val="Normlnywebov"/>
        <w:keepNext/>
        <w:spacing w:before="0" w:beforeAutospacing="0" w:after="0" w:afterAutospacing="0"/>
        <w:ind w:left="1276" w:hanging="283"/>
        <w:jc w:val="both"/>
        <w:rPr>
          <w:b/>
          <w:bCs/>
          <w:i/>
          <w:iCs/>
        </w:rPr>
      </w:pPr>
      <w:r>
        <w:tab/>
      </w:r>
      <w:r w:rsidRPr="003A3286">
        <w:rPr>
          <w:b/>
          <w:bCs/>
          <w:i/>
          <w:iCs/>
        </w:rPr>
        <w:t xml:space="preserve">Smernica </w:t>
      </w:r>
      <w:r w:rsidR="003405BD">
        <w:rPr>
          <w:b/>
          <w:bCs/>
          <w:i/>
          <w:iCs/>
        </w:rPr>
        <w:t>2013/29/EÚ</w:t>
      </w:r>
    </w:p>
    <w:p w:rsidR="003405BD" w:rsidRDefault="003405BD" w:rsidP="003405BD">
      <w:pPr>
        <w:pStyle w:val="Normlnywebov"/>
        <w:keepNext/>
        <w:numPr>
          <w:ilvl w:val="0"/>
          <w:numId w:val="5"/>
        </w:numPr>
        <w:spacing w:after="0" w:afterAutospacing="0"/>
        <w:jc w:val="both"/>
      </w:pPr>
      <w:r>
        <w:t xml:space="preserve">Zákon č. 70/2015 Z. z. </w:t>
      </w:r>
      <w:r w:rsidRPr="003405BD">
        <w:t>o sprístupňovaní pyrotechnických výrobkov na trhu</w:t>
      </w:r>
      <w:r>
        <w:t xml:space="preserve"> v znení zákona č. 326/2019 Z. z </w:t>
      </w:r>
    </w:p>
    <w:p w:rsidR="003A3286" w:rsidRDefault="003A3286" w:rsidP="003405BD">
      <w:pPr>
        <w:pStyle w:val="Normlnywebov"/>
        <w:keepNext/>
        <w:numPr>
          <w:ilvl w:val="0"/>
          <w:numId w:val="5"/>
        </w:numPr>
        <w:spacing w:after="0" w:afterAutospacing="0"/>
        <w:jc w:val="both"/>
      </w:pPr>
      <w:r w:rsidRPr="003A3286">
        <w:t xml:space="preserve">Zákon č. </w:t>
      </w:r>
      <w:r w:rsidR="003405BD">
        <w:t>58/2018</w:t>
      </w:r>
      <w:r w:rsidRPr="003A3286">
        <w:t xml:space="preserve"> Z. z. </w:t>
      </w:r>
      <w:r w:rsidR="003405BD" w:rsidRPr="003405BD">
        <w:t>o posudzovaní zhody výrobku, sprístupňovaní určeného výrobku na trhu a o zmene a doplnení niektorých zákonov</w:t>
      </w:r>
      <w:r w:rsidR="003405BD">
        <w:t xml:space="preserve"> v znení neskorších predpisov</w:t>
      </w:r>
    </w:p>
    <w:p w:rsidR="00D618FC" w:rsidRDefault="00D618FC" w:rsidP="00D618FC">
      <w:pPr>
        <w:pStyle w:val="Normlnywebov"/>
        <w:spacing w:before="0" w:beforeAutospacing="0" w:after="0" w:afterAutospacing="0"/>
        <w:ind w:left="1560"/>
        <w:jc w:val="both"/>
      </w:pPr>
    </w:p>
    <w:p w:rsidR="000C606D" w:rsidRDefault="00551CDC" w:rsidP="000C606D">
      <w:pPr>
        <w:pStyle w:val="Normlnywebov"/>
        <w:spacing w:before="0" w:beforeAutospacing="0" w:after="0" w:afterAutospacing="0"/>
        <w:ind w:firstLine="426"/>
      </w:pPr>
      <w:r>
        <w:t>6</w:t>
      </w:r>
      <w:r w:rsidR="00D618FC" w:rsidRPr="008A05B6">
        <w:t>.</w:t>
      </w:r>
      <w:r w:rsidR="00D618FC" w:rsidRPr="00A7506A">
        <w:t xml:space="preserve"> </w:t>
      </w:r>
      <w:r w:rsidR="00D618FC" w:rsidRPr="00A7506A">
        <w:rPr>
          <w:b/>
          <w:bCs/>
        </w:rPr>
        <w:t>Návrh zákona je zlučiteľný s právom Európskej únie</w:t>
      </w:r>
      <w:r w:rsidR="00D618FC" w:rsidRPr="00A7506A">
        <w:t xml:space="preserve">: </w:t>
      </w:r>
    </w:p>
    <w:p w:rsidR="000C606D" w:rsidRDefault="000C606D" w:rsidP="000C606D">
      <w:pPr>
        <w:pStyle w:val="Normlnywebov"/>
        <w:spacing w:before="0" w:beforeAutospacing="0" w:after="0" w:afterAutospacing="0"/>
        <w:ind w:firstLine="426"/>
      </w:pPr>
      <w:r>
        <w:t xml:space="preserve">    </w:t>
      </w:r>
    </w:p>
    <w:p w:rsidR="00D618FC" w:rsidRDefault="000C606D" w:rsidP="000C606D">
      <w:pPr>
        <w:pStyle w:val="Normlnywebov"/>
        <w:spacing w:before="0" w:beforeAutospacing="0" w:after="0" w:afterAutospacing="0"/>
        <w:ind w:firstLine="426"/>
      </w:pPr>
      <w:r>
        <w:t xml:space="preserve">    </w:t>
      </w:r>
      <w:r w:rsidR="0089186B">
        <w:rPr>
          <w:i/>
        </w:rPr>
        <w:t>úplný</w:t>
      </w:r>
    </w:p>
    <w:p w:rsidR="007A5BEC" w:rsidRDefault="007A5BEC"/>
    <w:sectPr w:rsidR="007A5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1CC" w:rsidRDefault="00D671CC" w:rsidP="00E905C0">
      <w:pPr>
        <w:spacing w:after="0" w:line="240" w:lineRule="auto"/>
      </w:pPr>
      <w:r>
        <w:separator/>
      </w:r>
    </w:p>
  </w:endnote>
  <w:endnote w:type="continuationSeparator" w:id="0">
    <w:p w:rsidR="00D671CC" w:rsidRDefault="00D671CC" w:rsidP="00E90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1CC" w:rsidRDefault="00D671CC" w:rsidP="00E905C0">
      <w:pPr>
        <w:spacing w:after="0" w:line="240" w:lineRule="auto"/>
      </w:pPr>
      <w:r>
        <w:separator/>
      </w:r>
    </w:p>
  </w:footnote>
  <w:footnote w:type="continuationSeparator" w:id="0">
    <w:p w:rsidR="00D671CC" w:rsidRDefault="00D671CC" w:rsidP="00E90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4166C"/>
    <w:multiLevelType w:val="hybridMultilevel"/>
    <w:tmpl w:val="C486D01E"/>
    <w:lvl w:ilvl="0" w:tplc="041B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" w15:restartNumberingAfterBreak="0">
    <w:nsid w:val="186B6583"/>
    <w:multiLevelType w:val="hybridMultilevel"/>
    <w:tmpl w:val="5FCA3CE4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2A693F56"/>
    <w:multiLevelType w:val="hybridMultilevel"/>
    <w:tmpl w:val="DA4C3BC4"/>
    <w:lvl w:ilvl="0" w:tplc="4EA0BD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1D25F5"/>
    <w:multiLevelType w:val="hybridMultilevel"/>
    <w:tmpl w:val="DEA2ABF0"/>
    <w:lvl w:ilvl="0" w:tplc="041B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2C200522"/>
    <w:multiLevelType w:val="hybridMultilevel"/>
    <w:tmpl w:val="4E98B720"/>
    <w:lvl w:ilvl="0" w:tplc="F7B207B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D682DD7"/>
    <w:multiLevelType w:val="hybridMultilevel"/>
    <w:tmpl w:val="946A2C16"/>
    <w:lvl w:ilvl="0" w:tplc="041B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380B40AE"/>
    <w:multiLevelType w:val="hybridMultilevel"/>
    <w:tmpl w:val="1D34DD2C"/>
    <w:lvl w:ilvl="0" w:tplc="041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 w15:restartNumberingAfterBreak="0">
    <w:nsid w:val="46F86A6E"/>
    <w:multiLevelType w:val="hybridMultilevel"/>
    <w:tmpl w:val="B6B01CE4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4B117ED0"/>
    <w:multiLevelType w:val="hybridMultilevel"/>
    <w:tmpl w:val="9082758C"/>
    <w:lvl w:ilvl="0" w:tplc="041B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4BB93AC4"/>
    <w:multiLevelType w:val="hybridMultilevel"/>
    <w:tmpl w:val="0B56423E"/>
    <w:lvl w:ilvl="0" w:tplc="041B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4C63438B"/>
    <w:multiLevelType w:val="hybridMultilevel"/>
    <w:tmpl w:val="C3C632F0"/>
    <w:lvl w:ilvl="0" w:tplc="041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 w15:restartNumberingAfterBreak="0">
    <w:nsid w:val="66715503"/>
    <w:multiLevelType w:val="hybridMultilevel"/>
    <w:tmpl w:val="F454F702"/>
    <w:lvl w:ilvl="0" w:tplc="0C4AAFBA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2" w:hanging="360"/>
      </w:pPr>
    </w:lvl>
    <w:lvl w:ilvl="2" w:tplc="041B001B" w:tentative="1">
      <w:start w:val="1"/>
      <w:numFmt w:val="lowerRoman"/>
      <w:lvlText w:val="%3."/>
      <w:lvlJc w:val="right"/>
      <w:pPr>
        <w:ind w:left="2792" w:hanging="180"/>
      </w:pPr>
    </w:lvl>
    <w:lvl w:ilvl="3" w:tplc="041B000F" w:tentative="1">
      <w:start w:val="1"/>
      <w:numFmt w:val="decimal"/>
      <w:lvlText w:val="%4."/>
      <w:lvlJc w:val="left"/>
      <w:pPr>
        <w:ind w:left="3512" w:hanging="360"/>
      </w:pPr>
    </w:lvl>
    <w:lvl w:ilvl="4" w:tplc="041B0019" w:tentative="1">
      <w:start w:val="1"/>
      <w:numFmt w:val="lowerLetter"/>
      <w:lvlText w:val="%5."/>
      <w:lvlJc w:val="left"/>
      <w:pPr>
        <w:ind w:left="4232" w:hanging="360"/>
      </w:pPr>
    </w:lvl>
    <w:lvl w:ilvl="5" w:tplc="041B001B" w:tentative="1">
      <w:start w:val="1"/>
      <w:numFmt w:val="lowerRoman"/>
      <w:lvlText w:val="%6."/>
      <w:lvlJc w:val="right"/>
      <w:pPr>
        <w:ind w:left="4952" w:hanging="180"/>
      </w:pPr>
    </w:lvl>
    <w:lvl w:ilvl="6" w:tplc="041B000F" w:tentative="1">
      <w:start w:val="1"/>
      <w:numFmt w:val="decimal"/>
      <w:lvlText w:val="%7."/>
      <w:lvlJc w:val="left"/>
      <w:pPr>
        <w:ind w:left="5672" w:hanging="360"/>
      </w:pPr>
    </w:lvl>
    <w:lvl w:ilvl="7" w:tplc="041B0019" w:tentative="1">
      <w:start w:val="1"/>
      <w:numFmt w:val="lowerLetter"/>
      <w:lvlText w:val="%8."/>
      <w:lvlJc w:val="left"/>
      <w:pPr>
        <w:ind w:left="6392" w:hanging="360"/>
      </w:pPr>
    </w:lvl>
    <w:lvl w:ilvl="8" w:tplc="041B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8"/>
  </w:num>
  <w:num w:numId="9">
    <w:abstractNumId w:val="3"/>
  </w:num>
  <w:num w:numId="10">
    <w:abstractNumId w:val="7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FC"/>
    <w:rsid w:val="00004EBC"/>
    <w:rsid w:val="000449E7"/>
    <w:rsid w:val="000708D0"/>
    <w:rsid w:val="000C606D"/>
    <w:rsid w:val="001155F9"/>
    <w:rsid w:val="00172B2C"/>
    <w:rsid w:val="00191CB2"/>
    <w:rsid w:val="001A24B2"/>
    <w:rsid w:val="001A4AAE"/>
    <w:rsid w:val="001D26D3"/>
    <w:rsid w:val="002244A4"/>
    <w:rsid w:val="00270030"/>
    <w:rsid w:val="0030677A"/>
    <w:rsid w:val="00321340"/>
    <w:rsid w:val="00324AE1"/>
    <w:rsid w:val="003405BD"/>
    <w:rsid w:val="003935E0"/>
    <w:rsid w:val="003A3286"/>
    <w:rsid w:val="003E51C1"/>
    <w:rsid w:val="003E75BD"/>
    <w:rsid w:val="00495D9D"/>
    <w:rsid w:val="004C7937"/>
    <w:rsid w:val="0050129E"/>
    <w:rsid w:val="00551CDC"/>
    <w:rsid w:val="00577777"/>
    <w:rsid w:val="00580EE3"/>
    <w:rsid w:val="005B725A"/>
    <w:rsid w:val="005C664A"/>
    <w:rsid w:val="00604AC6"/>
    <w:rsid w:val="00677CA6"/>
    <w:rsid w:val="0068282B"/>
    <w:rsid w:val="006C37C2"/>
    <w:rsid w:val="007031FA"/>
    <w:rsid w:val="00765AD5"/>
    <w:rsid w:val="007A5BEC"/>
    <w:rsid w:val="007D1A40"/>
    <w:rsid w:val="007E17ED"/>
    <w:rsid w:val="008144EB"/>
    <w:rsid w:val="008167CA"/>
    <w:rsid w:val="00822E34"/>
    <w:rsid w:val="00852DAF"/>
    <w:rsid w:val="008753B7"/>
    <w:rsid w:val="0089186B"/>
    <w:rsid w:val="008A05B6"/>
    <w:rsid w:val="008E70AA"/>
    <w:rsid w:val="00930F37"/>
    <w:rsid w:val="009413BA"/>
    <w:rsid w:val="0094370D"/>
    <w:rsid w:val="00945539"/>
    <w:rsid w:val="00951709"/>
    <w:rsid w:val="00960350"/>
    <w:rsid w:val="00974253"/>
    <w:rsid w:val="009808D2"/>
    <w:rsid w:val="00A81593"/>
    <w:rsid w:val="00AA0CCB"/>
    <w:rsid w:val="00AC169F"/>
    <w:rsid w:val="00AC1F15"/>
    <w:rsid w:val="00B11297"/>
    <w:rsid w:val="00B63F0F"/>
    <w:rsid w:val="00BA154E"/>
    <w:rsid w:val="00C2207B"/>
    <w:rsid w:val="00C42CEB"/>
    <w:rsid w:val="00C8079F"/>
    <w:rsid w:val="00CA45B8"/>
    <w:rsid w:val="00CC0065"/>
    <w:rsid w:val="00CE1C29"/>
    <w:rsid w:val="00D209F0"/>
    <w:rsid w:val="00D521CB"/>
    <w:rsid w:val="00D618FC"/>
    <w:rsid w:val="00D671CC"/>
    <w:rsid w:val="00D84FAA"/>
    <w:rsid w:val="00DE0066"/>
    <w:rsid w:val="00E15259"/>
    <w:rsid w:val="00E23F7B"/>
    <w:rsid w:val="00E336FC"/>
    <w:rsid w:val="00E524CD"/>
    <w:rsid w:val="00E61E1C"/>
    <w:rsid w:val="00E905C0"/>
    <w:rsid w:val="00EB3D9A"/>
    <w:rsid w:val="00EF29BC"/>
    <w:rsid w:val="00F05A0D"/>
    <w:rsid w:val="00F20635"/>
    <w:rsid w:val="00F31236"/>
    <w:rsid w:val="00F72E88"/>
    <w:rsid w:val="00FE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D6B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D61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618FC"/>
    <w:pPr>
      <w:spacing w:line="256" w:lineRule="auto"/>
      <w:ind w:left="720"/>
      <w:contextualSpacing/>
    </w:pPr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0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0E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80EE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80EE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80EE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80EE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80EE3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E90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905C0"/>
  </w:style>
  <w:style w:type="paragraph" w:styleId="Pta">
    <w:name w:val="footer"/>
    <w:basedOn w:val="Normlny"/>
    <w:link w:val="PtaChar"/>
    <w:uiPriority w:val="99"/>
    <w:unhideWhenUsed/>
    <w:rsid w:val="00E90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905C0"/>
  </w:style>
  <w:style w:type="character" w:customStyle="1" w:styleId="awspan">
    <w:name w:val="awspan"/>
    <w:basedOn w:val="Predvolenpsmoodseku"/>
    <w:rsid w:val="00814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6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_dolozka-zlucitelnosti"/>
    <f:field ref="objsubject" par="" edit="true" text=""/>
    <f:field ref="objcreatedby" par="" text="Hanáková, Michaela"/>
    <f:field ref="objcreatedat" par="" text="30.8.2022 13:15:19"/>
    <f:field ref="objchangedby" par="" text="Administrator, System"/>
    <f:field ref="objmodifiedat" par="" text="30.8.2022 13:15:1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2023-03-20T08:26:00Z</dcterms:created>
  <dcterms:modified xsi:type="dcterms:W3CDTF">2023-03-21T12:22:00Z</dcterms:modified>
</cp:coreProperties>
</file>