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67350" w14:textId="0C5DCC01" w:rsidR="00C11409" w:rsidRPr="00F32790" w:rsidRDefault="001244EF" w:rsidP="0096365C">
      <w:pPr>
        <w:pStyle w:val="Nadpis1"/>
        <w:rPr>
          <w:rFonts w:cs="Times New Roman"/>
          <w:iCs/>
          <w:color w:val="000000" w:themeColor="text1"/>
          <w:szCs w:val="24"/>
        </w:rPr>
      </w:pPr>
      <w:r w:rsidRPr="00F32790">
        <w:rPr>
          <w:rFonts w:cs="Times New Roman"/>
          <w:color w:val="000000" w:themeColor="text1"/>
          <w:szCs w:val="24"/>
        </w:rPr>
        <w:t xml:space="preserve">Výročná správa o členstve Slovenskej republiky v Európskej únii za rok </w:t>
      </w:r>
      <w:r w:rsidRPr="00F32790">
        <w:rPr>
          <w:rFonts w:cs="Times New Roman"/>
          <w:iCs/>
          <w:color w:val="000000" w:themeColor="text1"/>
          <w:szCs w:val="24"/>
        </w:rPr>
        <w:t>202</w:t>
      </w:r>
      <w:r w:rsidR="00367EA0" w:rsidRPr="00F32790">
        <w:rPr>
          <w:rFonts w:cs="Times New Roman"/>
          <w:iCs/>
          <w:color w:val="000000" w:themeColor="text1"/>
          <w:szCs w:val="24"/>
        </w:rPr>
        <w:t>2</w:t>
      </w:r>
    </w:p>
    <w:p w14:paraId="5792AC70" w14:textId="77777777" w:rsidR="00C11409" w:rsidRPr="00F32790" w:rsidRDefault="00C11409" w:rsidP="0014735C">
      <w:pPr>
        <w:spacing w:after="0" w:line="240" w:lineRule="auto"/>
        <w:ind w:firstLine="6"/>
        <w:jc w:val="left"/>
        <w:rPr>
          <w:rFonts w:cs="Times New Roman"/>
          <w:b/>
          <w:iCs/>
          <w:color w:val="000000" w:themeColor="text1"/>
          <w:szCs w:val="24"/>
        </w:rPr>
      </w:pPr>
    </w:p>
    <w:p w14:paraId="7B1ED7E9" w14:textId="77D5219C" w:rsidR="003B0629" w:rsidRPr="00F32790" w:rsidRDefault="003B0629" w:rsidP="0014735C">
      <w:pPr>
        <w:pStyle w:val="Nadpis1"/>
        <w:jc w:val="both"/>
        <w:rPr>
          <w:rFonts w:cs="Times New Roman"/>
          <w:b w:val="0"/>
          <w:color w:val="auto"/>
          <w:szCs w:val="24"/>
        </w:rPr>
      </w:pPr>
      <w:bookmarkStart w:id="0" w:name="_Toc62221915"/>
      <w:bookmarkStart w:id="1" w:name="_Toc62224812"/>
      <w:bookmarkStart w:id="2" w:name="_Toc530747459"/>
      <w:bookmarkStart w:id="3" w:name="_Toc530747457"/>
      <w:bookmarkStart w:id="4" w:name="_Toc473883130"/>
      <w:r w:rsidRPr="00F32790">
        <w:rPr>
          <w:rFonts w:cs="Times New Roman"/>
          <w:color w:val="auto"/>
          <w:szCs w:val="24"/>
        </w:rPr>
        <w:t xml:space="preserve">1. </w:t>
      </w:r>
      <w:r w:rsidR="0053161C" w:rsidRPr="00F32790">
        <w:rPr>
          <w:rFonts w:cs="Times New Roman"/>
          <w:color w:val="auto"/>
          <w:szCs w:val="24"/>
        </w:rPr>
        <w:t>Zhrnutie</w:t>
      </w:r>
    </w:p>
    <w:p w14:paraId="694DFB94" w14:textId="77777777" w:rsidR="003B0629" w:rsidRPr="00F32790" w:rsidRDefault="003B0629" w:rsidP="0014735C">
      <w:pPr>
        <w:spacing w:after="0" w:line="240" w:lineRule="auto"/>
        <w:rPr>
          <w:rFonts w:cs="Times New Roman"/>
          <w:color w:val="auto"/>
          <w:szCs w:val="24"/>
        </w:rPr>
      </w:pPr>
    </w:p>
    <w:p w14:paraId="678A2935" w14:textId="4C63E2C3" w:rsidR="004C5F26" w:rsidRPr="00F32790" w:rsidRDefault="003B0629" w:rsidP="001734FE">
      <w:pPr>
        <w:spacing w:after="0" w:line="240" w:lineRule="auto"/>
        <w:rPr>
          <w:rFonts w:cs="Times New Roman"/>
          <w:szCs w:val="24"/>
        </w:rPr>
      </w:pPr>
      <w:r w:rsidRPr="00F32790">
        <w:rPr>
          <w:rFonts w:cs="Times New Roman"/>
          <w:color w:val="auto"/>
          <w:szCs w:val="24"/>
        </w:rPr>
        <w:t>Európska komisia (ďalej „EK“) si na svoje funkčné obdobie 2019</w:t>
      </w:r>
      <w:r w:rsidR="001A270F" w:rsidRPr="00F32790">
        <w:rPr>
          <w:rFonts w:cs="Times New Roman"/>
          <w:color w:val="auto"/>
          <w:szCs w:val="24"/>
        </w:rPr>
        <w:t> – </w:t>
      </w:r>
      <w:r w:rsidRPr="00F32790">
        <w:rPr>
          <w:rFonts w:cs="Times New Roman"/>
          <w:color w:val="auto"/>
          <w:szCs w:val="24"/>
        </w:rPr>
        <w:t>2024 nastavila strategický program rozčlenený do 6 politických prioritných oblastí.</w:t>
      </w:r>
      <w:r w:rsidR="00AF52AE">
        <w:rPr>
          <w:rFonts w:cs="Times New Roman"/>
          <w:color w:val="auto"/>
          <w:szCs w:val="24"/>
        </w:rPr>
        <w:t xml:space="preserve"> </w:t>
      </w:r>
      <w:r w:rsidR="000B4F2A" w:rsidRPr="00AF52AE">
        <w:rPr>
          <w:rFonts w:cs="Times New Roman"/>
          <w:b/>
          <w:szCs w:val="24"/>
        </w:rPr>
        <w:t>Ruská agresia voči Ukrajine</w:t>
      </w:r>
      <w:r w:rsidR="000B4F2A" w:rsidRPr="00AF52AE">
        <w:rPr>
          <w:rFonts w:cs="Times New Roman"/>
          <w:szCs w:val="24"/>
        </w:rPr>
        <w:t xml:space="preserve"> zásadným spôsobom zmenila </w:t>
      </w:r>
      <w:r w:rsidR="008E7595" w:rsidRPr="00AF52AE">
        <w:rPr>
          <w:rFonts w:cs="Times New Roman"/>
          <w:szCs w:val="24"/>
        </w:rPr>
        <w:t>všetko v Európe: od geopolitiky, cez</w:t>
      </w:r>
      <w:r w:rsidR="008E7595" w:rsidRPr="00F32790">
        <w:rPr>
          <w:rFonts w:cs="Times New Roman"/>
          <w:szCs w:val="24"/>
        </w:rPr>
        <w:t xml:space="preserve"> bezpečnostné prostredie, až po ekonomiku a energetiku. </w:t>
      </w:r>
      <w:r w:rsidR="00103608" w:rsidRPr="00F32790">
        <w:rPr>
          <w:rFonts w:cs="Times New Roman"/>
          <w:szCs w:val="24"/>
        </w:rPr>
        <w:t xml:space="preserve">Rovnako ako pri pandémii, aj v súčasnej kombinácii kríz, ktorej čelíme, vystupuje do popredia </w:t>
      </w:r>
      <w:r w:rsidR="00103608" w:rsidRPr="00F32790">
        <w:rPr>
          <w:rFonts w:cs="Times New Roman"/>
          <w:bCs/>
          <w:szCs w:val="24"/>
        </w:rPr>
        <w:t xml:space="preserve">nutnosť zachovania jednoty </w:t>
      </w:r>
      <w:r w:rsidR="00925F8B" w:rsidRPr="00F32790">
        <w:rPr>
          <w:rFonts w:cs="Times New Roman"/>
          <w:bCs/>
          <w:szCs w:val="24"/>
        </w:rPr>
        <w:t>Európskej únie (ďalej „</w:t>
      </w:r>
      <w:r w:rsidR="00103608" w:rsidRPr="00F32790">
        <w:rPr>
          <w:rFonts w:cs="Times New Roman"/>
          <w:bCs/>
          <w:szCs w:val="24"/>
        </w:rPr>
        <w:t>EÚ</w:t>
      </w:r>
      <w:r w:rsidR="00925F8B" w:rsidRPr="00F32790">
        <w:rPr>
          <w:rFonts w:cs="Times New Roman"/>
          <w:bCs/>
          <w:szCs w:val="24"/>
        </w:rPr>
        <w:t>“)</w:t>
      </w:r>
      <w:r w:rsidR="00103608" w:rsidRPr="00F32790">
        <w:rPr>
          <w:rFonts w:cs="Times New Roman"/>
          <w:b/>
          <w:bCs/>
          <w:szCs w:val="24"/>
        </w:rPr>
        <w:t xml:space="preserve"> </w:t>
      </w:r>
      <w:r w:rsidR="00103608" w:rsidRPr="00F32790">
        <w:rPr>
          <w:rFonts w:cs="Times New Roman"/>
          <w:bCs/>
          <w:szCs w:val="24"/>
        </w:rPr>
        <w:t>a potreba spolupráce s kľúčovými partnermi vo svete</w:t>
      </w:r>
      <w:r w:rsidR="00103608" w:rsidRPr="00F32790">
        <w:rPr>
          <w:rFonts w:cs="Times New Roman"/>
          <w:szCs w:val="24"/>
        </w:rPr>
        <w:t>.</w:t>
      </w:r>
      <w:r w:rsidR="00672DE4" w:rsidRPr="00F32790">
        <w:rPr>
          <w:rFonts w:cs="Times New Roman"/>
          <w:szCs w:val="24"/>
        </w:rPr>
        <w:t xml:space="preserve"> Jednou z hlavných súčastí robustnej reakcie EÚ na ruskú agresiu bolo prijatie deviatich sankčných balíkov voči Rusku a Bielorusku.</w:t>
      </w:r>
    </w:p>
    <w:p w14:paraId="05437410" w14:textId="77777777" w:rsidR="004C5F26" w:rsidRPr="00F32790" w:rsidRDefault="004C5F26" w:rsidP="001734FE">
      <w:pPr>
        <w:spacing w:after="0" w:line="240" w:lineRule="auto"/>
        <w:rPr>
          <w:rFonts w:cs="Times New Roman"/>
          <w:szCs w:val="24"/>
        </w:rPr>
      </w:pPr>
    </w:p>
    <w:p w14:paraId="4BD146FA" w14:textId="0F6110D2" w:rsidR="00452CC4" w:rsidRPr="00AF52AE" w:rsidRDefault="004C5F26" w:rsidP="00452CC4">
      <w:pPr>
        <w:spacing w:after="0" w:line="240" w:lineRule="auto"/>
        <w:rPr>
          <w:rFonts w:cs="Times New Roman"/>
          <w:szCs w:val="24"/>
        </w:rPr>
      </w:pPr>
      <w:r w:rsidRPr="00F32790">
        <w:rPr>
          <w:rFonts w:cs="Times New Roman"/>
          <w:szCs w:val="24"/>
        </w:rPr>
        <w:t>S</w:t>
      </w:r>
      <w:r w:rsidR="00466408" w:rsidRPr="00F32790">
        <w:rPr>
          <w:rFonts w:cs="Times New Roman"/>
          <w:szCs w:val="24"/>
        </w:rPr>
        <w:t xml:space="preserve">lovenská republika (ďalej „SR“) </w:t>
      </w:r>
      <w:r w:rsidRPr="00F32790">
        <w:rPr>
          <w:rFonts w:cs="Times New Roman"/>
          <w:szCs w:val="24"/>
        </w:rPr>
        <w:t xml:space="preserve">už od začiatku ruskej invázie podporovala Ukrajinu, jej integračné ciele a počas rokovaní o asistencii EÚ vystupovala konštruktívne s cieľom nájsť celoeurópsku dohodu na modalitách pomoci Ukrajine. </w:t>
      </w:r>
      <w:r w:rsidR="008C1099">
        <w:rPr>
          <w:rFonts w:cs="Times New Roman"/>
          <w:szCs w:val="24"/>
        </w:rPr>
        <w:t>EÚ</w:t>
      </w:r>
      <w:r w:rsidRPr="00F32790">
        <w:rPr>
          <w:rFonts w:cs="Times New Roman"/>
          <w:szCs w:val="24"/>
        </w:rPr>
        <w:t xml:space="preserve"> sa angažovala v politickej </w:t>
      </w:r>
      <w:r w:rsidRPr="00F32790">
        <w:rPr>
          <w:rFonts w:cs="Times New Roman"/>
          <w:b/>
          <w:szCs w:val="24"/>
        </w:rPr>
        <w:t xml:space="preserve">podpore Ukrajine udelením </w:t>
      </w:r>
      <w:r w:rsidR="007C6D2D">
        <w:rPr>
          <w:rFonts w:cs="Times New Roman"/>
          <w:b/>
          <w:szCs w:val="24"/>
        </w:rPr>
        <w:t>štatútu kandidátskej krajiny</w:t>
      </w:r>
      <w:r w:rsidRPr="00F32790">
        <w:rPr>
          <w:rFonts w:cs="Times New Roman"/>
          <w:szCs w:val="24"/>
        </w:rPr>
        <w:t xml:space="preserve">. </w:t>
      </w:r>
      <w:r w:rsidR="007C6D2D">
        <w:rPr>
          <w:rFonts w:cs="Times New Roman"/>
          <w:szCs w:val="24"/>
        </w:rPr>
        <w:t>SR</w:t>
      </w:r>
      <w:r w:rsidRPr="00F32790">
        <w:rPr>
          <w:rFonts w:cs="Times New Roman"/>
          <w:szCs w:val="24"/>
        </w:rPr>
        <w:t xml:space="preserve"> sa v roku 2022 zaradila medzi najväčších </w:t>
      </w:r>
      <w:proofErr w:type="spellStart"/>
      <w:r w:rsidRPr="00F32790">
        <w:rPr>
          <w:rFonts w:cs="Times New Roman"/>
          <w:szCs w:val="24"/>
        </w:rPr>
        <w:t>donorov</w:t>
      </w:r>
      <w:proofErr w:type="spellEnd"/>
      <w:r w:rsidRPr="00F32790">
        <w:rPr>
          <w:rFonts w:cs="Times New Roman"/>
          <w:szCs w:val="24"/>
        </w:rPr>
        <w:t xml:space="preserve"> pomoci Ukrajine v prepočte na obyvateľa (v celosvetovom meradle podľa HDP na 8. mieste). </w:t>
      </w:r>
      <w:r w:rsidR="008E3DF0">
        <w:rPr>
          <w:rFonts w:cs="Times New Roman"/>
          <w:szCs w:val="24"/>
        </w:rPr>
        <w:t xml:space="preserve">SR poskytla Ukrajine vojenskú materiálnu pomoc v celkovej hodnote 168 mil. EUR. </w:t>
      </w:r>
      <w:r w:rsidRPr="00F32790">
        <w:rPr>
          <w:rFonts w:cs="Times New Roman"/>
          <w:szCs w:val="24"/>
        </w:rPr>
        <w:t xml:space="preserve">Celková suma oficiálnej humanitárnej pomoci SR pre Ukrajinu dosiahla za uplynulý rok </w:t>
      </w:r>
      <w:r w:rsidR="00360C13">
        <w:rPr>
          <w:rFonts w:cs="Times New Roman"/>
          <w:szCs w:val="24"/>
        </w:rPr>
        <w:t>vyše 9</w:t>
      </w:r>
      <w:r w:rsidRPr="00F32790">
        <w:rPr>
          <w:rFonts w:cs="Times New Roman"/>
          <w:szCs w:val="24"/>
        </w:rPr>
        <w:t xml:space="preserve"> mil. EUR. Medzníkom v poskytovaní nielen slovenskej, ale aj zahraničnej materiálnej pomoci Ukrajine bolo zriadenie </w:t>
      </w:r>
      <w:r w:rsidR="00817D6D" w:rsidRPr="00B5189F">
        <w:rPr>
          <w:rFonts w:cs="Times New Roman"/>
          <w:szCs w:val="24"/>
        </w:rPr>
        <w:t xml:space="preserve">medzinárodného humanitárneho logistického centra </w:t>
      </w:r>
      <w:r w:rsidR="008A0019" w:rsidRPr="00AF2B85">
        <w:rPr>
          <w:rFonts w:cs="Times New Roman"/>
          <w:szCs w:val="24"/>
        </w:rPr>
        <w:t>v rámci Mechanizmu EÚ v oblasti civil</w:t>
      </w:r>
      <w:r w:rsidR="008A0019">
        <w:rPr>
          <w:rFonts w:cs="Times New Roman"/>
          <w:szCs w:val="24"/>
        </w:rPr>
        <w:t xml:space="preserve">nej ochrany </w:t>
      </w:r>
      <w:r w:rsidR="00D27A4E">
        <w:rPr>
          <w:rFonts w:cs="Times New Roman"/>
          <w:szCs w:val="24"/>
        </w:rPr>
        <w:t>(</w:t>
      </w:r>
      <w:r w:rsidR="008A0019">
        <w:rPr>
          <w:rFonts w:cs="Times New Roman"/>
          <w:szCs w:val="24"/>
        </w:rPr>
        <w:t>ďalej „</w:t>
      </w:r>
      <w:r w:rsidRPr="00F32790">
        <w:rPr>
          <w:rFonts w:cs="Times New Roman"/>
          <w:szCs w:val="24"/>
        </w:rPr>
        <w:t>UCPM</w:t>
      </w:r>
      <w:r w:rsidR="008A0019">
        <w:rPr>
          <w:rFonts w:cs="Times New Roman"/>
          <w:szCs w:val="24"/>
        </w:rPr>
        <w:t>“</w:t>
      </w:r>
      <w:r w:rsidR="00D27A4E">
        <w:rPr>
          <w:rFonts w:cs="Times New Roman"/>
          <w:szCs w:val="24"/>
        </w:rPr>
        <w:t>)</w:t>
      </w:r>
      <w:r w:rsidRPr="00F32790">
        <w:rPr>
          <w:rFonts w:cs="Times New Roman"/>
          <w:szCs w:val="24"/>
        </w:rPr>
        <w:t xml:space="preserve"> pri Košiciach v marci 2022, ktorý slúži na distribúciu humanitárnej pomoci zo štátov zapojených do tohto mechanizmu</w:t>
      </w:r>
      <w:r w:rsidR="00AF52AE">
        <w:rPr>
          <w:rFonts w:cs="Times New Roman"/>
          <w:szCs w:val="24"/>
        </w:rPr>
        <w:t xml:space="preserve"> </w:t>
      </w:r>
      <w:r w:rsidRPr="00F32790">
        <w:rPr>
          <w:rFonts w:cs="Times New Roman"/>
          <w:szCs w:val="24"/>
        </w:rPr>
        <w:t>(v</w:t>
      </w:r>
      <w:r w:rsidR="00AF2B85">
        <w:rPr>
          <w:rFonts w:cs="Times New Roman"/>
          <w:szCs w:val="24"/>
        </w:rPr>
        <w:t xml:space="preserve"> </w:t>
      </w:r>
      <w:r w:rsidRPr="00F32790">
        <w:rPr>
          <w:rFonts w:cs="Times New Roman"/>
          <w:szCs w:val="24"/>
        </w:rPr>
        <w:t>objeme</w:t>
      </w:r>
      <w:r w:rsidR="00AF52AE">
        <w:rPr>
          <w:rFonts w:cs="Times New Roman"/>
          <w:szCs w:val="24"/>
        </w:rPr>
        <w:t xml:space="preserve"> </w:t>
      </w:r>
      <w:r w:rsidRPr="00F32790">
        <w:rPr>
          <w:rFonts w:cs="Times New Roman"/>
          <w:szCs w:val="24"/>
        </w:rPr>
        <w:t xml:space="preserve">2 </w:t>
      </w:r>
      <w:r w:rsidR="00360C13">
        <w:rPr>
          <w:rFonts w:cs="Times New Roman"/>
          <w:szCs w:val="24"/>
        </w:rPr>
        <w:t>500</w:t>
      </w:r>
      <w:r w:rsidRPr="00F32790">
        <w:rPr>
          <w:rFonts w:cs="Times New Roman"/>
          <w:szCs w:val="24"/>
        </w:rPr>
        <w:t xml:space="preserve"> ton zahraničnej pomoci v hodnote </w:t>
      </w:r>
      <w:r w:rsidR="00360C13">
        <w:rPr>
          <w:rFonts w:cs="Times New Roman"/>
          <w:szCs w:val="24"/>
        </w:rPr>
        <w:t>takmer 50</w:t>
      </w:r>
      <w:r w:rsidRPr="00F32790">
        <w:rPr>
          <w:rFonts w:cs="Times New Roman"/>
          <w:szCs w:val="24"/>
        </w:rPr>
        <w:t xml:space="preserve"> mil. </w:t>
      </w:r>
      <w:r w:rsidR="00360C13">
        <w:rPr>
          <w:rFonts w:cs="Times New Roman"/>
          <w:szCs w:val="24"/>
        </w:rPr>
        <w:t>EUR</w:t>
      </w:r>
      <w:r w:rsidRPr="00F32790">
        <w:rPr>
          <w:rFonts w:cs="Times New Roman"/>
          <w:szCs w:val="24"/>
        </w:rPr>
        <w:t xml:space="preserve">). </w:t>
      </w:r>
      <w:r w:rsidR="00452CC4">
        <w:t xml:space="preserve">Dôležitú úlohu v pomoci Ukrajine zohrávajú Koridory solidarity, ktorých vytvorenie iniciovala EK v máji 2022. Ich primárnym cieľom bola pomoc s vývozom obilia počas blokády ukrajinských prístavov. Black </w:t>
      </w:r>
      <w:proofErr w:type="spellStart"/>
      <w:r w:rsidR="00452CC4">
        <w:t>Sea</w:t>
      </w:r>
      <w:proofErr w:type="spellEnd"/>
      <w:r w:rsidR="00452CC4">
        <w:t xml:space="preserve"> </w:t>
      </w:r>
      <w:proofErr w:type="spellStart"/>
      <w:r w:rsidR="00452CC4">
        <w:t>Grain</w:t>
      </w:r>
      <w:proofErr w:type="spellEnd"/>
      <w:r w:rsidR="00452CC4">
        <w:t xml:space="preserve"> </w:t>
      </w:r>
      <w:proofErr w:type="spellStart"/>
      <w:r w:rsidR="00452CC4">
        <w:t>Initiative</w:t>
      </w:r>
      <w:proofErr w:type="spellEnd"/>
      <w:r w:rsidR="00452CC4">
        <w:t xml:space="preserve"> pod vedením OSN umožnila vývoz obilia z Ukrajiny námornou cestou. Koridory solidarity sa naďalej využívajú na prepravu obilia (od mája do novembra 2022 prepravených 15 mil. ton obilia a súvisiacich produktov) a ďalších tovarov a sú jedinou cestou pre import potrebného materiálu a pomoci na Ukrajinu. Cez územie SR bolo prepravených cca 789 tis. ton od začiatku invázie do konca roka 2022. </w:t>
      </w:r>
    </w:p>
    <w:p w14:paraId="716F74B6" w14:textId="77777777" w:rsidR="00452CC4" w:rsidRDefault="00452CC4" w:rsidP="001734FE">
      <w:pPr>
        <w:spacing w:after="0" w:line="240" w:lineRule="auto"/>
        <w:rPr>
          <w:rFonts w:cs="Times New Roman"/>
        </w:rPr>
      </w:pPr>
    </w:p>
    <w:p w14:paraId="4B05BE6B" w14:textId="51457A3E" w:rsidR="004C5F26" w:rsidRPr="00452CC4" w:rsidRDefault="00A6459B" w:rsidP="001734FE">
      <w:pPr>
        <w:spacing w:after="0" w:line="240" w:lineRule="auto"/>
        <w:rPr>
          <w:rFonts w:cs="Times New Roman"/>
        </w:rPr>
      </w:pPr>
      <w:r w:rsidRPr="00B5189F">
        <w:rPr>
          <w:rFonts w:cs="Times New Roman"/>
          <w:b/>
          <w:color w:val="auto"/>
          <w:szCs w:val="24"/>
        </w:rPr>
        <w:t>Energetika</w:t>
      </w:r>
      <w:r w:rsidRPr="00B5189F">
        <w:rPr>
          <w:rFonts w:cs="Times New Roman"/>
          <w:color w:val="auto"/>
          <w:szCs w:val="24"/>
        </w:rPr>
        <w:t xml:space="preserve"> bola v uplynulom roku stredobodom pozornosti v dvoch líniách – z hľadiska energetickej bezpečnosti a bezpečnosti dodávok aj z pohľadu cien energií.</w:t>
      </w:r>
      <w:r w:rsidRPr="00F32790">
        <w:rPr>
          <w:rFonts w:cs="Times New Roman"/>
          <w:color w:val="auto"/>
          <w:szCs w:val="24"/>
        </w:rPr>
        <w:t xml:space="preserve"> EÚ čelila energetickej kríze, ktorá vznikla v dôsledku kombinácie viacerých faktorov a okolností. </w:t>
      </w:r>
      <w:r w:rsidRPr="00F32790">
        <w:rPr>
          <w:rFonts w:cs="Times New Roman"/>
          <w:b/>
          <w:color w:val="auto"/>
          <w:szCs w:val="24"/>
        </w:rPr>
        <w:t>Rast cien energií</w:t>
      </w:r>
      <w:r w:rsidRPr="00F32790">
        <w:rPr>
          <w:rFonts w:cs="Times New Roman"/>
          <w:color w:val="auto"/>
          <w:szCs w:val="24"/>
        </w:rPr>
        <w:t xml:space="preserve"> bol zaznamenaný už v dôsledku post-</w:t>
      </w:r>
      <w:proofErr w:type="spellStart"/>
      <w:r w:rsidRPr="00F32790">
        <w:rPr>
          <w:rFonts w:cs="Times New Roman"/>
          <w:color w:val="auto"/>
          <w:szCs w:val="24"/>
        </w:rPr>
        <w:t>pandemickej</w:t>
      </w:r>
      <w:proofErr w:type="spellEnd"/>
      <w:r w:rsidRPr="00F32790">
        <w:rPr>
          <w:rFonts w:cs="Times New Roman"/>
          <w:color w:val="auto"/>
          <w:szCs w:val="24"/>
        </w:rPr>
        <w:t xml:space="preserve"> obnovy hospodárskeho rastu. Bezprecedentná energetická kríza naplno prepukla ako následok neodôvodnenej </w:t>
      </w:r>
      <w:r w:rsidR="00D27A4E">
        <w:rPr>
          <w:rFonts w:cs="Times New Roman"/>
          <w:color w:val="auto"/>
          <w:szCs w:val="24"/>
        </w:rPr>
        <w:t>r</w:t>
      </w:r>
      <w:r w:rsidRPr="00F32790">
        <w:rPr>
          <w:rFonts w:cs="Times New Roman"/>
          <w:color w:val="auto"/>
          <w:szCs w:val="24"/>
        </w:rPr>
        <w:t xml:space="preserve">uskej agresie voči Ukrajine, ktorá vyvolala vlnu strachu v dôsledku obáv z fyzickej nedostupnosti komodít plynu a následnej cenovej </w:t>
      </w:r>
      <w:proofErr w:type="spellStart"/>
      <w:r w:rsidRPr="00F32790">
        <w:rPr>
          <w:rFonts w:cs="Times New Roman"/>
          <w:color w:val="auto"/>
          <w:szCs w:val="24"/>
        </w:rPr>
        <w:t>volatility</w:t>
      </w:r>
      <w:proofErr w:type="spellEnd"/>
      <w:r w:rsidRPr="00F32790">
        <w:rPr>
          <w:rFonts w:cs="Times New Roman"/>
          <w:color w:val="auto"/>
          <w:szCs w:val="24"/>
        </w:rPr>
        <w:t xml:space="preserve"> na trhu s energiami, ktorá mala </w:t>
      </w:r>
      <w:proofErr w:type="spellStart"/>
      <w:r w:rsidRPr="00F32790">
        <w:rPr>
          <w:rFonts w:cs="Times New Roman"/>
          <w:color w:val="auto"/>
          <w:szCs w:val="24"/>
        </w:rPr>
        <w:t>disruptívny</w:t>
      </w:r>
      <w:proofErr w:type="spellEnd"/>
      <w:r w:rsidRPr="00F32790">
        <w:rPr>
          <w:rFonts w:cs="Times New Roman"/>
          <w:color w:val="auto"/>
          <w:szCs w:val="24"/>
        </w:rPr>
        <w:t xml:space="preserve"> vplyv na domácnosti aj priemysel.</w:t>
      </w:r>
    </w:p>
    <w:p w14:paraId="0DE50EF8" w14:textId="77777777" w:rsidR="004C5F26" w:rsidRPr="00F32790" w:rsidRDefault="004C5F26" w:rsidP="001734FE">
      <w:pPr>
        <w:spacing w:after="0" w:line="240" w:lineRule="auto"/>
        <w:rPr>
          <w:rFonts w:cs="Times New Roman"/>
          <w:szCs w:val="24"/>
        </w:rPr>
      </w:pPr>
    </w:p>
    <w:p w14:paraId="6A9F5098" w14:textId="7AE9EC29" w:rsidR="004C5F26" w:rsidRPr="00F32790" w:rsidRDefault="00A6459B" w:rsidP="001734FE">
      <w:pPr>
        <w:spacing w:after="0" w:line="240" w:lineRule="auto"/>
        <w:rPr>
          <w:rFonts w:cs="Times New Roman"/>
          <w:szCs w:val="24"/>
        </w:rPr>
      </w:pPr>
      <w:r w:rsidRPr="00F32790">
        <w:rPr>
          <w:rFonts w:cs="Times New Roman"/>
          <w:color w:val="auto"/>
          <w:szCs w:val="24"/>
        </w:rPr>
        <w:t xml:space="preserve">Kľúčovou bola spoločná celoeurópska odpoveď. Krátko po ruskej invázii sa lídri členských štátov dohodli, že čo najskôr postupne ukončia závislosť EÚ od dovozu ruských fosílnych palív, ktoré sú zneužívané ako hospodárska a politická zbraň. </w:t>
      </w:r>
      <w:r w:rsidR="008C1099">
        <w:rPr>
          <w:rFonts w:cs="Times New Roman"/>
          <w:color w:val="auto"/>
          <w:szCs w:val="24"/>
        </w:rPr>
        <w:t>EK</w:t>
      </w:r>
      <w:r w:rsidRPr="00F32790">
        <w:rPr>
          <w:rFonts w:cs="Times New Roman"/>
          <w:color w:val="auto"/>
          <w:szCs w:val="24"/>
        </w:rPr>
        <w:t xml:space="preserve"> v máji predstavila </w:t>
      </w:r>
      <w:r w:rsidRPr="00F32790">
        <w:rPr>
          <w:rFonts w:cs="Times New Roman"/>
          <w:b/>
          <w:color w:val="auto"/>
          <w:szCs w:val="24"/>
        </w:rPr>
        <w:t xml:space="preserve">plán </w:t>
      </w:r>
      <w:proofErr w:type="spellStart"/>
      <w:r w:rsidRPr="00F32790">
        <w:rPr>
          <w:rFonts w:cs="Times New Roman"/>
          <w:b/>
          <w:color w:val="auto"/>
          <w:szCs w:val="24"/>
        </w:rPr>
        <w:t>REPowerEU</w:t>
      </w:r>
      <w:proofErr w:type="spellEnd"/>
      <w:r w:rsidRPr="00F32790">
        <w:rPr>
          <w:rFonts w:cs="Times New Roman"/>
          <w:color w:val="auto"/>
          <w:szCs w:val="24"/>
        </w:rPr>
        <w:t>, v ktorom popri opatreniach v podobe zvýšenia energetickej efektívnosti či urýchlenia zavádzania obnoviteľných zdrojov energie zdôrazňuje potrebu diverzifi</w:t>
      </w:r>
      <w:r w:rsidR="004C5F26" w:rsidRPr="00F32790">
        <w:rPr>
          <w:rFonts w:cs="Times New Roman"/>
          <w:color w:val="auto"/>
          <w:szCs w:val="24"/>
        </w:rPr>
        <w:t xml:space="preserve">kácie dodávok zdrojov energií. </w:t>
      </w:r>
    </w:p>
    <w:p w14:paraId="791423E6" w14:textId="77777777" w:rsidR="004C5F26" w:rsidRPr="00F32790" w:rsidRDefault="004C5F26" w:rsidP="001734FE">
      <w:pPr>
        <w:spacing w:after="0" w:line="240" w:lineRule="auto"/>
        <w:rPr>
          <w:rFonts w:cs="Times New Roman"/>
          <w:szCs w:val="24"/>
        </w:rPr>
      </w:pPr>
    </w:p>
    <w:p w14:paraId="35B3D330" w14:textId="202D1E14" w:rsidR="00F94075" w:rsidRDefault="00A6459B" w:rsidP="00F94075">
      <w:pPr>
        <w:spacing w:after="0" w:line="240" w:lineRule="auto"/>
        <w:rPr>
          <w:color w:val="auto"/>
          <w:sz w:val="22"/>
        </w:rPr>
      </w:pPr>
      <w:r w:rsidRPr="00F32790">
        <w:rPr>
          <w:rFonts w:cs="Times New Roman"/>
          <w:color w:val="auto"/>
          <w:szCs w:val="24"/>
        </w:rPr>
        <w:lastRenderedPageBreak/>
        <w:t xml:space="preserve">V nasledujúcich mesiacoch EÚ a jej členské štáty v rýchlom slede prijali sériu núdzových opatrení. V júni 2022 bolo schválené </w:t>
      </w:r>
      <w:r w:rsidR="00452CC4">
        <w:rPr>
          <w:rFonts w:cs="Times New Roman"/>
          <w:b/>
          <w:color w:val="auto"/>
          <w:szCs w:val="24"/>
        </w:rPr>
        <w:t>N</w:t>
      </w:r>
      <w:r w:rsidRPr="00F32790">
        <w:rPr>
          <w:rFonts w:cs="Times New Roman"/>
          <w:b/>
          <w:color w:val="auto"/>
          <w:szCs w:val="24"/>
        </w:rPr>
        <w:t>ariadenie o skladovaní plynu</w:t>
      </w:r>
      <w:r w:rsidR="00817D6D">
        <w:rPr>
          <w:rStyle w:val="Odkaznapoznmkupodiarou"/>
          <w:b/>
          <w:color w:val="auto"/>
          <w:szCs w:val="24"/>
        </w:rPr>
        <w:footnoteReference w:id="2"/>
      </w:r>
      <w:r w:rsidRPr="00F32790">
        <w:rPr>
          <w:rFonts w:cs="Times New Roman"/>
          <w:color w:val="auto"/>
          <w:szCs w:val="24"/>
        </w:rPr>
        <w:t>, určujúce</w:t>
      </w:r>
      <w:r w:rsidR="00452CC4">
        <w:rPr>
          <w:rFonts w:cs="Times New Roman"/>
          <w:color w:val="auto"/>
          <w:szCs w:val="24"/>
        </w:rPr>
        <w:t xml:space="preserve"> povinnú </w:t>
      </w:r>
      <w:r w:rsidRPr="00F32790">
        <w:rPr>
          <w:rFonts w:cs="Times New Roman"/>
          <w:color w:val="auto"/>
          <w:szCs w:val="24"/>
        </w:rPr>
        <w:t>minimálnu ú</w:t>
      </w:r>
      <w:r w:rsidRPr="00F32790">
        <w:rPr>
          <w:rFonts w:cs="Times New Roman"/>
          <w:bCs/>
          <w:color w:val="auto"/>
          <w:szCs w:val="24"/>
        </w:rPr>
        <w:t>roveň naplnenia podzemných zásobníkov plynu v EÚ. Nasledovala politická dohoda na n</w:t>
      </w:r>
      <w:r w:rsidRPr="00F32790">
        <w:rPr>
          <w:rFonts w:cs="Times New Roman"/>
          <w:color w:val="auto"/>
          <w:szCs w:val="24"/>
        </w:rPr>
        <w:t xml:space="preserve">ariadení o koordinovaných opatreniach na zníženie dopytu po plyne </w:t>
      </w:r>
      <w:r w:rsidRPr="00F32790">
        <w:rPr>
          <w:rFonts w:cs="Times New Roman"/>
          <w:bCs/>
          <w:color w:val="auto"/>
          <w:szCs w:val="24"/>
        </w:rPr>
        <w:t xml:space="preserve">zavádzajúcom mechanizmus pre znižovanie spotreby plynu, pričom hlavnú úlohu zohráva dobrovoľné </w:t>
      </w:r>
      <w:r w:rsidR="00452CC4">
        <w:rPr>
          <w:rFonts w:cs="Times New Roman"/>
          <w:bCs/>
          <w:color w:val="auto"/>
          <w:szCs w:val="24"/>
        </w:rPr>
        <w:t>15% zníženie spotreby plynu (v porovnaní s piatimi predchádzajúcimi rokmi)</w:t>
      </w:r>
      <w:r w:rsidR="00452CC4" w:rsidRPr="00C678E9">
        <w:rPr>
          <w:rFonts w:cs="Times New Roman"/>
          <w:bCs/>
          <w:color w:val="auto"/>
          <w:szCs w:val="24"/>
        </w:rPr>
        <w:t xml:space="preserve">, </w:t>
      </w:r>
      <w:r w:rsidR="00452CC4">
        <w:rPr>
          <w:rFonts w:cs="Times New Roman"/>
          <w:bCs/>
          <w:color w:val="auto"/>
          <w:szCs w:val="24"/>
        </w:rPr>
        <w:t xml:space="preserve">v prípade vyhlásenie stavu pohotovosti EÚ sa pristúpi k povinným úsporám plynu. </w:t>
      </w:r>
      <w:r w:rsidR="00F94075" w:rsidRPr="00F94075">
        <w:rPr>
          <w:color w:val="auto"/>
        </w:rPr>
        <w:t>Financie vyzbierané cez nariadenie o núdzových opatreniach na adresovanie vysokých cien energie a tiež cez nariadenie o núdzovom zásahu s cieľom riešiť vysoké ceny energi</w:t>
      </w:r>
      <w:r w:rsidR="00F94075">
        <w:rPr>
          <w:color w:val="auto"/>
        </w:rPr>
        <w:t>í</w:t>
      </w:r>
      <w:r w:rsidR="00F94075" w:rsidRPr="00F94075">
        <w:rPr>
          <w:color w:val="auto"/>
        </w:rPr>
        <w:t xml:space="preserve">, ktoré o. i. zavádza </w:t>
      </w:r>
      <w:r w:rsidR="008900E9" w:rsidRPr="008900E9">
        <w:rPr>
          <w:rFonts w:cs="Times New Roman"/>
          <w:szCs w:val="24"/>
        </w:rPr>
        <w:t>odvod z nadmerných príjmov</w:t>
      </w:r>
      <w:r w:rsidR="00F94075" w:rsidRPr="008900E9">
        <w:rPr>
          <w:color w:val="auto"/>
          <w:szCs w:val="24"/>
        </w:rPr>
        <w:t xml:space="preserve"> </w:t>
      </w:r>
      <w:r w:rsidR="00F94075" w:rsidRPr="00F94075">
        <w:rPr>
          <w:color w:val="auto"/>
        </w:rPr>
        <w:t>z </w:t>
      </w:r>
      <w:proofErr w:type="spellStart"/>
      <w:r w:rsidR="00F94075" w:rsidRPr="00F94075">
        <w:rPr>
          <w:color w:val="auto"/>
        </w:rPr>
        <w:t>inframarginálnych</w:t>
      </w:r>
      <w:proofErr w:type="spellEnd"/>
      <w:r w:rsidR="00F94075" w:rsidRPr="00F94075">
        <w:rPr>
          <w:color w:val="auto"/>
        </w:rPr>
        <w:t xml:space="preserve"> zdrojov na výrobu elektriny a solidárny odvod fosílneho sektora, majú byť využité na adresovanie vysokých cien energií pre občano</w:t>
      </w:r>
      <w:r w:rsidR="00F94075">
        <w:rPr>
          <w:color w:val="auto"/>
        </w:rPr>
        <w:t>v</w:t>
      </w:r>
      <w:r w:rsidR="00F94075" w:rsidRPr="00F94075">
        <w:rPr>
          <w:color w:val="auto"/>
        </w:rPr>
        <w:t xml:space="preserve"> </w:t>
      </w:r>
      <w:r w:rsidR="008E6BE5">
        <w:rPr>
          <w:color w:val="auto"/>
        </w:rPr>
        <w:br/>
      </w:r>
      <w:r w:rsidR="00F94075" w:rsidRPr="00F94075">
        <w:rPr>
          <w:color w:val="auto"/>
        </w:rPr>
        <w:t>a podniky.</w:t>
      </w:r>
    </w:p>
    <w:p w14:paraId="79F2DF53" w14:textId="77777777" w:rsidR="00F94075" w:rsidRDefault="00F94075" w:rsidP="00F94075">
      <w:pPr>
        <w:spacing w:after="0"/>
        <w:rPr>
          <w:color w:val="auto"/>
          <w:sz w:val="22"/>
        </w:rPr>
      </w:pPr>
    </w:p>
    <w:p w14:paraId="42FB7E5E" w14:textId="305CA499" w:rsidR="00F94075" w:rsidRDefault="00A6459B" w:rsidP="008A0019">
      <w:pPr>
        <w:spacing w:after="0" w:line="240" w:lineRule="auto"/>
        <w:rPr>
          <w:rFonts w:cs="Times New Roman"/>
          <w:bCs/>
          <w:color w:val="auto"/>
          <w:szCs w:val="24"/>
        </w:rPr>
      </w:pPr>
      <w:r w:rsidRPr="00F32790">
        <w:rPr>
          <w:rFonts w:cs="Times New Roman"/>
          <w:color w:val="auto"/>
          <w:szCs w:val="24"/>
        </w:rPr>
        <w:t>Keďže SR a ďalší partneri nepovažovali dosiahnuté riešenia za vyčerpávajúce a identifikovali priestor na komplementárne opatrenia, p</w:t>
      </w:r>
      <w:r w:rsidRPr="00F32790">
        <w:rPr>
          <w:rFonts w:cs="Times New Roman"/>
          <w:bCs/>
          <w:color w:val="auto"/>
          <w:szCs w:val="24"/>
        </w:rPr>
        <w:t xml:space="preserve">ožiadali o alternatívne riešenie s cieľom presmerovať nevyužité fondy z  politiky súdržnosti na roky 2014-2020 na pomoc </w:t>
      </w:r>
      <w:r w:rsidR="008A0019">
        <w:rPr>
          <w:rFonts w:cs="Times New Roman"/>
          <w:bCs/>
          <w:color w:val="auto"/>
          <w:szCs w:val="24"/>
        </w:rPr>
        <w:t>zraniteľným domácnostiam a malým a stredným podnikom</w:t>
      </w:r>
      <w:r w:rsidRPr="00F32790">
        <w:rPr>
          <w:rFonts w:cs="Times New Roman"/>
          <w:bCs/>
          <w:color w:val="auto"/>
          <w:szCs w:val="24"/>
        </w:rPr>
        <w:t xml:space="preserve">. </w:t>
      </w:r>
      <w:r w:rsidR="008A0019" w:rsidRPr="00C678E9">
        <w:rPr>
          <w:rFonts w:cs="Times New Roman"/>
          <w:bCs/>
          <w:color w:val="auto"/>
          <w:szCs w:val="24"/>
        </w:rPr>
        <w:t>Legislatívne bol tento proces</w:t>
      </w:r>
      <w:r w:rsidR="008A0019">
        <w:rPr>
          <w:rFonts w:cs="Times New Roman"/>
          <w:bCs/>
          <w:color w:val="auto"/>
          <w:szCs w:val="24"/>
        </w:rPr>
        <w:t xml:space="preserve"> (SAFE-CARE) </w:t>
      </w:r>
      <w:r w:rsidR="008A0019" w:rsidRPr="00C678E9">
        <w:rPr>
          <w:rFonts w:cs="Times New Roman"/>
          <w:bCs/>
          <w:color w:val="auto"/>
          <w:szCs w:val="24"/>
        </w:rPr>
        <w:t xml:space="preserve"> úspešne uzavretý v decembri 2022. </w:t>
      </w:r>
      <w:r w:rsidR="008A0019">
        <w:rPr>
          <w:rFonts w:cs="Times New Roman"/>
          <w:bCs/>
          <w:color w:val="auto"/>
          <w:szCs w:val="24"/>
        </w:rPr>
        <w:t>Konkrétne využitie týchto nových možností zo strany SR bude predmetom bilaterálnych rokovaní s EK v roku 2023.</w:t>
      </w:r>
    </w:p>
    <w:p w14:paraId="6D234624" w14:textId="77777777" w:rsidR="008A0019" w:rsidRDefault="008A0019" w:rsidP="008A0019">
      <w:pPr>
        <w:spacing w:after="0" w:line="240" w:lineRule="auto"/>
        <w:rPr>
          <w:color w:val="auto"/>
          <w:sz w:val="22"/>
        </w:rPr>
      </w:pPr>
    </w:p>
    <w:p w14:paraId="1177B182" w14:textId="550C11D6" w:rsidR="00452CC4" w:rsidRPr="00F94075" w:rsidRDefault="00452CC4" w:rsidP="00F94075">
      <w:pPr>
        <w:spacing w:after="0" w:line="240" w:lineRule="auto"/>
        <w:rPr>
          <w:color w:val="auto"/>
          <w:sz w:val="22"/>
        </w:rPr>
      </w:pPr>
      <w:r w:rsidRPr="00C678E9">
        <w:rPr>
          <w:rFonts w:cs="Times New Roman"/>
          <w:bCs/>
          <w:color w:val="auto"/>
          <w:szCs w:val="24"/>
        </w:rPr>
        <w:t xml:space="preserve">V posledných dňoch roka ministri pre energetiku dosiahli </w:t>
      </w:r>
      <w:r w:rsidRPr="00452CC4">
        <w:rPr>
          <w:rFonts w:cs="Times New Roman"/>
          <w:bCs/>
          <w:color w:val="auto"/>
          <w:szCs w:val="24"/>
        </w:rPr>
        <w:t>dohodu na núdzovom</w:t>
      </w:r>
      <w:r w:rsidRPr="004C5F26">
        <w:rPr>
          <w:rFonts w:cs="Times New Roman"/>
          <w:b/>
          <w:bCs/>
          <w:color w:val="auto"/>
          <w:szCs w:val="24"/>
        </w:rPr>
        <w:t xml:space="preserve"> </w:t>
      </w:r>
      <w:r>
        <w:rPr>
          <w:rFonts w:cs="Times New Roman"/>
          <w:b/>
          <w:bCs/>
          <w:color w:val="auto"/>
          <w:szCs w:val="24"/>
        </w:rPr>
        <w:t>N</w:t>
      </w:r>
      <w:r w:rsidRPr="004C5F26">
        <w:rPr>
          <w:rFonts w:cs="Times New Roman"/>
          <w:b/>
          <w:bCs/>
          <w:color w:val="auto"/>
          <w:szCs w:val="24"/>
        </w:rPr>
        <w:t>ariadení o solidarite a spoločných nákupoch plynu</w:t>
      </w:r>
      <w:r w:rsidRPr="00C678E9">
        <w:rPr>
          <w:rFonts w:cs="Times New Roman"/>
          <w:bCs/>
          <w:color w:val="auto"/>
          <w:szCs w:val="24"/>
        </w:rPr>
        <w:t xml:space="preserve"> a predovšetkým na </w:t>
      </w:r>
      <w:r>
        <w:rPr>
          <w:rFonts w:cs="Times New Roman"/>
          <w:bCs/>
          <w:color w:val="auto"/>
          <w:szCs w:val="24"/>
        </w:rPr>
        <w:t>Nariadení, ktorým sa zavádza trhový korekčný mechanizmus, ktorého cieľom je obmedzenie</w:t>
      </w:r>
      <w:r>
        <w:t xml:space="preserve"> prípadov nadmerne vysokých cien zemného plynu prostredníctvom ich</w:t>
      </w:r>
      <w:r w:rsidRPr="004C5F26">
        <w:rPr>
          <w:rFonts w:cs="Times New Roman"/>
          <w:b/>
          <w:color w:val="auto"/>
          <w:szCs w:val="24"/>
        </w:rPr>
        <w:t xml:space="preserve"> </w:t>
      </w:r>
      <w:proofErr w:type="spellStart"/>
      <w:r w:rsidRPr="004C5F26">
        <w:rPr>
          <w:rFonts w:cs="Times New Roman"/>
          <w:b/>
          <w:color w:val="auto"/>
          <w:szCs w:val="24"/>
        </w:rPr>
        <w:t>zastropovan</w:t>
      </w:r>
      <w:r>
        <w:rPr>
          <w:rFonts w:cs="Times New Roman"/>
          <w:b/>
          <w:color w:val="auto"/>
          <w:szCs w:val="24"/>
        </w:rPr>
        <w:t>ia</w:t>
      </w:r>
      <w:proofErr w:type="spellEnd"/>
      <w:r w:rsidRPr="00C678E9">
        <w:rPr>
          <w:rFonts w:cs="Times New Roman"/>
          <w:color w:val="auto"/>
          <w:szCs w:val="24"/>
        </w:rPr>
        <w:t xml:space="preserve">, čo SR presadzovalo od prvých momentov krízy. Tzv. trhový korekčný mechanizmus </w:t>
      </w:r>
      <w:r>
        <w:rPr>
          <w:rFonts w:cs="Times New Roman"/>
          <w:color w:val="auto"/>
          <w:szCs w:val="24"/>
        </w:rPr>
        <w:t>by mal</w:t>
      </w:r>
      <w:r w:rsidRPr="00C678E9">
        <w:rPr>
          <w:rFonts w:cs="Times New Roman"/>
          <w:color w:val="auto"/>
          <w:szCs w:val="24"/>
        </w:rPr>
        <w:t xml:space="preserve"> </w:t>
      </w:r>
      <w:r>
        <w:rPr>
          <w:rFonts w:cs="Times New Roman"/>
          <w:color w:val="auto"/>
          <w:szCs w:val="24"/>
        </w:rPr>
        <w:t>prispieť</w:t>
      </w:r>
      <w:r w:rsidRPr="00C678E9">
        <w:rPr>
          <w:rFonts w:cs="Times New Roman"/>
          <w:color w:val="auto"/>
          <w:szCs w:val="24"/>
        </w:rPr>
        <w:t xml:space="preserve"> k ochrane občanov </w:t>
      </w:r>
      <w:r w:rsidR="008E6BE5">
        <w:rPr>
          <w:rFonts w:cs="Times New Roman"/>
          <w:color w:val="auto"/>
          <w:szCs w:val="24"/>
        </w:rPr>
        <w:br/>
      </w:r>
      <w:r w:rsidRPr="00C678E9">
        <w:rPr>
          <w:rFonts w:cs="Times New Roman"/>
          <w:color w:val="auto"/>
          <w:szCs w:val="24"/>
        </w:rPr>
        <w:t xml:space="preserve">a hospodárstva pred nadmerne vysokými cenami, resp. pred ich nepredvídateľnou </w:t>
      </w:r>
      <w:proofErr w:type="spellStart"/>
      <w:r w:rsidRPr="00C678E9">
        <w:rPr>
          <w:rFonts w:cs="Times New Roman"/>
          <w:color w:val="auto"/>
          <w:szCs w:val="24"/>
        </w:rPr>
        <w:t>volatilitou</w:t>
      </w:r>
      <w:proofErr w:type="spellEnd"/>
      <w:r w:rsidRPr="00C678E9">
        <w:rPr>
          <w:rFonts w:cs="Times New Roman"/>
          <w:color w:val="auto"/>
          <w:szCs w:val="24"/>
        </w:rPr>
        <w:t>.</w:t>
      </w:r>
    </w:p>
    <w:p w14:paraId="6F1B1453" w14:textId="77777777" w:rsidR="00452CC4" w:rsidRDefault="00452CC4" w:rsidP="00452CC4">
      <w:pPr>
        <w:spacing w:after="0" w:line="240" w:lineRule="auto"/>
        <w:rPr>
          <w:rFonts w:cs="Times New Roman"/>
          <w:bCs/>
          <w:color w:val="auto"/>
          <w:szCs w:val="24"/>
        </w:rPr>
      </w:pPr>
    </w:p>
    <w:p w14:paraId="18DEC4A7" w14:textId="77777777" w:rsidR="00452CC4" w:rsidRDefault="00A6459B" w:rsidP="00F94075">
      <w:pPr>
        <w:spacing w:after="0" w:line="240" w:lineRule="auto"/>
        <w:rPr>
          <w:rFonts w:cs="Times New Roman"/>
          <w:bCs/>
          <w:color w:val="auto"/>
          <w:szCs w:val="24"/>
        </w:rPr>
      </w:pPr>
      <w:r w:rsidRPr="00F32790">
        <w:rPr>
          <w:rFonts w:cs="Times New Roman"/>
          <w:color w:val="auto"/>
          <w:szCs w:val="24"/>
        </w:rPr>
        <w:t>Všetky tieto legislatívne nástroje</w:t>
      </w:r>
      <w:r w:rsidR="00925F8B" w:rsidRPr="00F32790">
        <w:rPr>
          <w:rFonts w:cs="Times New Roman"/>
          <w:color w:val="auto"/>
          <w:szCs w:val="24"/>
        </w:rPr>
        <w:t xml:space="preserve">, </w:t>
      </w:r>
      <w:r w:rsidRPr="00F32790">
        <w:rPr>
          <w:rFonts w:cs="Times New Roman"/>
          <w:color w:val="auto"/>
          <w:szCs w:val="24"/>
        </w:rPr>
        <w:t>demonštrujúce širokú jednot</w:t>
      </w:r>
      <w:r w:rsidR="00925F8B" w:rsidRPr="00F32790">
        <w:rPr>
          <w:rFonts w:cs="Times New Roman"/>
          <w:color w:val="auto"/>
          <w:szCs w:val="24"/>
        </w:rPr>
        <w:t xml:space="preserve">u a podporu členských štátov, </w:t>
      </w:r>
      <w:r w:rsidRPr="00F32790">
        <w:rPr>
          <w:rFonts w:cs="Times New Roman"/>
          <w:color w:val="auto"/>
          <w:szCs w:val="24"/>
        </w:rPr>
        <w:t>vytvorili adekvátne podmienky na stabilizáciu trhu a otvorili tak priestor na odbornú diskusiu a nachádzanie systémových riešení s cieľom reformovať európsky trh s elektrickou energiou, čo bude jednou z ústredných tém v roku 2023.</w:t>
      </w:r>
    </w:p>
    <w:p w14:paraId="5B6B7BF5" w14:textId="77777777" w:rsidR="00452CC4" w:rsidRDefault="00452CC4" w:rsidP="00452CC4">
      <w:pPr>
        <w:spacing w:after="0" w:line="240" w:lineRule="auto"/>
        <w:rPr>
          <w:rFonts w:cs="Times New Roman"/>
          <w:bCs/>
          <w:color w:val="auto"/>
          <w:szCs w:val="24"/>
        </w:rPr>
      </w:pPr>
    </w:p>
    <w:p w14:paraId="3CDA1AF7" w14:textId="787D0B58" w:rsidR="008A0019" w:rsidRDefault="004C5F26" w:rsidP="008A0019">
      <w:pPr>
        <w:spacing w:after="0"/>
        <w:rPr>
          <w:rFonts w:cs="Times New Roman"/>
        </w:rPr>
      </w:pPr>
      <w:r w:rsidRPr="00F32790">
        <w:rPr>
          <w:rFonts w:cs="Times New Roman"/>
          <w:szCs w:val="24"/>
        </w:rPr>
        <w:t xml:space="preserve">Od začiatku ruskej agresie na Ukrajine zaznamenala EÚ, a najmä členské štáty susediace s Ukrajinou, </w:t>
      </w:r>
      <w:r w:rsidRPr="00F32790">
        <w:rPr>
          <w:rFonts w:cs="Times New Roman"/>
          <w:b/>
          <w:bCs/>
          <w:szCs w:val="24"/>
        </w:rPr>
        <w:t>masívne príchody ukrajinských vojnových utečencov</w:t>
      </w:r>
      <w:r w:rsidRPr="00F32790">
        <w:rPr>
          <w:rFonts w:cs="Times New Roman"/>
          <w:szCs w:val="24"/>
        </w:rPr>
        <w:t xml:space="preserve">, najmä žien, detí a starších ľudí. V reakcii na túto bezprecedentnú situáciu bola po prvýkrát na úrovni </w:t>
      </w:r>
      <w:r w:rsidR="00925F8B" w:rsidRPr="00F32790">
        <w:rPr>
          <w:rFonts w:cs="Times New Roman"/>
          <w:szCs w:val="24"/>
        </w:rPr>
        <w:t xml:space="preserve">EÚ </w:t>
      </w:r>
      <w:r w:rsidRPr="00F32790">
        <w:rPr>
          <w:rFonts w:cs="Times New Roman"/>
          <w:szCs w:val="24"/>
        </w:rPr>
        <w:t xml:space="preserve">aktivovaná smernica o dočasnej ochrane, ktorá umožnila vysídleným osobám z Ukrajiny požívať v celej EÚ harmonizované práva týkajúce sa pobytu, prístupu na trh práce, k bývaniu, lekárskej pomoci či vzdelávaniu. </w:t>
      </w:r>
      <w:r w:rsidR="008A0019">
        <w:rPr>
          <w:rFonts w:cs="Times New Roman"/>
        </w:rPr>
        <w:t xml:space="preserve">Zároveň bolo v nadväznosti na požiadavky skupiny najviac dotknutých členských štátov EÚ, vrátane SR, umožnené </w:t>
      </w:r>
      <w:r w:rsidR="008A0019" w:rsidRPr="00C678E9">
        <w:rPr>
          <w:rFonts w:cs="Times New Roman"/>
          <w:bCs/>
          <w:color w:val="auto"/>
          <w:szCs w:val="24"/>
        </w:rPr>
        <w:t xml:space="preserve">presmerovať nevyužité fondy z  politiky súdržnosti na roky 2014-2020 na </w:t>
      </w:r>
      <w:r w:rsidR="008A0019">
        <w:rPr>
          <w:rFonts w:cs="Times New Roman"/>
          <w:bCs/>
          <w:color w:val="auto"/>
          <w:szCs w:val="24"/>
        </w:rPr>
        <w:t>riešenie základných potrieb</w:t>
      </w:r>
      <w:r w:rsidR="008A0019" w:rsidRPr="00C678E9">
        <w:rPr>
          <w:rFonts w:cs="Times New Roman"/>
          <w:bCs/>
          <w:color w:val="auto"/>
          <w:szCs w:val="24"/>
        </w:rPr>
        <w:t xml:space="preserve"> </w:t>
      </w:r>
      <w:r w:rsidR="008A0019">
        <w:rPr>
          <w:rFonts w:cs="Times New Roman"/>
          <w:bCs/>
          <w:color w:val="auto"/>
          <w:szCs w:val="24"/>
        </w:rPr>
        <w:t xml:space="preserve">utečencov (CARE a FAST-CARE). Koncom roku 2022 sa SR s EK dohodla na prvých konkrétnych oblastiach využitia týchto nových možností (posilnenie kapacít mimovládnych organizácií pomáhajúcich utečencom, refundácia nákladov obcí v súvislosti so zabezpečovaním základných potrieb utečencov). </w:t>
      </w:r>
    </w:p>
    <w:p w14:paraId="5BBA265E" w14:textId="77777777" w:rsidR="008A0019" w:rsidRDefault="008A0019" w:rsidP="008A0019">
      <w:pPr>
        <w:spacing w:after="0"/>
        <w:rPr>
          <w:rFonts w:cs="Times New Roman"/>
        </w:rPr>
      </w:pPr>
    </w:p>
    <w:p w14:paraId="2C1DC882" w14:textId="7B8C9842" w:rsidR="00F94075" w:rsidRPr="008A0019" w:rsidRDefault="004C5F26" w:rsidP="008A0019">
      <w:pPr>
        <w:spacing w:after="0"/>
        <w:rPr>
          <w:rFonts w:cs="Times New Roman"/>
        </w:rPr>
      </w:pPr>
      <w:r w:rsidRPr="00F32790">
        <w:rPr>
          <w:rFonts w:cs="Times New Roman"/>
          <w:szCs w:val="24"/>
        </w:rPr>
        <w:lastRenderedPageBreak/>
        <w:t xml:space="preserve">Okrem krízového manažmentu sa v roku 2022 pokračovalo aj v rokovaniach o štrukturálnej reforme migračnej a azylovej politiky EÚ, t. j. o </w:t>
      </w:r>
      <w:r w:rsidRPr="00F32790">
        <w:rPr>
          <w:rFonts w:cs="Times New Roman"/>
          <w:b/>
          <w:bCs/>
          <w:szCs w:val="24"/>
        </w:rPr>
        <w:t>Novom pakte o migrácii a azyle</w:t>
      </w:r>
      <w:r w:rsidRPr="00F32790">
        <w:rPr>
          <w:rFonts w:cs="Times New Roman"/>
          <w:szCs w:val="24"/>
        </w:rPr>
        <w:t xml:space="preserve">. Prínosom tejto diskusie z pohľadu </w:t>
      </w:r>
      <w:r w:rsidR="007C6D2D">
        <w:rPr>
          <w:rFonts w:cs="Times New Roman"/>
          <w:szCs w:val="24"/>
        </w:rPr>
        <w:t>SR</w:t>
      </w:r>
      <w:r w:rsidRPr="00F32790">
        <w:rPr>
          <w:rFonts w:cs="Times New Roman"/>
          <w:szCs w:val="24"/>
        </w:rPr>
        <w:t xml:space="preserve"> bolo definitívne odmietnutie tzv. povinných kvót na </w:t>
      </w:r>
      <w:proofErr w:type="spellStart"/>
      <w:r w:rsidRPr="00F32790">
        <w:rPr>
          <w:rFonts w:cs="Times New Roman"/>
          <w:szCs w:val="24"/>
        </w:rPr>
        <w:t>relokácie</w:t>
      </w:r>
      <w:proofErr w:type="spellEnd"/>
      <w:r w:rsidRPr="00F32790">
        <w:rPr>
          <w:rFonts w:cs="Times New Roman"/>
          <w:szCs w:val="24"/>
        </w:rPr>
        <w:t xml:space="preserve"> žiadateľov o azyl ako aj pevné etablovanie myšlienky flexibilnej podoby solidarity s tými členskými štátmi, ktoré sa ocitnú pod migračným tlakom. Zapracovanie konceptu do legislatívnych návrhov sa očakáva v prvom polroku 2023. </w:t>
      </w:r>
    </w:p>
    <w:p w14:paraId="631AEB29" w14:textId="77777777" w:rsidR="00F94075" w:rsidRDefault="00F94075" w:rsidP="00F94075">
      <w:pPr>
        <w:spacing w:after="0" w:line="240" w:lineRule="auto"/>
        <w:rPr>
          <w:rFonts w:cs="Times New Roman"/>
          <w:bCs/>
          <w:color w:val="auto"/>
          <w:szCs w:val="24"/>
        </w:rPr>
      </w:pPr>
    </w:p>
    <w:p w14:paraId="14FB437B" w14:textId="1282B7DE" w:rsidR="00F94075" w:rsidRDefault="004C5F26" w:rsidP="00F94075">
      <w:pPr>
        <w:spacing w:after="0" w:line="240" w:lineRule="auto"/>
        <w:rPr>
          <w:rFonts w:cs="Times New Roman"/>
          <w:bCs/>
          <w:color w:val="auto"/>
          <w:szCs w:val="24"/>
        </w:rPr>
      </w:pPr>
      <w:r w:rsidRPr="00F32790">
        <w:rPr>
          <w:rFonts w:cs="Times New Roman"/>
          <w:szCs w:val="24"/>
        </w:rPr>
        <w:t xml:space="preserve">Dianie v EÚ, a najmä v strednej Európe, poznačil v druhej polovici roka vývoj na </w:t>
      </w:r>
      <w:proofErr w:type="spellStart"/>
      <w:r w:rsidRPr="00F32790">
        <w:rPr>
          <w:rFonts w:cs="Times New Roman"/>
          <w:b/>
          <w:szCs w:val="24"/>
        </w:rPr>
        <w:t>západobalkánskej</w:t>
      </w:r>
      <w:proofErr w:type="spellEnd"/>
      <w:r w:rsidRPr="00F32790">
        <w:rPr>
          <w:rFonts w:cs="Times New Roman"/>
          <w:b/>
          <w:szCs w:val="24"/>
        </w:rPr>
        <w:t xml:space="preserve"> migračnej trase</w:t>
      </w:r>
      <w:r w:rsidRPr="00F32790">
        <w:rPr>
          <w:rFonts w:cs="Times New Roman"/>
          <w:szCs w:val="24"/>
        </w:rPr>
        <w:t xml:space="preserve"> charakterizovaný takmer 1</w:t>
      </w:r>
      <w:r w:rsidR="008A0019">
        <w:rPr>
          <w:rFonts w:cs="Times New Roman"/>
          <w:szCs w:val="24"/>
        </w:rPr>
        <w:t>47</w:t>
      </w:r>
      <w:r w:rsidRPr="00F32790">
        <w:rPr>
          <w:rFonts w:cs="Times New Roman"/>
          <w:szCs w:val="24"/>
        </w:rPr>
        <w:t xml:space="preserve">% nárastom počtu nelegálnych migrantov smerujúcich do EÚ v porovnaní s predošlým rokom. </w:t>
      </w:r>
      <w:r w:rsidR="00572DA4">
        <w:rPr>
          <w:rFonts w:cs="Times New Roman"/>
          <w:szCs w:val="24"/>
        </w:rPr>
        <w:t>SR</w:t>
      </w:r>
      <w:r w:rsidRPr="00F32790">
        <w:rPr>
          <w:rFonts w:cs="Times New Roman"/>
          <w:szCs w:val="24"/>
        </w:rPr>
        <w:t xml:space="preserve"> sa ocitl</w:t>
      </w:r>
      <w:r w:rsidR="00572DA4">
        <w:rPr>
          <w:rFonts w:cs="Times New Roman"/>
          <w:szCs w:val="24"/>
        </w:rPr>
        <w:t>a</w:t>
      </w:r>
      <w:r w:rsidRPr="00F32790">
        <w:rPr>
          <w:rFonts w:cs="Times New Roman"/>
          <w:szCs w:val="24"/>
        </w:rPr>
        <w:t xml:space="preserve"> v centre tranzitných migračných tokov z Maďarska do západnej Európy</w:t>
      </w:r>
      <w:r w:rsidR="008A0019">
        <w:rPr>
          <w:rFonts w:cs="Times New Roman"/>
        </w:rPr>
        <w:t xml:space="preserve">, kedy </w:t>
      </w:r>
      <w:r w:rsidR="008A0019" w:rsidRPr="008A0019">
        <w:rPr>
          <w:rFonts w:eastAsia="Calibri" w:cs="Times New Roman"/>
          <w:color w:val="000000" w:themeColor="text1"/>
          <w:szCs w:val="24"/>
        </w:rPr>
        <w:t xml:space="preserve">celková nelegálna </w:t>
      </w:r>
      <w:r w:rsidR="008A0019" w:rsidRPr="008A0019">
        <w:rPr>
          <w:rFonts w:eastAsia="Calibri" w:cs="Times New Roman"/>
          <w:szCs w:val="24"/>
        </w:rPr>
        <w:t>migrácia na území SR v roku 2022 dosahovala o 566,5% vyššiu úroveň ako</w:t>
      </w:r>
      <w:r w:rsidR="008A0019" w:rsidRPr="00233E63">
        <w:rPr>
          <w:rFonts w:eastAsia="Calibri" w:cs="Times New Roman"/>
          <w:szCs w:val="24"/>
        </w:rPr>
        <w:t xml:space="preserve"> v </w:t>
      </w:r>
      <w:r w:rsidR="008A0019">
        <w:rPr>
          <w:rFonts w:eastAsia="Calibri" w:cs="Times New Roman"/>
          <w:szCs w:val="24"/>
        </w:rPr>
        <w:t>roku 2021 (nárast z 1 769</w:t>
      </w:r>
      <w:r w:rsidR="008A0019" w:rsidRPr="00233E63">
        <w:rPr>
          <w:rFonts w:eastAsia="Calibri" w:cs="Times New Roman"/>
          <w:szCs w:val="24"/>
        </w:rPr>
        <w:t xml:space="preserve"> na </w:t>
      </w:r>
      <w:r w:rsidR="008A0019" w:rsidRPr="008A0019">
        <w:rPr>
          <w:rFonts w:eastAsia="Calibri" w:cs="Times New Roman"/>
          <w:szCs w:val="24"/>
        </w:rPr>
        <w:t>11 791</w:t>
      </w:r>
      <w:r w:rsidR="008A0019" w:rsidRPr="00233E63">
        <w:rPr>
          <w:rFonts w:eastAsia="Calibri" w:cs="Times New Roman"/>
          <w:szCs w:val="24"/>
        </w:rPr>
        <w:t>cudzincov)</w:t>
      </w:r>
      <w:r w:rsidR="008A0019" w:rsidRPr="006F5686">
        <w:rPr>
          <w:rFonts w:cs="Times New Roman"/>
        </w:rPr>
        <w:t>.</w:t>
      </w:r>
      <w:r w:rsidR="008A0019">
        <w:rPr>
          <w:rFonts w:cs="Times New Roman"/>
        </w:rPr>
        <w:t xml:space="preserve"> </w:t>
      </w:r>
      <w:r w:rsidRPr="00F32790">
        <w:rPr>
          <w:rFonts w:cs="Times New Roman"/>
          <w:szCs w:val="24"/>
        </w:rPr>
        <w:t xml:space="preserve">Česká republika a Rakúsko v tejto súvislosti zaviedli na vnútorných hraniciach so </w:t>
      </w:r>
      <w:r w:rsidR="007C6D2D">
        <w:rPr>
          <w:rFonts w:cs="Times New Roman"/>
          <w:szCs w:val="24"/>
        </w:rPr>
        <w:t>SR</w:t>
      </w:r>
      <w:r w:rsidRPr="00F32790">
        <w:rPr>
          <w:rFonts w:cs="Times New Roman"/>
          <w:szCs w:val="24"/>
        </w:rPr>
        <w:t xml:space="preserve"> dočasné kontroly. V tejto situácii </w:t>
      </w:r>
      <w:r w:rsidR="00572DA4">
        <w:rPr>
          <w:rFonts w:cs="Times New Roman"/>
          <w:szCs w:val="24"/>
        </w:rPr>
        <w:t>SR</w:t>
      </w:r>
      <w:r w:rsidRPr="00F32790">
        <w:rPr>
          <w:rFonts w:cs="Times New Roman"/>
          <w:szCs w:val="24"/>
        </w:rPr>
        <w:t xml:space="preserve"> akcentoval</w:t>
      </w:r>
      <w:r w:rsidR="00572DA4">
        <w:rPr>
          <w:rFonts w:cs="Times New Roman"/>
          <w:szCs w:val="24"/>
        </w:rPr>
        <w:t>a</w:t>
      </w:r>
      <w:r w:rsidRPr="00F32790">
        <w:rPr>
          <w:rFonts w:cs="Times New Roman"/>
          <w:szCs w:val="24"/>
        </w:rPr>
        <w:t xml:space="preserve"> potrebu vyhnúť sa unilaterálnym krokom, ktoré by ohrozili </w:t>
      </w:r>
      <w:r w:rsidRPr="00F32790">
        <w:rPr>
          <w:rFonts w:cs="Times New Roman"/>
          <w:b/>
          <w:szCs w:val="24"/>
        </w:rPr>
        <w:t>integritu schengenského priestoru</w:t>
      </w:r>
      <w:r w:rsidRPr="00F32790">
        <w:rPr>
          <w:rFonts w:cs="Times New Roman"/>
          <w:szCs w:val="24"/>
        </w:rPr>
        <w:t xml:space="preserve"> a apelovalo na európske riešenia v podobe posilnenia ochrany vonkajšej hranice EÚ, dôsledného vykonávania readmisných dohôd EÚ s tretími krajinami ako aj spolupráce s kľúčovými partnermi na migračnej trase, akými sú Srbsko či Turecko. Výzvou smerom do budúcnosti zároveň zostala otázka </w:t>
      </w:r>
      <w:r w:rsidRPr="00F32790">
        <w:rPr>
          <w:rFonts w:cs="Times New Roman"/>
          <w:bCs/>
          <w:szCs w:val="24"/>
        </w:rPr>
        <w:t>readmisií medzi členskými štátmi v rámci schengenského priestoru</w:t>
      </w:r>
      <w:r w:rsidRPr="00F32790">
        <w:rPr>
          <w:rFonts w:cs="Times New Roman"/>
          <w:szCs w:val="24"/>
        </w:rPr>
        <w:t xml:space="preserve">. </w:t>
      </w:r>
    </w:p>
    <w:p w14:paraId="0D422669" w14:textId="77777777" w:rsidR="00F94075" w:rsidRDefault="00F94075" w:rsidP="00F94075">
      <w:pPr>
        <w:spacing w:after="0" w:line="240" w:lineRule="auto"/>
        <w:rPr>
          <w:rFonts w:cs="Times New Roman"/>
          <w:bCs/>
          <w:color w:val="auto"/>
          <w:szCs w:val="24"/>
        </w:rPr>
      </w:pPr>
    </w:p>
    <w:p w14:paraId="5A6CBC37" w14:textId="77777777" w:rsidR="00F94075" w:rsidRDefault="00103608" w:rsidP="00F94075">
      <w:pPr>
        <w:spacing w:after="0" w:line="240" w:lineRule="auto"/>
        <w:rPr>
          <w:rFonts w:cs="Times New Roman"/>
          <w:bCs/>
          <w:color w:val="auto"/>
          <w:szCs w:val="24"/>
        </w:rPr>
      </w:pPr>
      <w:r w:rsidRPr="00F32790">
        <w:rPr>
          <w:rFonts w:cs="Times New Roman"/>
          <w:szCs w:val="24"/>
        </w:rPr>
        <w:t>V priebehu rok</w:t>
      </w:r>
      <w:r w:rsidR="006F0DCD" w:rsidRPr="00F32790">
        <w:rPr>
          <w:rFonts w:cs="Times New Roman"/>
          <w:szCs w:val="24"/>
        </w:rPr>
        <w:t>a</w:t>
      </w:r>
      <w:r w:rsidRPr="00F32790">
        <w:rPr>
          <w:rFonts w:cs="Times New Roman"/>
          <w:szCs w:val="24"/>
        </w:rPr>
        <w:t xml:space="preserve"> intenzívne pokračovali rokovania o legislatívnych návrhoch z </w:t>
      </w:r>
      <w:r w:rsidRPr="00F32790">
        <w:rPr>
          <w:rFonts w:cs="Times New Roman"/>
          <w:b/>
          <w:bCs/>
          <w:szCs w:val="24"/>
        </w:rPr>
        <w:t>klimatického balíka Fit-for-55</w:t>
      </w:r>
      <w:r w:rsidRPr="00F32790">
        <w:rPr>
          <w:rFonts w:cs="Times New Roman"/>
          <w:szCs w:val="24"/>
        </w:rPr>
        <w:t xml:space="preserve">. Jeho podstatou je revízia európskej legislatívy týkajúcej sa klímy, energetiky či dopravy s cieľom reflektovať ambíciu zníženia emisií skleníkových plynov do roku 2030 o 55 % v porovnaní s úrovňami z roku 1990. </w:t>
      </w:r>
      <w:r w:rsidR="00925F8B" w:rsidRPr="00F32790">
        <w:rPr>
          <w:rFonts w:cs="Times New Roman"/>
          <w:szCs w:val="24"/>
        </w:rPr>
        <w:t>V</w:t>
      </w:r>
      <w:r w:rsidRPr="00F32790">
        <w:rPr>
          <w:rFonts w:cs="Times New Roman"/>
          <w:szCs w:val="24"/>
        </w:rPr>
        <w:t> druhom polroku</w:t>
      </w:r>
      <w:r w:rsidR="00925F8B" w:rsidRPr="00F32790">
        <w:rPr>
          <w:rFonts w:cs="Times New Roman"/>
          <w:szCs w:val="24"/>
        </w:rPr>
        <w:t xml:space="preserve"> 2022</w:t>
      </w:r>
      <w:r w:rsidRPr="00F32790">
        <w:rPr>
          <w:rFonts w:cs="Times New Roman"/>
          <w:szCs w:val="24"/>
        </w:rPr>
        <w:t xml:space="preserve"> </w:t>
      </w:r>
      <w:r w:rsidR="00925F8B" w:rsidRPr="00F32790">
        <w:rPr>
          <w:rFonts w:cs="Times New Roman"/>
          <w:szCs w:val="24"/>
        </w:rPr>
        <w:t>sa podarilo</w:t>
      </w:r>
      <w:r w:rsidRPr="00F32790">
        <w:rPr>
          <w:rFonts w:cs="Times New Roman"/>
          <w:szCs w:val="24"/>
        </w:rPr>
        <w:t xml:space="preserve"> uzatvoriť veľkú časť z návrhov. Z pohľadu </w:t>
      </w:r>
      <w:r w:rsidR="007C6D2D">
        <w:rPr>
          <w:rFonts w:cs="Times New Roman"/>
          <w:szCs w:val="24"/>
        </w:rPr>
        <w:t>SR</w:t>
      </w:r>
      <w:r w:rsidRPr="00F32790">
        <w:rPr>
          <w:rFonts w:cs="Times New Roman"/>
          <w:szCs w:val="24"/>
        </w:rPr>
        <w:t xml:space="preserve"> bol jedným z najvýznamnejších návrh na znížene emisií </w:t>
      </w:r>
      <w:r w:rsidR="00475E10" w:rsidRPr="006F5686">
        <w:rPr>
          <w:rFonts w:cs="Times New Roman"/>
        </w:rPr>
        <w:t>CO</w:t>
      </w:r>
      <w:r w:rsidR="00475E10" w:rsidRPr="004727C1">
        <w:rPr>
          <w:rFonts w:cs="Times New Roman"/>
          <w:vertAlign w:val="subscript"/>
        </w:rPr>
        <w:t>2</w:t>
      </w:r>
      <w:r w:rsidRPr="00F32790">
        <w:rPr>
          <w:rFonts w:cs="Times New Roman"/>
          <w:szCs w:val="24"/>
        </w:rPr>
        <w:t xml:space="preserve"> pre osobné a úžitkové vozidlá o</w:t>
      </w:r>
      <w:r w:rsidR="007C6D2D">
        <w:rPr>
          <w:rFonts w:cs="Times New Roman"/>
          <w:szCs w:val="24"/>
        </w:rPr>
        <w:t> </w:t>
      </w:r>
      <w:r w:rsidRPr="00F32790">
        <w:rPr>
          <w:rFonts w:cs="Times New Roman"/>
          <w:szCs w:val="24"/>
        </w:rPr>
        <w:t>100</w:t>
      </w:r>
      <w:r w:rsidR="007C6D2D">
        <w:rPr>
          <w:rFonts w:cs="Times New Roman"/>
          <w:szCs w:val="24"/>
        </w:rPr>
        <w:t xml:space="preserve"> </w:t>
      </w:r>
      <w:r w:rsidRPr="00F32790">
        <w:rPr>
          <w:rFonts w:cs="Times New Roman"/>
          <w:szCs w:val="24"/>
        </w:rPr>
        <w:t xml:space="preserve">% do roku 2035 spojený s ukončením predaja vozidiel s konvenčným spaľovacím motorom. </w:t>
      </w:r>
      <w:r w:rsidR="007C6D2D">
        <w:rPr>
          <w:rFonts w:cs="Times New Roman"/>
          <w:szCs w:val="24"/>
        </w:rPr>
        <w:t>SR</w:t>
      </w:r>
      <w:r w:rsidRPr="00F32790">
        <w:rPr>
          <w:rFonts w:cs="Times New Roman"/>
          <w:szCs w:val="24"/>
        </w:rPr>
        <w:t xml:space="preserve"> spolu s partnermi presadilo možnosť revízie tohto cieľa ako aj možnosť pre pokračovanie výroby vozidiel na emisne neutrálne palivo aj po roku 2035.</w:t>
      </w:r>
    </w:p>
    <w:p w14:paraId="762E8D0C" w14:textId="77777777" w:rsidR="00F94075" w:rsidRDefault="00F94075" w:rsidP="00F94075">
      <w:pPr>
        <w:spacing w:after="0" w:line="240" w:lineRule="auto"/>
        <w:rPr>
          <w:rFonts w:cs="Times New Roman"/>
          <w:bCs/>
          <w:color w:val="auto"/>
          <w:szCs w:val="24"/>
        </w:rPr>
      </w:pPr>
    </w:p>
    <w:p w14:paraId="26763617" w14:textId="289CA45E" w:rsidR="00F94075" w:rsidRDefault="005C0B64" w:rsidP="00F94075">
      <w:pPr>
        <w:spacing w:after="0" w:line="240" w:lineRule="auto"/>
        <w:rPr>
          <w:rFonts w:cs="Times New Roman"/>
          <w:bCs/>
          <w:color w:val="auto"/>
          <w:szCs w:val="24"/>
        </w:rPr>
      </w:pPr>
      <w:r w:rsidRPr="00F32790">
        <w:rPr>
          <w:rFonts w:cs="Times New Roman"/>
          <w:szCs w:val="24"/>
        </w:rPr>
        <w:t xml:space="preserve">Súčasťou </w:t>
      </w:r>
      <w:r w:rsidRPr="00F32790">
        <w:rPr>
          <w:rFonts w:cs="Times New Roman"/>
          <w:b/>
          <w:szCs w:val="24"/>
        </w:rPr>
        <w:t>hodnotovej profilácie</w:t>
      </w:r>
      <w:r w:rsidRPr="00F32790">
        <w:rPr>
          <w:rFonts w:cs="Times New Roman"/>
          <w:szCs w:val="24"/>
        </w:rPr>
        <w:t xml:space="preserve"> európskej politiky SR bola popri témach právneho štátu či ochrany novinárov aj otázka </w:t>
      </w:r>
      <w:r w:rsidRPr="00F32790">
        <w:rPr>
          <w:rFonts w:cs="Times New Roman"/>
          <w:b/>
          <w:szCs w:val="24"/>
        </w:rPr>
        <w:t>ochrany rozpočtu Únie pred porušeniami zásad právneho štátu</w:t>
      </w:r>
      <w:r w:rsidRPr="00F32790">
        <w:rPr>
          <w:rFonts w:cs="Times New Roman"/>
          <w:szCs w:val="24"/>
        </w:rPr>
        <w:t xml:space="preserve"> v niektorom z členských štátov (tzv. </w:t>
      </w:r>
      <w:proofErr w:type="spellStart"/>
      <w:r w:rsidRPr="00F32790">
        <w:rPr>
          <w:rFonts w:cs="Times New Roman"/>
          <w:szCs w:val="24"/>
        </w:rPr>
        <w:t>kondicionalita</w:t>
      </w:r>
      <w:proofErr w:type="spellEnd"/>
      <w:r w:rsidRPr="00F32790">
        <w:rPr>
          <w:rFonts w:cs="Times New Roman"/>
          <w:szCs w:val="24"/>
        </w:rPr>
        <w:t xml:space="preserve">). </w:t>
      </w:r>
      <w:r w:rsidR="00572DA4">
        <w:rPr>
          <w:rFonts w:cs="Times New Roman"/>
          <w:szCs w:val="24"/>
        </w:rPr>
        <w:t>SR</w:t>
      </w:r>
      <w:r w:rsidRPr="00F32790">
        <w:rPr>
          <w:rFonts w:cs="Times New Roman"/>
          <w:szCs w:val="24"/>
        </w:rPr>
        <w:t xml:space="preserve"> počas roka zdôrazňoval</w:t>
      </w:r>
      <w:r w:rsidR="00572DA4">
        <w:rPr>
          <w:rFonts w:cs="Times New Roman"/>
          <w:szCs w:val="24"/>
        </w:rPr>
        <w:t>a</w:t>
      </w:r>
      <w:r w:rsidRPr="00F32790">
        <w:rPr>
          <w:rFonts w:cs="Times New Roman"/>
          <w:szCs w:val="24"/>
        </w:rPr>
        <w:t xml:space="preserve"> potrebu chrániť naše spoločné európske financie pred zneužívaním či podvodmi</w:t>
      </w:r>
      <w:r w:rsidR="00440DB8" w:rsidRPr="00F32790">
        <w:rPr>
          <w:rFonts w:cs="Times New Roman"/>
          <w:szCs w:val="24"/>
        </w:rPr>
        <w:t xml:space="preserve">. V nadväznosti na návrh a následné hodnotenie zo strany Európskej komisie, ktorá opakovane identifikovala pretrvávajúce horizontálne a štrukturálne nedostatky pri čerpaní európskych fondov v Maďarsku, preto SR podporila prijatie opatrenia v podobe pozastavenia časti prostriedkov </w:t>
      </w:r>
      <w:r w:rsidR="008E6BE5">
        <w:rPr>
          <w:rFonts w:cs="Times New Roman"/>
          <w:szCs w:val="24"/>
        </w:rPr>
        <w:br/>
      </w:r>
      <w:r w:rsidR="00440DB8" w:rsidRPr="00F32790">
        <w:rPr>
          <w:rFonts w:cs="Times New Roman"/>
          <w:szCs w:val="24"/>
        </w:rPr>
        <w:t>z fondov EÚ.</w:t>
      </w:r>
    </w:p>
    <w:p w14:paraId="625F344C" w14:textId="77777777" w:rsidR="00F94075" w:rsidRDefault="00F94075" w:rsidP="00F94075">
      <w:pPr>
        <w:spacing w:after="0" w:line="240" w:lineRule="auto"/>
        <w:rPr>
          <w:rFonts w:cs="Times New Roman"/>
          <w:bCs/>
          <w:color w:val="auto"/>
          <w:szCs w:val="24"/>
        </w:rPr>
      </w:pPr>
    </w:p>
    <w:p w14:paraId="2BA5F608" w14:textId="0A79DD1E" w:rsidR="00EF1757" w:rsidRPr="00EF1757" w:rsidRDefault="00CB21BE" w:rsidP="00F11C6D">
      <w:pPr>
        <w:spacing w:after="0" w:line="240" w:lineRule="auto"/>
        <w:rPr>
          <w:rFonts w:cs="Times New Roman"/>
          <w:bCs/>
          <w:szCs w:val="24"/>
        </w:rPr>
      </w:pPr>
      <w:r w:rsidRPr="00F32790">
        <w:rPr>
          <w:rFonts w:cs="Times New Roman"/>
          <w:color w:val="auto"/>
          <w:szCs w:val="24"/>
        </w:rPr>
        <w:t xml:space="preserve">Rok 2022 bol kľúčový z pohľadu finalizácie a schválenia strategických dokumentov na využívanie fondov politiky súdržnosti EÚ pre programové obdobie 2021 – 2027. V júli 2022 </w:t>
      </w:r>
      <w:r w:rsidR="008C1099">
        <w:rPr>
          <w:rFonts w:cs="Times New Roman"/>
          <w:color w:val="auto"/>
          <w:szCs w:val="24"/>
        </w:rPr>
        <w:t>EK</w:t>
      </w:r>
      <w:r w:rsidRPr="00F32790">
        <w:rPr>
          <w:rFonts w:cs="Times New Roman"/>
          <w:color w:val="auto"/>
          <w:szCs w:val="24"/>
        </w:rPr>
        <w:t xml:space="preserve"> schválila </w:t>
      </w:r>
      <w:r w:rsidRPr="00F32790">
        <w:rPr>
          <w:rFonts w:cs="Times New Roman"/>
          <w:b/>
          <w:color w:val="auto"/>
          <w:szCs w:val="24"/>
        </w:rPr>
        <w:t>Partnerskú dohodu SR</w:t>
      </w:r>
      <w:r w:rsidRPr="00F32790">
        <w:rPr>
          <w:rFonts w:cs="Times New Roman"/>
          <w:color w:val="auto"/>
          <w:szCs w:val="24"/>
        </w:rPr>
        <w:t>, ktorá je základným strategickým dokumentom na využívanie fondov politiky súdržnosti EÚ. Príprava na programové obdobie 2021</w:t>
      </w:r>
      <w:r w:rsidR="007C6D2D">
        <w:rPr>
          <w:rFonts w:cs="Times New Roman"/>
          <w:color w:val="auto"/>
          <w:szCs w:val="24"/>
        </w:rPr>
        <w:t>-2</w:t>
      </w:r>
      <w:r w:rsidRPr="00F32790">
        <w:rPr>
          <w:rFonts w:cs="Times New Roman"/>
          <w:color w:val="auto"/>
          <w:szCs w:val="24"/>
        </w:rPr>
        <w:t xml:space="preserve">027 sa zavŕšila v novembri 2022, keď </w:t>
      </w:r>
      <w:r w:rsidR="008C1099">
        <w:rPr>
          <w:rFonts w:cs="Times New Roman"/>
          <w:color w:val="auto"/>
          <w:szCs w:val="24"/>
        </w:rPr>
        <w:t>EK</w:t>
      </w:r>
      <w:r w:rsidRPr="00F32790">
        <w:rPr>
          <w:rFonts w:cs="Times New Roman"/>
          <w:color w:val="auto"/>
          <w:szCs w:val="24"/>
        </w:rPr>
        <w:t xml:space="preserve"> schválila </w:t>
      </w:r>
      <w:r w:rsidRPr="00F32790">
        <w:rPr>
          <w:rFonts w:cs="Times New Roman"/>
          <w:b/>
          <w:color w:val="auto"/>
          <w:szCs w:val="24"/>
        </w:rPr>
        <w:t>Program Slovensko</w:t>
      </w:r>
      <w:r w:rsidRPr="00F32790">
        <w:rPr>
          <w:rFonts w:cs="Times New Roman"/>
          <w:color w:val="auto"/>
          <w:szCs w:val="24"/>
        </w:rPr>
        <w:t xml:space="preserve">. </w:t>
      </w:r>
      <w:r w:rsidR="00572DA4">
        <w:rPr>
          <w:rFonts w:cs="Times New Roman"/>
          <w:color w:val="auto"/>
          <w:szCs w:val="24"/>
        </w:rPr>
        <w:t xml:space="preserve">SR </w:t>
      </w:r>
      <w:r w:rsidRPr="00F32790">
        <w:rPr>
          <w:rFonts w:cs="Times New Roman"/>
          <w:color w:val="auto"/>
          <w:szCs w:val="24"/>
        </w:rPr>
        <w:t>sa tak zaradil</w:t>
      </w:r>
      <w:r w:rsidR="00572DA4">
        <w:rPr>
          <w:rFonts w:cs="Times New Roman"/>
          <w:color w:val="auto"/>
          <w:szCs w:val="24"/>
        </w:rPr>
        <w:t>a</w:t>
      </w:r>
      <w:r w:rsidRPr="00F32790">
        <w:rPr>
          <w:rFonts w:cs="Times New Roman"/>
          <w:color w:val="auto"/>
          <w:szCs w:val="24"/>
        </w:rPr>
        <w:t xml:space="preserve"> medzi prvú šesticu krajín EÚ so </w:t>
      </w:r>
      <w:r w:rsidR="008A0019">
        <w:rPr>
          <w:rFonts w:cs="Times New Roman"/>
          <w:color w:val="auto"/>
          <w:szCs w:val="24"/>
        </w:rPr>
        <w:t xml:space="preserve">všetkými </w:t>
      </w:r>
      <w:r w:rsidRPr="00F32790">
        <w:rPr>
          <w:rFonts w:cs="Times New Roman"/>
          <w:color w:val="auto"/>
          <w:szCs w:val="24"/>
        </w:rPr>
        <w:t>schválenými strategickými dokumentmi na využívanie fondov politiky súdržnosti EÚ pre dané programové obdobie.</w:t>
      </w:r>
      <w:r w:rsidRPr="00F32790">
        <w:rPr>
          <w:rFonts w:cs="Times New Roman"/>
          <w:bCs/>
          <w:szCs w:val="24"/>
        </w:rPr>
        <w:t xml:space="preserve"> </w:t>
      </w:r>
      <w:r w:rsidR="006547F0" w:rsidRPr="006547F0">
        <w:rPr>
          <w:rFonts w:cs="Times New Roman"/>
          <w:szCs w:val="24"/>
        </w:rPr>
        <w:t xml:space="preserve">Z nových eurofondov tak bude môcť </w:t>
      </w:r>
      <w:r w:rsidR="006547F0">
        <w:rPr>
          <w:rFonts w:cs="Times New Roman"/>
          <w:szCs w:val="24"/>
        </w:rPr>
        <w:t>SR</w:t>
      </w:r>
      <w:r w:rsidR="006547F0" w:rsidRPr="006547F0">
        <w:rPr>
          <w:rFonts w:cs="Times New Roman"/>
          <w:szCs w:val="24"/>
        </w:rPr>
        <w:t xml:space="preserve"> v nasledujúcich rokoch čerpať takmer 12,6 mld. EUR (zdroj EÚ) na zlepšenie života ľudí v regiónoch, na podporu inovácií a výskumu, digitalizáciu, podporu malých a stredných podnikov, </w:t>
      </w:r>
      <w:proofErr w:type="spellStart"/>
      <w:r w:rsidR="006547F0" w:rsidRPr="006547F0">
        <w:rPr>
          <w:rFonts w:cs="Times New Roman"/>
          <w:szCs w:val="24"/>
        </w:rPr>
        <w:t>nízkouhlíkové</w:t>
      </w:r>
      <w:proofErr w:type="spellEnd"/>
      <w:r w:rsidR="006547F0" w:rsidRPr="006547F0">
        <w:rPr>
          <w:rFonts w:cs="Times New Roman"/>
          <w:szCs w:val="24"/>
        </w:rPr>
        <w:t xml:space="preserve"> hospodárstvo, obnovu budov, hospodárenie s vodou, ako aj na </w:t>
      </w:r>
      <w:r w:rsidR="006547F0" w:rsidRPr="006547F0">
        <w:rPr>
          <w:rFonts w:cs="Times New Roman"/>
          <w:szCs w:val="24"/>
        </w:rPr>
        <w:lastRenderedPageBreak/>
        <w:t>podporu cestnej a železničnej infraštruktúry, zdravotníctvo a kultúrne dedičstvo. Rovnako budeme môcť tieto zdroje EÚ použiť aj na podporu zamestnanosti a trhu práce, vzdelávania, sociálne služby a začlenenie. Prostredníctvom Fondu na spravodlivú transformáciu budeme môcť zároveň využívať nové eurofondy na zmiernenie nepriaznivých dôsledkov transformácie podporou najviac postihnutých oblastí a obyvateľstva a tiež podporovať vyváženú sociálno-ekonomickú transformáciu v takýchto regiónoch Slovenska</w:t>
      </w:r>
      <w:r w:rsidR="006547F0">
        <w:rPr>
          <w:rFonts w:cs="Times New Roman"/>
          <w:szCs w:val="24"/>
        </w:rPr>
        <w:t xml:space="preserve">. </w:t>
      </w:r>
      <w:r w:rsidR="008A0019">
        <w:rPr>
          <w:rFonts w:cs="Times New Roman"/>
          <w:bCs/>
        </w:rPr>
        <w:t xml:space="preserve">Súčasne boli schválené aj programy cezhraničnej spolupráce: </w:t>
      </w:r>
      <w:proofErr w:type="spellStart"/>
      <w:r w:rsidR="008A0019">
        <w:rPr>
          <w:rFonts w:cs="Times New Roman"/>
          <w:bCs/>
        </w:rPr>
        <w:t>Interreg</w:t>
      </w:r>
      <w:proofErr w:type="spellEnd"/>
      <w:r w:rsidR="008A0019">
        <w:rPr>
          <w:rFonts w:cs="Times New Roman"/>
          <w:bCs/>
        </w:rPr>
        <w:t xml:space="preserve"> Slovensko – Česko 2021-2027, </w:t>
      </w:r>
      <w:proofErr w:type="spellStart"/>
      <w:r w:rsidR="008A0019">
        <w:rPr>
          <w:rFonts w:cs="Times New Roman"/>
          <w:bCs/>
        </w:rPr>
        <w:t>Interreg</w:t>
      </w:r>
      <w:proofErr w:type="spellEnd"/>
      <w:r w:rsidR="008A0019">
        <w:rPr>
          <w:rFonts w:cs="Times New Roman"/>
          <w:bCs/>
        </w:rPr>
        <w:t xml:space="preserve"> Slovensko – Rakúsko 2021-2027, </w:t>
      </w:r>
      <w:proofErr w:type="spellStart"/>
      <w:r w:rsidR="008A0019">
        <w:rPr>
          <w:rFonts w:cs="Times New Roman"/>
          <w:bCs/>
        </w:rPr>
        <w:t>Interreg</w:t>
      </w:r>
      <w:proofErr w:type="spellEnd"/>
      <w:r w:rsidR="008A0019">
        <w:rPr>
          <w:rFonts w:cs="Times New Roman"/>
          <w:bCs/>
        </w:rPr>
        <w:t xml:space="preserve"> Poľsko – Slovensko 2021-2027 a </w:t>
      </w:r>
      <w:proofErr w:type="spellStart"/>
      <w:r w:rsidR="008A0019">
        <w:rPr>
          <w:rFonts w:cs="Times New Roman"/>
          <w:bCs/>
        </w:rPr>
        <w:t>Interreg</w:t>
      </w:r>
      <w:proofErr w:type="spellEnd"/>
      <w:r w:rsidR="00EF1757">
        <w:rPr>
          <w:rFonts w:cs="Times New Roman"/>
          <w:bCs/>
        </w:rPr>
        <w:t xml:space="preserve"> Slovensko – Maďarsko 2021-2027</w:t>
      </w:r>
      <w:r w:rsidR="00EF1757" w:rsidRPr="00EF1757">
        <w:rPr>
          <w:rFonts w:cs="Times New Roman"/>
          <w:szCs w:val="24"/>
        </w:rPr>
        <w:t xml:space="preserve">, ako aj programy nadnárodnej spolupráce </w:t>
      </w:r>
      <w:proofErr w:type="spellStart"/>
      <w:r w:rsidR="00EF1757" w:rsidRPr="00EF1757">
        <w:rPr>
          <w:rFonts w:cs="Times New Roman"/>
          <w:szCs w:val="24"/>
        </w:rPr>
        <w:t>Interreg</w:t>
      </w:r>
      <w:proofErr w:type="spellEnd"/>
      <w:r w:rsidR="00EF1757" w:rsidRPr="00EF1757">
        <w:rPr>
          <w:rFonts w:cs="Times New Roman"/>
          <w:szCs w:val="24"/>
        </w:rPr>
        <w:t xml:space="preserve"> Stredná Európa 2021-2027 a </w:t>
      </w:r>
      <w:proofErr w:type="spellStart"/>
      <w:r w:rsidR="00EF1757" w:rsidRPr="00EF1757">
        <w:rPr>
          <w:rFonts w:cs="Times New Roman"/>
          <w:szCs w:val="24"/>
        </w:rPr>
        <w:t>Interreg</w:t>
      </w:r>
      <w:proofErr w:type="spellEnd"/>
      <w:r w:rsidR="00EF1757" w:rsidRPr="00EF1757">
        <w:rPr>
          <w:rFonts w:cs="Times New Roman"/>
          <w:szCs w:val="24"/>
        </w:rPr>
        <w:t xml:space="preserve"> Program dunajského regiónu 2021, ktoré boli jednými z prvých programov nového programového obdobia 2021-2027 schválené Európskou komisiou.</w:t>
      </w:r>
    </w:p>
    <w:p w14:paraId="68675260" w14:textId="77777777" w:rsidR="00357173" w:rsidRDefault="00357173" w:rsidP="00F11C6D">
      <w:pPr>
        <w:spacing w:after="0" w:line="240" w:lineRule="auto"/>
        <w:rPr>
          <w:rFonts w:cs="Times New Roman"/>
          <w:bCs/>
          <w:szCs w:val="24"/>
        </w:rPr>
      </w:pPr>
    </w:p>
    <w:p w14:paraId="500D47F8" w14:textId="77777777" w:rsidR="00F94075" w:rsidRDefault="000150DA" w:rsidP="00357173">
      <w:pPr>
        <w:spacing w:after="0" w:line="240" w:lineRule="auto"/>
        <w:rPr>
          <w:rFonts w:cs="Times New Roman"/>
          <w:bCs/>
          <w:color w:val="auto"/>
          <w:szCs w:val="24"/>
        </w:rPr>
      </w:pPr>
      <w:r w:rsidRPr="00F32790">
        <w:rPr>
          <w:rFonts w:cs="Times New Roman"/>
          <w:color w:val="auto"/>
          <w:szCs w:val="24"/>
        </w:rPr>
        <w:t xml:space="preserve">Aktivity na európskej pôde boli aj v roku 2022 orientované na odolnosť, obnovu a strategickú autonómiu EÚ, pričom dôraz bol primárne kladený na </w:t>
      </w:r>
      <w:r w:rsidRPr="00F32790">
        <w:rPr>
          <w:rFonts w:cs="Times New Roman"/>
          <w:b/>
          <w:color w:val="auto"/>
          <w:szCs w:val="24"/>
        </w:rPr>
        <w:t>synergiu medzi zelenou a digitálnou transformáciou.</w:t>
      </w:r>
      <w:r w:rsidRPr="00F32790">
        <w:rPr>
          <w:rFonts w:cs="Times New Roman"/>
          <w:color w:val="auto"/>
          <w:szCs w:val="24"/>
        </w:rPr>
        <w:t xml:space="preserve"> </w:t>
      </w:r>
      <w:r w:rsidR="000E5178" w:rsidRPr="00F32790">
        <w:rPr>
          <w:rFonts w:cs="Times New Roman"/>
          <w:color w:val="auto"/>
          <w:szCs w:val="24"/>
        </w:rPr>
        <w:t>Aj s podporou SR sa v oblasti jednotného trhu podarilo úspešne prijať</w:t>
      </w:r>
      <w:r w:rsidRPr="00F32790">
        <w:rPr>
          <w:rFonts w:cs="Times New Roman"/>
          <w:color w:val="auto"/>
          <w:szCs w:val="24"/>
        </w:rPr>
        <w:t xml:space="preserve"> legislatívne iniciatívy pre lepšiu reguláciu široko chápaného digitálneho priestoru, konkrétne návrh </w:t>
      </w:r>
      <w:r w:rsidRPr="00475E10">
        <w:rPr>
          <w:rFonts w:cs="Times New Roman"/>
          <w:color w:val="auto"/>
          <w:szCs w:val="24"/>
        </w:rPr>
        <w:t>nariadenia o digitálnych službách, návrh nariadenia o digitálnych trhoch a návrh nariadenia o správe údajov. Ďalšou z ústredných aktivít v digitálnej oblasti</w:t>
      </w:r>
      <w:r w:rsidR="000E5178" w:rsidRPr="00475E10">
        <w:rPr>
          <w:rFonts w:cs="Times New Roman"/>
          <w:color w:val="auto"/>
          <w:szCs w:val="24"/>
        </w:rPr>
        <w:t>, ku ktorej svojimi návrhmi aktívne prispievala aj SR</w:t>
      </w:r>
      <w:r w:rsidRPr="00475E10">
        <w:rPr>
          <w:rFonts w:cs="Times New Roman"/>
          <w:color w:val="auto"/>
          <w:szCs w:val="24"/>
        </w:rPr>
        <w:t xml:space="preserve"> bol</w:t>
      </w:r>
      <w:r w:rsidR="000E5178" w:rsidRPr="00475E10">
        <w:rPr>
          <w:rFonts w:cs="Times New Roman"/>
          <w:color w:val="auto"/>
          <w:szCs w:val="24"/>
        </w:rPr>
        <w:t>i</w:t>
      </w:r>
      <w:r w:rsidRPr="00475E10">
        <w:rPr>
          <w:rFonts w:cs="Times New Roman"/>
          <w:color w:val="auto"/>
          <w:szCs w:val="24"/>
        </w:rPr>
        <w:t xml:space="preserve"> návrh nariadenia o umelej inteligencii</w:t>
      </w:r>
      <w:r w:rsidR="000E5178" w:rsidRPr="00475E10">
        <w:rPr>
          <w:rFonts w:cs="Times New Roman"/>
          <w:color w:val="auto"/>
          <w:szCs w:val="24"/>
        </w:rPr>
        <w:t>, kde bola dosiahnutá dohoda na úrovni Rady,</w:t>
      </w:r>
      <w:r w:rsidRPr="00475E10">
        <w:rPr>
          <w:rFonts w:cs="Times New Roman"/>
          <w:color w:val="auto"/>
          <w:szCs w:val="24"/>
        </w:rPr>
        <w:t xml:space="preserve"> a návrh nariadenia o</w:t>
      </w:r>
      <w:r w:rsidR="00475E10" w:rsidRPr="00475E10">
        <w:rPr>
          <w:rFonts w:cs="Times New Roman"/>
          <w:color w:val="auto"/>
          <w:szCs w:val="24"/>
        </w:rPr>
        <w:t> </w:t>
      </w:r>
      <w:r w:rsidRPr="00475E10">
        <w:rPr>
          <w:rFonts w:cs="Times New Roman"/>
          <w:color w:val="auto"/>
          <w:szCs w:val="24"/>
        </w:rPr>
        <w:t>údajoch</w:t>
      </w:r>
      <w:r w:rsidR="00475E10" w:rsidRPr="00475E10">
        <w:rPr>
          <w:rFonts w:cs="Times New Roman"/>
          <w:color w:val="auto"/>
          <w:szCs w:val="24"/>
        </w:rPr>
        <w:t>.</w:t>
      </w:r>
    </w:p>
    <w:p w14:paraId="2FDDA5F4" w14:textId="77777777" w:rsidR="00F94075" w:rsidRDefault="00F94075" w:rsidP="001734FE">
      <w:pPr>
        <w:spacing w:after="0" w:line="240" w:lineRule="auto"/>
        <w:rPr>
          <w:rFonts w:cs="Times New Roman"/>
          <w:bCs/>
          <w:color w:val="auto"/>
          <w:szCs w:val="24"/>
        </w:rPr>
      </w:pPr>
    </w:p>
    <w:p w14:paraId="19E719BB" w14:textId="679DE817" w:rsidR="00E472B8" w:rsidRPr="00F94075" w:rsidRDefault="000A34FD" w:rsidP="001734FE">
      <w:pPr>
        <w:spacing w:after="0" w:line="240" w:lineRule="auto"/>
        <w:rPr>
          <w:rFonts w:cs="Times New Roman"/>
          <w:bCs/>
          <w:color w:val="auto"/>
          <w:szCs w:val="24"/>
        </w:rPr>
      </w:pPr>
      <w:r w:rsidRPr="00F32790">
        <w:rPr>
          <w:rFonts w:cs="Times New Roman"/>
          <w:szCs w:val="24"/>
        </w:rPr>
        <w:t xml:space="preserve">SR sa v priebehu roka </w:t>
      </w:r>
      <w:r w:rsidR="006F0DCD" w:rsidRPr="00F32790">
        <w:rPr>
          <w:rFonts w:cs="Times New Roman"/>
          <w:szCs w:val="24"/>
        </w:rPr>
        <w:t xml:space="preserve">2022 </w:t>
      </w:r>
      <w:r w:rsidRPr="00F32790">
        <w:rPr>
          <w:rFonts w:cs="Times New Roman"/>
          <w:szCs w:val="24"/>
        </w:rPr>
        <w:t xml:space="preserve">zúčastňovala na práci </w:t>
      </w:r>
      <w:r w:rsidRPr="00F32790">
        <w:rPr>
          <w:rFonts w:cs="Times New Roman"/>
          <w:b/>
          <w:szCs w:val="24"/>
        </w:rPr>
        <w:t>EÚ siete pre strategický výhľad</w:t>
      </w:r>
      <w:r w:rsidR="00925F8B" w:rsidRPr="00F32790">
        <w:rPr>
          <w:rFonts w:cs="Times New Roman"/>
          <w:szCs w:val="24"/>
        </w:rPr>
        <w:t>, ktorá</w:t>
      </w:r>
      <w:r w:rsidR="00925F8B" w:rsidRPr="00F32790">
        <w:rPr>
          <w:rFonts w:cs="Times New Roman"/>
          <w:b/>
          <w:szCs w:val="24"/>
        </w:rPr>
        <w:t xml:space="preserve"> </w:t>
      </w:r>
      <w:r w:rsidRPr="00F32790">
        <w:rPr>
          <w:rFonts w:cs="Times New Roman"/>
          <w:szCs w:val="24"/>
        </w:rPr>
        <w:t xml:space="preserve"> združuje </w:t>
      </w:r>
      <w:proofErr w:type="spellStart"/>
      <w:r w:rsidRPr="00F32790">
        <w:rPr>
          <w:rFonts w:cs="Times New Roman"/>
          <w:szCs w:val="24"/>
        </w:rPr>
        <w:t>foresightovú</w:t>
      </w:r>
      <w:proofErr w:type="spellEnd"/>
      <w:r w:rsidRPr="00F32790">
        <w:rPr>
          <w:rFonts w:cs="Times New Roman"/>
          <w:szCs w:val="24"/>
        </w:rPr>
        <w:t xml:space="preserve"> expertízu administratív členských krajín a Európskej komisie za účelom výmeny informácií a spolupráce v otázkach strategického významu pre Európu. </w:t>
      </w:r>
      <w:r w:rsidR="00925F8B" w:rsidRPr="00F32790">
        <w:rPr>
          <w:rFonts w:cs="Times New Roman"/>
          <w:szCs w:val="24"/>
        </w:rPr>
        <w:t xml:space="preserve">Ministerstvo zahraničných vecí a európskych záležitostí SR (ďalej „MZVEZ SR“) </w:t>
      </w:r>
      <w:r w:rsidR="00D302F1" w:rsidRPr="00F32790">
        <w:rPr>
          <w:rFonts w:cs="Times New Roman"/>
          <w:szCs w:val="24"/>
        </w:rPr>
        <w:t>v tejto súvislosti vypracovalo správu</w:t>
      </w:r>
      <w:r w:rsidRPr="00F32790">
        <w:rPr>
          <w:rFonts w:cs="Times New Roman"/>
          <w:szCs w:val="24"/>
        </w:rPr>
        <w:t xml:space="preserve"> „</w:t>
      </w:r>
      <w:r w:rsidRPr="00F32790">
        <w:rPr>
          <w:rFonts w:cs="Times New Roman"/>
          <w:b/>
          <w:szCs w:val="24"/>
        </w:rPr>
        <w:t>Strategický výhľad zahraničnej a európskej politiky SR</w:t>
      </w:r>
      <w:r w:rsidRPr="00F32790">
        <w:rPr>
          <w:rFonts w:cs="Times New Roman"/>
          <w:szCs w:val="24"/>
        </w:rPr>
        <w:t>“, pri príprave ktorej bola využitá expertíza OECD. Cieľom správy je prispieť k tomu, aby SR viac využívala strategický výhľad pri tvorbe politík a prešla z reaktívneho do proaktívneho spôsobu ich tvorby. Správa jasne pomenúva oblasti, v ktorých SR výrazne zaostáva (energetická náročnosť, digitalizácia, úroveň vzdelávania, inovácie, rýchlosť dobiehania priemeru EÚ v ekonomickej výkonnosti, či udržanie kvalifikovanej pracovnej sily) a mala by slúžiť ako podnet k naštartovaniu širšej nadrezortnej diskusie</w:t>
      </w:r>
      <w:r w:rsidR="00D302F1" w:rsidRPr="00F32790">
        <w:rPr>
          <w:rFonts w:cs="Times New Roman"/>
          <w:szCs w:val="24"/>
        </w:rPr>
        <w:t xml:space="preserve"> v podmienkach SR</w:t>
      </w:r>
      <w:r w:rsidR="00E472B8" w:rsidRPr="00F32790">
        <w:rPr>
          <w:rFonts w:cs="Times New Roman"/>
          <w:szCs w:val="24"/>
        </w:rPr>
        <w:t xml:space="preserve">. </w:t>
      </w:r>
    </w:p>
    <w:p w14:paraId="46D1B3B1" w14:textId="77777777" w:rsidR="00E472B8" w:rsidRPr="00F32790" w:rsidRDefault="00E472B8" w:rsidP="001734FE">
      <w:pPr>
        <w:spacing w:after="0" w:line="240" w:lineRule="auto"/>
        <w:rPr>
          <w:rFonts w:cs="Times New Roman"/>
          <w:szCs w:val="24"/>
        </w:rPr>
      </w:pPr>
    </w:p>
    <w:p w14:paraId="222E780A" w14:textId="56460B87" w:rsidR="003725B6" w:rsidRPr="00F32790" w:rsidRDefault="00506F76" w:rsidP="001734FE">
      <w:pPr>
        <w:spacing w:after="0" w:line="240" w:lineRule="auto"/>
        <w:rPr>
          <w:rFonts w:cs="Times New Roman"/>
          <w:szCs w:val="24"/>
        </w:rPr>
      </w:pPr>
      <w:r w:rsidRPr="00F32790">
        <w:rPr>
          <w:rFonts w:cs="Times New Roman"/>
          <w:szCs w:val="24"/>
        </w:rPr>
        <w:t xml:space="preserve">Projekt </w:t>
      </w:r>
      <w:r w:rsidRPr="00F32790">
        <w:rPr>
          <w:rFonts w:cs="Times New Roman"/>
          <w:b/>
          <w:szCs w:val="24"/>
        </w:rPr>
        <w:t>Konferencie o budúcnosti Európy</w:t>
      </w:r>
      <w:r w:rsidR="008819E9">
        <w:rPr>
          <w:rFonts w:cs="Times New Roman"/>
          <w:b/>
          <w:szCs w:val="24"/>
        </w:rPr>
        <w:t xml:space="preserve"> (</w:t>
      </w:r>
      <w:r w:rsidR="00817D6D">
        <w:rPr>
          <w:rFonts w:cs="Times New Roman"/>
          <w:b/>
          <w:szCs w:val="24"/>
        </w:rPr>
        <w:t xml:space="preserve">ďalej </w:t>
      </w:r>
      <w:r w:rsidR="008819E9">
        <w:rPr>
          <w:rFonts w:cs="Times New Roman"/>
          <w:b/>
          <w:szCs w:val="24"/>
        </w:rPr>
        <w:t>„</w:t>
      </w:r>
      <w:proofErr w:type="spellStart"/>
      <w:r w:rsidR="00C31E2F">
        <w:rPr>
          <w:rFonts w:cs="Times New Roman"/>
          <w:b/>
          <w:szCs w:val="24"/>
        </w:rPr>
        <w:t>KoBE</w:t>
      </w:r>
      <w:proofErr w:type="spellEnd"/>
      <w:r w:rsidR="008819E9">
        <w:rPr>
          <w:rFonts w:cs="Times New Roman"/>
          <w:b/>
          <w:szCs w:val="24"/>
        </w:rPr>
        <w:t>“)</w:t>
      </w:r>
      <w:r w:rsidR="006F0DCD" w:rsidRPr="00F32790">
        <w:rPr>
          <w:rFonts w:cs="Times New Roman"/>
          <w:b/>
          <w:szCs w:val="24"/>
        </w:rPr>
        <w:t xml:space="preserve">, </w:t>
      </w:r>
      <w:r w:rsidR="006F0DCD" w:rsidRPr="00F32790">
        <w:rPr>
          <w:rFonts w:cs="Times New Roman"/>
          <w:szCs w:val="24"/>
        </w:rPr>
        <w:t>ktorým</w:t>
      </w:r>
      <w:r w:rsidRPr="00F32790">
        <w:rPr>
          <w:rFonts w:cs="Times New Roman"/>
          <w:szCs w:val="24"/>
        </w:rPr>
        <w:t xml:space="preserve"> </w:t>
      </w:r>
      <w:r w:rsidR="006F0DCD" w:rsidRPr="00F32790">
        <w:rPr>
          <w:rFonts w:cs="Times New Roman"/>
          <w:color w:val="auto"/>
          <w:szCs w:val="24"/>
        </w:rPr>
        <w:t>EÚ otvorila priestor na zlepšenie svojho fungovania,</w:t>
      </w:r>
      <w:r w:rsidR="006F0DCD" w:rsidRPr="00F32790">
        <w:rPr>
          <w:rFonts w:cs="Times New Roman"/>
          <w:szCs w:val="24"/>
        </w:rPr>
        <w:t xml:space="preserve"> </w:t>
      </w:r>
      <w:r w:rsidRPr="00F32790">
        <w:rPr>
          <w:rFonts w:cs="Times New Roman"/>
          <w:szCs w:val="24"/>
        </w:rPr>
        <w:t xml:space="preserve">bol úspešne ukončený v máji 2022. Zo série rôznorodých aktivít vzišla záverečná správa </w:t>
      </w:r>
      <w:proofErr w:type="spellStart"/>
      <w:r w:rsidR="00817D6D">
        <w:rPr>
          <w:rFonts w:cs="Times New Roman"/>
          <w:szCs w:val="24"/>
        </w:rPr>
        <w:t>KoBE</w:t>
      </w:r>
      <w:proofErr w:type="spellEnd"/>
      <w:r w:rsidRPr="00F32790">
        <w:rPr>
          <w:rFonts w:cs="Times New Roman"/>
          <w:szCs w:val="24"/>
        </w:rPr>
        <w:t>, ktorá obsahovala 49 návrhov rozpracovaných v </w:t>
      </w:r>
      <w:r w:rsidR="008E6BE5">
        <w:rPr>
          <w:rFonts w:cs="Times New Roman"/>
          <w:szCs w:val="24"/>
        </w:rPr>
        <w:br/>
      </w:r>
      <w:r w:rsidRPr="00F32790">
        <w:rPr>
          <w:rFonts w:cs="Times New Roman"/>
          <w:szCs w:val="24"/>
        </w:rPr>
        <w:t xml:space="preserve">326 konkrétnych odporúčaniach pre budúce smerovanie Únie. </w:t>
      </w:r>
      <w:r w:rsidR="00817D6D">
        <w:rPr>
          <w:rFonts w:cs="Times New Roman"/>
          <w:szCs w:val="24"/>
        </w:rPr>
        <w:t>EK</w:t>
      </w:r>
      <w:r w:rsidRPr="00F32790">
        <w:rPr>
          <w:rFonts w:cs="Times New Roman"/>
          <w:szCs w:val="24"/>
        </w:rPr>
        <w:t xml:space="preserve"> ich využila pri príprave </w:t>
      </w:r>
      <w:r w:rsidR="006F0DCD" w:rsidRPr="00F32790">
        <w:rPr>
          <w:rFonts w:cs="Times New Roman"/>
          <w:szCs w:val="24"/>
        </w:rPr>
        <w:t>P</w:t>
      </w:r>
      <w:r w:rsidRPr="00F32790">
        <w:rPr>
          <w:rFonts w:cs="Times New Roman"/>
          <w:szCs w:val="24"/>
        </w:rPr>
        <w:t xml:space="preserve">racovného programu na rok 2023. MZVEZ SR iniciovalo medzirezortnú diskusiu k téme zefektívnenia rozhodovacích procesov Rady, ktorá bola jednou z najviac rezonujúcich požiadaviek občanov. </w:t>
      </w:r>
    </w:p>
    <w:p w14:paraId="17BA88E5" w14:textId="77777777" w:rsidR="003725B6" w:rsidRPr="00F32790" w:rsidRDefault="003725B6" w:rsidP="001734FE">
      <w:pPr>
        <w:spacing w:after="0" w:line="240" w:lineRule="auto"/>
        <w:rPr>
          <w:rFonts w:cs="Times New Roman"/>
          <w:szCs w:val="24"/>
        </w:rPr>
      </w:pPr>
    </w:p>
    <w:p w14:paraId="11A8D2A7" w14:textId="58351574" w:rsidR="003725B6" w:rsidRPr="00F32790" w:rsidRDefault="008C1099" w:rsidP="001734FE">
      <w:pPr>
        <w:spacing w:after="0" w:line="240" w:lineRule="auto"/>
        <w:rPr>
          <w:rFonts w:cs="Times New Roman"/>
          <w:szCs w:val="24"/>
        </w:rPr>
      </w:pPr>
      <w:r>
        <w:rPr>
          <w:rFonts w:cs="Times New Roman"/>
          <w:bCs/>
          <w:color w:val="auto"/>
          <w:szCs w:val="24"/>
        </w:rPr>
        <w:t>EK</w:t>
      </w:r>
      <w:r w:rsidR="003725B6" w:rsidRPr="00F32790">
        <w:rPr>
          <w:rFonts w:cs="Times New Roman"/>
          <w:bCs/>
          <w:color w:val="auto"/>
          <w:szCs w:val="24"/>
        </w:rPr>
        <w:t xml:space="preserve"> viedla </w:t>
      </w:r>
      <w:r w:rsidR="003725B6" w:rsidRPr="00F32790">
        <w:rPr>
          <w:rFonts w:cs="Times New Roman"/>
          <w:szCs w:val="24"/>
        </w:rPr>
        <w:t xml:space="preserve">vo vzťahu k SR </w:t>
      </w:r>
      <w:r w:rsidR="003725B6" w:rsidRPr="00F32790">
        <w:rPr>
          <w:rFonts w:cs="Times New Roman"/>
          <w:b/>
          <w:szCs w:val="24"/>
        </w:rPr>
        <w:t xml:space="preserve">70 </w:t>
      </w:r>
      <w:r w:rsidR="003725B6" w:rsidRPr="00F32790">
        <w:rPr>
          <w:rFonts w:cs="Times New Roman"/>
          <w:b/>
          <w:bCs/>
          <w:color w:val="auto"/>
          <w:szCs w:val="24"/>
        </w:rPr>
        <w:t xml:space="preserve">konaní o porušení zmlúv </w:t>
      </w:r>
      <w:r w:rsidR="003725B6" w:rsidRPr="00F32790">
        <w:rPr>
          <w:rFonts w:cs="Times New Roman"/>
          <w:szCs w:val="24"/>
        </w:rPr>
        <w:t xml:space="preserve">podľa článku 258, 259 a 260 Zmluvy o fungovaní EÚ </w:t>
      </w:r>
      <w:r w:rsidR="003725B6" w:rsidRPr="00F32790">
        <w:rPr>
          <w:rFonts w:cs="Times New Roman"/>
          <w:bCs/>
          <w:color w:val="auto"/>
          <w:szCs w:val="24"/>
        </w:rPr>
        <w:t>(</w:t>
      </w:r>
      <w:proofErr w:type="spellStart"/>
      <w:r w:rsidR="003725B6" w:rsidRPr="00F32790">
        <w:rPr>
          <w:rFonts w:cs="Times New Roman"/>
          <w:bCs/>
          <w:color w:val="auto"/>
          <w:szCs w:val="24"/>
        </w:rPr>
        <w:t>infringementy</w:t>
      </w:r>
      <w:proofErr w:type="spellEnd"/>
      <w:r w:rsidR="003725B6" w:rsidRPr="00F32790">
        <w:rPr>
          <w:rFonts w:cs="Times New Roman"/>
          <w:bCs/>
          <w:color w:val="auto"/>
          <w:szCs w:val="24"/>
        </w:rPr>
        <w:t>)</w:t>
      </w:r>
      <w:r w:rsidR="003725B6" w:rsidRPr="00F32790">
        <w:rPr>
          <w:rFonts w:cs="Times New Roman"/>
          <w:szCs w:val="24"/>
        </w:rPr>
        <w:t xml:space="preserve">. Z celkového počtu 70 konaní bolo: 38 v štádiu formálneho oznámenia, 1 v štádiu doplňujúceho formálneho oznámenia, 24 v štádiu odôvodneného stanoviska, v 2 konaniach EK rozhodla o podaní žaloby na Súdny dvor EÚ (nejde však ešte o samotné podanie žaloby), v 2 konaniach bola podaná žaloba na Súdny dvor EÚ, v 1 konaní došlo k  vzatiu žaloby späť a 2 konaniach Súdny dvor EÚ vydal rozsudok. EK uzavrela 11 konaní (v 2021 – 19). Z celkového počtu 70 konaní bolo: 31 vedených z dôvodu neoznámenia transpozičných opatrení k smerniciam, 13 z dôvodu nesprávnej transpozície smerníc, 14 pre nesprávnu aplikáciu práva EÚ a 12 konaní bolo vedených z iných dôvodov. Napriek miernemu </w:t>
      </w:r>
      <w:r w:rsidR="003725B6" w:rsidRPr="00F32790">
        <w:rPr>
          <w:rFonts w:cs="Times New Roman"/>
          <w:szCs w:val="24"/>
        </w:rPr>
        <w:lastRenderedPageBreak/>
        <w:t>nárast počtu konaní (+ 4 oproti r. 2021) patrí SR dlhodobo k štátom s nižším počtom konaní o porušení zmluvy vedených podľa článku 258</w:t>
      </w:r>
      <w:r w:rsidR="00343CCF">
        <w:rPr>
          <w:rFonts w:cs="Times New Roman"/>
          <w:szCs w:val="24"/>
        </w:rPr>
        <w:t>-</w:t>
      </w:r>
      <w:r w:rsidR="003725B6" w:rsidRPr="00F32790">
        <w:rPr>
          <w:rFonts w:cs="Times New Roman"/>
          <w:szCs w:val="24"/>
        </w:rPr>
        <w:t>260 Zmluvy o fungovaní EÚ</w:t>
      </w:r>
      <w:r w:rsidR="00343CCF">
        <w:rPr>
          <w:rFonts w:cs="Times New Roman"/>
          <w:szCs w:val="24"/>
        </w:rPr>
        <w:t xml:space="preserve"> (ďalej „ZFEÚ“)</w:t>
      </w:r>
      <w:r w:rsidR="003725B6" w:rsidRPr="00F32790">
        <w:rPr>
          <w:rFonts w:cs="Times New Roman"/>
          <w:szCs w:val="24"/>
        </w:rPr>
        <w:t>.</w:t>
      </w:r>
    </w:p>
    <w:p w14:paraId="4E8D757E" w14:textId="77777777" w:rsidR="001B2B9C" w:rsidRPr="00F32790" w:rsidRDefault="001B2B9C" w:rsidP="001734FE">
      <w:pPr>
        <w:spacing w:after="0" w:line="240" w:lineRule="auto"/>
        <w:rPr>
          <w:rFonts w:cs="Times New Roman"/>
          <w:color w:val="FF0000"/>
          <w:szCs w:val="24"/>
        </w:rPr>
      </w:pPr>
    </w:p>
    <w:p w14:paraId="18E3D98C" w14:textId="4747C346" w:rsidR="00F55F02" w:rsidRPr="00F32790" w:rsidRDefault="00F55F02" w:rsidP="001734FE">
      <w:pPr>
        <w:spacing w:after="0" w:line="240" w:lineRule="auto"/>
        <w:rPr>
          <w:rFonts w:cs="Times New Roman"/>
          <w:color w:val="auto"/>
          <w:szCs w:val="24"/>
        </w:rPr>
      </w:pPr>
      <w:r w:rsidRPr="00F32790">
        <w:rPr>
          <w:rFonts w:cs="Times New Roman"/>
          <w:color w:val="auto"/>
          <w:szCs w:val="24"/>
        </w:rPr>
        <w:t xml:space="preserve">Nosná časť predkladanej správy sa venuje primárne operatívnej časti výkonu európskych politík a popisuje spektrum vybraných tém, ktoré jednotlivé rezorty negociovali v roku 2022. </w:t>
      </w:r>
      <w:r w:rsidR="00F43B61">
        <w:rPr>
          <w:rFonts w:cs="Times New Roman"/>
          <w:color w:val="auto"/>
          <w:szCs w:val="24"/>
        </w:rPr>
        <w:t xml:space="preserve"> J</w:t>
      </w:r>
      <w:r w:rsidRPr="00F32790">
        <w:rPr>
          <w:rFonts w:cs="Times New Roman"/>
          <w:color w:val="auto"/>
          <w:szCs w:val="24"/>
        </w:rPr>
        <w:t xml:space="preserve">e rozdelená do </w:t>
      </w:r>
      <w:r w:rsidRPr="00F32790">
        <w:rPr>
          <w:rFonts w:cs="Times New Roman"/>
          <w:b/>
          <w:color w:val="auto"/>
          <w:szCs w:val="24"/>
        </w:rPr>
        <w:t>6 podkapitol kopírujúcich strategické priority EK</w:t>
      </w:r>
      <w:r w:rsidRPr="00F32790">
        <w:rPr>
          <w:rFonts w:cs="Times New Roman"/>
          <w:color w:val="auto"/>
          <w:szCs w:val="24"/>
        </w:rPr>
        <w:t>.</w:t>
      </w:r>
      <w:r w:rsidR="005D497E" w:rsidRPr="00F32790">
        <w:rPr>
          <w:rFonts w:cs="Times New Roman"/>
          <w:color w:val="auto"/>
          <w:szCs w:val="24"/>
        </w:rPr>
        <w:t xml:space="preserve"> Rok 2022 bol veľmi náročným a intenzívnym rokom, čo odzrkadľuje počet prijatých nariadení a odporúčaní ako aj počet aktivít jednotlivých  rezortov. </w:t>
      </w:r>
    </w:p>
    <w:p w14:paraId="781D7C70" w14:textId="77777777" w:rsidR="00F55F02" w:rsidRPr="00F32790" w:rsidRDefault="00F55F02" w:rsidP="001734FE">
      <w:pPr>
        <w:spacing w:after="0" w:line="240" w:lineRule="auto"/>
        <w:rPr>
          <w:rFonts w:cs="Times New Roman"/>
          <w:color w:val="FF0000"/>
          <w:szCs w:val="24"/>
        </w:rPr>
      </w:pPr>
    </w:p>
    <w:p w14:paraId="4462D230" w14:textId="2A73F852" w:rsidR="00F43B61" w:rsidRPr="00F32790" w:rsidRDefault="00F43B61" w:rsidP="00F43B61">
      <w:pPr>
        <w:spacing w:after="0" w:line="240" w:lineRule="auto"/>
        <w:rPr>
          <w:rFonts w:cs="Times New Roman"/>
          <w:szCs w:val="24"/>
        </w:rPr>
      </w:pPr>
      <w:r>
        <w:rPr>
          <w:rFonts w:cs="Times New Roman"/>
          <w:color w:val="auto"/>
          <w:szCs w:val="24"/>
        </w:rPr>
        <w:t>Záverečná</w:t>
      </w:r>
      <w:r w:rsidRPr="00F32790">
        <w:rPr>
          <w:rFonts w:cs="Times New Roman"/>
          <w:color w:val="auto"/>
          <w:szCs w:val="24"/>
        </w:rPr>
        <w:t xml:space="preserve"> časť materiálu podáva stručnú výpoveď o </w:t>
      </w:r>
      <w:r w:rsidRPr="00F32790">
        <w:rPr>
          <w:rFonts w:cs="Times New Roman"/>
          <w:b/>
          <w:color w:val="auto"/>
          <w:szCs w:val="24"/>
        </w:rPr>
        <w:t>personálnom zastúpení SR v inštitúciách EÚ</w:t>
      </w:r>
      <w:r w:rsidRPr="00F32790">
        <w:rPr>
          <w:rFonts w:cs="Times New Roman"/>
          <w:color w:val="auto"/>
          <w:szCs w:val="24"/>
        </w:rPr>
        <w:t>. Tvorba európskej politiky začína na národnej úrovni</w:t>
      </w:r>
      <w:r w:rsidRPr="00F32790">
        <w:rPr>
          <w:rFonts w:cs="Times New Roman"/>
          <w:color w:val="FF0000"/>
          <w:szCs w:val="24"/>
        </w:rPr>
        <w:t xml:space="preserve">. </w:t>
      </w:r>
      <w:r w:rsidRPr="00F32790">
        <w:rPr>
          <w:rFonts w:cs="Times New Roman"/>
          <w:bCs/>
          <w:szCs w:val="24"/>
        </w:rPr>
        <w:t xml:space="preserve">Pre </w:t>
      </w:r>
      <w:r>
        <w:rPr>
          <w:rFonts w:cs="Times New Roman"/>
          <w:bCs/>
          <w:szCs w:val="24"/>
        </w:rPr>
        <w:t>SR</w:t>
      </w:r>
      <w:r w:rsidRPr="00F32790">
        <w:rPr>
          <w:rFonts w:cs="Times New Roman"/>
          <w:bCs/>
          <w:szCs w:val="24"/>
        </w:rPr>
        <w:t xml:space="preserve"> ako členský štát EÚ je potrebné a žiaduce, aby v štruktúrach inštitúcií EÚ mala zamestnaných čo najviac svojich občanov, keďže títo prispievajú k posilneniu pozície Slovenska v rámci EÚ. </w:t>
      </w:r>
    </w:p>
    <w:p w14:paraId="3B725FCD" w14:textId="77777777" w:rsidR="002364F1" w:rsidRPr="00F32790" w:rsidRDefault="002364F1" w:rsidP="001734FE">
      <w:pPr>
        <w:spacing w:after="0" w:line="240" w:lineRule="auto"/>
        <w:rPr>
          <w:rFonts w:cs="Times New Roman"/>
          <w:color w:val="FF0000"/>
          <w:szCs w:val="24"/>
        </w:rPr>
      </w:pPr>
    </w:p>
    <w:p w14:paraId="46ADA711" w14:textId="125402F4" w:rsidR="003B0629" w:rsidRPr="00F32790" w:rsidRDefault="003B0629" w:rsidP="001734FE">
      <w:pPr>
        <w:pStyle w:val="Nadpis1"/>
        <w:jc w:val="both"/>
        <w:rPr>
          <w:rFonts w:cs="Times New Roman"/>
          <w:b w:val="0"/>
          <w:color w:val="auto"/>
          <w:szCs w:val="24"/>
        </w:rPr>
      </w:pPr>
      <w:r w:rsidRPr="00F32790">
        <w:rPr>
          <w:rFonts w:cs="Times New Roman"/>
          <w:color w:val="auto"/>
          <w:szCs w:val="24"/>
        </w:rPr>
        <w:t xml:space="preserve">2. </w:t>
      </w:r>
      <w:r w:rsidR="00392879" w:rsidRPr="00F32790">
        <w:rPr>
          <w:rFonts w:cs="Times New Roman"/>
          <w:color w:val="auto"/>
          <w:szCs w:val="24"/>
        </w:rPr>
        <w:t>Č</w:t>
      </w:r>
      <w:r w:rsidRPr="00F32790">
        <w:rPr>
          <w:rFonts w:cs="Times New Roman"/>
          <w:color w:val="auto"/>
          <w:szCs w:val="24"/>
        </w:rPr>
        <w:t>lenstv</w:t>
      </w:r>
      <w:r w:rsidR="00392879" w:rsidRPr="00F32790">
        <w:rPr>
          <w:rFonts w:cs="Times New Roman"/>
          <w:color w:val="auto"/>
          <w:szCs w:val="24"/>
        </w:rPr>
        <w:t>o</w:t>
      </w:r>
      <w:r w:rsidRPr="00F32790">
        <w:rPr>
          <w:rFonts w:cs="Times New Roman"/>
          <w:color w:val="auto"/>
          <w:szCs w:val="24"/>
        </w:rPr>
        <w:t xml:space="preserve"> Slovenskej republiky v Európskej úni</w:t>
      </w:r>
      <w:r w:rsidR="009E61E1" w:rsidRPr="00F32790">
        <w:rPr>
          <w:rFonts w:cs="Times New Roman"/>
          <w:color w:val="auto"/>
          <w:szCs w:val="24"/>
        </w:rPr>
        <w:t>i</w:t>
      </w:r>
      <w:r w:rsidR="00550B8D" w:rsidRPr="00F32790">
        <w:rPr>
          <w:rFonts w:cs="Times New Roman"/>
          <w:color w:val="auto"/>
          <w:szCs w:val="24"/>
        </w:rPr>
        <w:t xml:space="preserve"> v roku 2022</w:t>
      </w:r>
    </w:p>
    <w:p w14:paraId="56CBCE21" w14:textId="77777777" w:rsidR="003B0629" w:rsidRPr="00F32790" w:rsidRDefault="003B0629" w:rsidP="001734FE">
      <w:pPr>
        <w:pStyle w:val="Podtitul"/>
        <w:spacing w:after="0" w:line="240" w:lineRule="auto"/>
        <w:rPr>
          <w:rFonts w:ascii="Times New Roman" w:hAnsi="Times New Roman" w:cs="Times New Roman"/>
          <w:b/>
          <w:color w:val="FF0000"/>
          <w:sz w:val="24"/>
          <w:szCs w:val="24"/>
          <w:lang w:val="sk-SK"/>
        </w:rPr>
      </w:pPr>
    </w:p>
    <w:p w14:paraId="0EEF0B06" w14:textId="77777777" w:rsidR="003B0629" w:rsidRPr="00F32790" w:rsidRDefault="003B0629" w:rsidP="001734FE">
      <w:pPr>
        <w:pStyle w:val="Nadpis1"/>
        <w:jc w:val="both"/>
        <w:rPr>
          <w:rFonts w:cs="Times New Roman"/>
          <w:color w:val="auto"/>
          <w:szCs w:val="24"/>
          <w:u w:val="single"/>
        </w:rPr>
      </w:pPr>
      <w:r w:rsidRPr="00F32790">
        <w:rPr>
          <w:rFonts w:cs="Times New Roman"/>
          <w:color w:val="auto"/>
          <w:szCs w:val="24"/>
          <w:u w:val="single"/>
        </w:rPr>
        <w:t>2.1. Európska zelená dohoda</w:t>
      </w:r>
    </w:p>
    <w:p w14:paraId="5C07CB16" w14:textId="195A4B3B" w:rsidR="00E472B8" w:rsidRPr="00F32790" w:rsidRDefault="008C1099" w:rsidP="001734FE">
      <w:pPr>
        <w:spacing w:after="0" w:line="240" w:lineRule="auto"/>
        <w:rPr>
          <w:rFonts w:cs="Times New Roman"/>
          <w:szCs w:val="24"/>
        </w:rPr>
      </w:pPr>
      <w:r>
        <w:rPr>
          <w:rFonts w:cs="Times New Roman"/>
          <w:szCs w:val="24"/>
        </w:rPr>
        <w:t>EK</w:t>
      </w:r>
      <w:r w:rsidR="00550B8D" w:rsidRPr="00F32790">
        <w:rPr>
          <w:rFonts w:cs="Times New Roman"/>
          <w:szCs w:val="24"/>
        </w:rPr>
        <w:t xml:space="preserve"> dňa 14. 7. 2021 zverejnila balík legislatívnych a nelegislatívnych návrhov pod názvom </w:t>
      </w:r>
      <w:r w:rsidR="00550B8D" w:rsidRPr="00F32790">
        <w:rPr>
          <w:rFonts w:cs="Times New Roman"/>
          <w:b/>
          <w:szCs w:val="24"/>
        </w:rPr>
        <w:t xml:space="preserve">„Fit </w:t>
      </w:r>
      <w:proofErr w:type="spellStart"/>
      <w:r w:rsidR="00550B8D" w:rsidRPr="00F32790">
        <w:rPr>
          <w:rFonts w:cs="Times New Roman"/>
          <w:b/>
          <w:szCs w:val="24"/>
        </w:rPr>
        <w:t>for</w:t>
      </w:r>
      <w:proofErr w:type="spellEnd"/>
      <w:r w:rsidR="00550B8D" w:rsidRPr="00F32790">
        <w:rPr>
          <w:rFonts w:cs="Times New Roman"/>
          <w:b/>
          <w:szCs w:val="24"/>
        </w:rPr>
        <w:t xml:space="preserve"> 55“, </w:t>
      </w:r>
      <w:r w:rsidR="002A055F" w:rsidRPr="00F32790">
        <w:rPr>
          <w:rFonts w:cs="Times New Roman"/>
          <w:szCs w:val="24"/>
        </w:rPr>
        <w:t>ktorý j</w:t>
      </w:r>
      <w:r w:rsidR="004010FD" w:rsidRPr="00F32790">
        <w:rPr>
          <w:rFonts w:cs="Times New Roman"/>
          <w:iCs/>
          <w:szCs w:val="24"/>
        </w:rPr>
        <w:t>e nosným prvkom Európskej zelenej dohody</w:t>
      </w:r>
      <w:r w:rsidR="002A055F" w:rsidRPr="00F32790">
        <w:rPr>
          <w:rFonts w:cs="Times New Roman"/>
          <w:iCs/>
          <w:szCs w:val="24"/>
        </w:rPr>
        <w:t xml:space="preserve"> a</w:t>
      </w:r>
      <w:r w:rsidR="004010FD" w:rsidRPr="00F32790">
        <w:rPr>
          <w:rFonts w:cs="Times New Roman"/>
          <w:iCs/>
          <w:szCs w:val="24"/>
        </w:rPr>
        <w:t xml:space="preserve"> </w:t>
      </w:r>
      <w:r w:rsidR="00550B8D" w:rsidRPr="00F32790">
        <w:rPr>
          <w:rFonts w:cs="Times New Roman"/>
          <w:szCs w:val="24"/>
        </w:rPr>
        <w:t>ktorý má nasmerovať EÚ a jej členské štáty smerom</w:t>
      </w:r>
      <w:r w:rsidR="00550B8D" w:rsidRPr="00F32790">
        <w:rPr>
          <w:rFonts w:cs="Times New Roman"/>
          <w:b/>
          <w:szCs w:val="24"/>
        </w:rPr>
        <w:t xml:space="preserve"> k dosiahnutiu klimatického cieľa 2030 na úrovni zníženia emisií </w:t>
      </w:r>
      <w:r w:rsidR="00475E10">
        <w:rPr>
          <w:rFonts w:cs="Times New Roman"/>
          <w:b/>
          <w:szCs w:val="24"/>
        </w:rPr>
        <w:t xml:space="preserve">skleníkových plynov </w:t>
      </w:r>
      <w:r w:rsidR="00550B8D" w:rsidRPr="00F32790">
        <w:rPr>
          <w:rFonts w:cs="Times New Roman"/>
          <w:b/>
          <w:szCs w:val="24"/>
        </w:rPr>
        <w:t>o minimálne 55%.</w:t>
      </w:r>
      <w:r w:rsidR="00550B8D" w:rsidRPr="00F32790">
        <w:rPr>
          <w:rFonts w:cs="Times New Roman"/>
          <w:szCs w:val="24"/>
        </w:rPr>
        <w:t xml:space="preserve"> Tento balík bol následne </w:t>
      </w:r>
      <w:r w:rsidR="002A055F" w:rsidRPr="00F32790">
        <w:rPr>
          <w:rFonts w:cs="Times New Roman"/>
          <w:szCs w:val="24"/>
        </w:rPr>
        <w:t>rozšírený aj o energetické návrhy</w:t>
      </w:r>
      <w:r w:rsidR="0014566F" w:rsidRPr="00F32790">
        <w:rPr>
          <w:rFonts w:cs="Times New Roman"/>
          <w:szCs w:val="24"/>
        </w:rPr>
        <w:t>. Dohoda na úrovni Rady k</w:t>
      </w:r>
      <w:r w:rsidR="00343CCF">
        <w:rPr>
          <w:rFonts w:cs="Times New Roman"/>
          <w:szCs w:val="24"/>
        </w:rPr>
        <w:t xml:space="preserve"> spisom v rámci </w:t>
      </w:r>
      <w:r w:rsidR="0014566F" w:rsidRPr="00F32790">
        <w:rPr>
          <w:rFonts w:cs="Times New Roman"/>
          <w:szCs w:val="24"/>
        </w:rPr>
        <w:t>balík</w:t>
      </w:r>
      <w:r w:rsidR="00343CCF">
        <w:rPr>
          <w:rFonts w:cs="Times New Roman"/>
          <w:szCs w:val="24"/>
        </w:rPr>
        <w:t>a</w:t>
      </w:r>
      <w:r w:rsidR="0014566F" w:rsidRPr="00F32790">
        <w:rPr>
          <w:rFonts w:cs="Times New Roman"/>
          <w:szCs w:val="24"/>
        </w:rPr>
        <w:t xml:space="preserve"> „Fit </w:t>
      </w:r>
      <w:proofErr w:type="spellStart"/>
      <w:r w:rsidR="0014566F" w:rsidRPr="00F32790">
        <w:rPr>
          <w:rFonts w:cs="Times New Roman"/>
          <w:szCs w:val="24"/>
        </w:rPr>
        <w:t>for</w:t>
      </w:r>
      <w:proofErr w:type="spellEnd"/>
      <w:r w:rsidR="0014566F" w:rsidRPr="00F32790">
        <w:rPr>
          <w:rFonts w:cs="Times New Roman"/>
          <w:szCs w:val="24"/>
        </w:rPr>
        <w:t xml:space="preserve"> 55“ sa dosiahla ešte v prvom polroku 2022, pričom od júla 2022 prebiehajú rokovania o finálnych textoch balíka medzi orgánmi EÚ (tzv. </w:t>
      </w:r>
      <w:proofErr w:type="spellStart"/>
      <w:r w:rsidR="0014566F" w:rsidRPr="00F32790">
        <w:rPr>
          <w:rFonts w:cs="Times New Roman"/>
          <w:szCs w:val="24"/>
        </w:rPr>
        <w:t>trialógy</w:t>
      </w:r>
      <w:proofErr w:type="spellEnd"/>
      <w:r w:rsidR="0014566F" w:rsidRPr="00F32790">
        <w:rPr>
          <w:rFonts w:cs="Times New Roman"/>
          <w:szCs w:val="24"/>
        </w:rPr>
        <w:t>). Väčšiu časť legislatívy sa podarilo v </w:t>
      </w:r>
      <w:proofErr w:type="spellStart"/>
      <w:r w:rsidR="0014566F" w:rsidRPr="00F32790">
        <w:rPr>
          <w:rFonts w:cs="Times New Roman"/>
          <w:szCs w:val="24"/>
        </w:rPr>
        <w:t>trialógoch</w:t>
      </w:r>
      <w:proofErr w:type="spellEnd"/>
      <w:r w:rsidR="0014566F" w:rsidRPr="00F32790">
        <w:rPr>
          <w:rFonts w:cs="Times New Roman"/>
          <w:szCs w:val="24"/>
        </w:rPr>
        <w:t xml:space="preserve"> dohodnúť počas CZ PRES a očakáva sa, že zvyšnú časť dorieši </w:t>
      </w:r>
      <w:r w:rsidR="00550B8D" w:rsidRPr="00F32790">
        <w:rPr>
          <w:rFonts w:cs="Times New Roman"/>
          <w:szCs w:val="24"/>
        </w:rPr>
        <w:t xml:space="preserve">nasledujúce švédske predsedníctvo v 1. polroku 2023. </w:t>
      </w:r>
    </w:p>
    <w:p w14:paraId="354CB1CE" w14:textId="77777777" w:rsidR="00E472B8" w:rsidRPr="00F32790" w:rsidRDefault="00E472B8" w:rsidP="001734FE">
      <w:pPr>
        <w:spacing w:after="0" w:line="240" w:lineRule="auto"/>
        <w:rPr>
          <w:rFonts w:cs="Times New Roman"/>
          <w:szCs w:val="24"/>
        </w:rPr>
      </w:pPr>
    </w:p>
    <w:p w14:paraId="5A960FCE" w14:textId="6442DA98" w:rsidR="00E472B8" w:rsidRPr="00F32790" w:rsidRDefault="0014566F" w:rsidP="00475E10">
      <w:pPr>
        <w:spacing w:after="0" w:line="240" w:lineRule="auto"/>
        <w:rPr>
          <w:rFonts w:cs="Times New Roman"/>
          <w:szCs w:val="24"/>
        </w:rPr>
      </w:pPr>
      <w:r w:rsidRPr="00F32790">
        <w:rPr>
          <w:rFonts w:cs="Times New Roman"/>
          <w:szCs w:val="24"/>
        </w:rPr>
        <w:t xml:space="preserve">Z tých </w:t>
      </w:r>
      <w:r w:rsidR="00F14C71" w:rsidRPr="00F32790">
        <w:rPr>
          <w:rFonts w:cs="Times New Roman"/>
          <w:szCs w:val="24"/>
        </w:rPr>
        <w:t>naj</w:t>
      </w:r>
      <w:r w:rsidRPr="00F32790">
        <w:rPr>
          <w:rFonts w:cs="Times New Roman"/>
          <w:szCs w:val="24"/>
        </w:rPr>
        <w:t>dôležitejších legislatívnych návrhov sa v</w:t>
      </w:r>
      <w:r w:rsidR="00550B8D" w:rsidRPr="00F32790">
        <w:rPr>
          <w:rFonts w:cs="Times New Roman"/>
          <w:szCs w:val="24"/>
        </w:rPr>
        <w:t> </w:t>
      </w:r>
      <w:r w:rsidR="00F13F21" w:rsidRPr="00F32790">
        <w:rPr>
          <w:rFonts w:cs="Times New Roman"/>
          <w:szCs w:val="24"/>
        </w:rPr>
        <w:t>r</w:t>
      </w:r>
      <w:r w:rsidR="00550B8D" w:rsidRPr="00F32790">
        <w:rPr>
          <w:rFonts w:cs="Times New Roman"/>
          <w:szCs w:val="24"/>
        </w:rPr>
        <w:t xml:space="preserve">oku 2022 podarilo dosiahnuť dohody pri </w:t>
      </w:r>
      <w:r w:rsidR="00F14C71" w:rsidRPr="00F32790">
        <w:rPr>
          <w:rFonts w:cs="Times New Roman"/>
          <w:szCs w:val="24"/>
        </w:rPr>
        <w:t xml:space="preserve">revízii </w:t>
      </w:r>
      <w:r w:rsidR="00F14C71" w:rsidRPr="00452CC4">
        <w:rPr>
          <w:rFonts w:cs="Times New Roman"/>
          <w:b/>
          <w:szCs w:val="24"/>
        </w:rPr>
        <w:t>Smernice o obchodovaní s emisnými kvótami</w:t>
      </w:r>
      <w:r w:rsidR="00F14C71" w:rsidRPr="00F32790">
        <w:rPr>
          <w:rFonts w:cs="Times New Roman"/>
          <w:szCs w:val="24"/>
        </w:rPr>
        <w:t xml:space="preserve"> </w:t>
      </w:r>
      <w:r w:rsidR="00F11C6D">
        <w:rPr>
          <w:rStyle w:val="Odkaznapoznmkupodiarou"/>
          <w:szCs w:val="24"/>
        </w:rPr>
        <w:footnoteReference w:id="3"/>
      </w:r>
      <w:r w:rsidR="00F14C71" w:rsidRPr="00F32790">
        <w:rPr>
          <w:rFonts w:cs="Times New Roman"/>
          <w:szCs w:val="24"/>
        </w:rPr>
        <w:t>(</w:t>
      </w:r>
      <w:r w:rsidR="00452CC4">
        <w:rPr>
          <w:rFonts w:cs="Times New Roman"/>
          <w:szCs w:val="24"/>
        </w:rPr>
        <w:t>ďalej „</w:t>
      </w:r>
      <w:r w:rsidR="00F14C71" w:rsidRPr="00F32790">
        <w:rPr>
          <w:rFonts w:cs="Times New Roman"/>
          <w:szCs w:val="24"/>
        </w:rPr>
        <w:t>ETS</w:t>
      </w:r>
      <w:r w:rsidR="00452CC4">
        <w:rPr>
          <w:rFonts w:cs="Times New Roman"/>
          <w:szCs w:val="24"/>
        </w:rPr>
        <w:t>“</w:t>
      </w:r>
      <w:r w:rsidR="00F14C71" w:rsidRPr="00F32790">
        <w:rPr>
          <w:rFonts w:cs="Times New Roman"/>
          <w:szCs w:val="24"/>
        </w:rPr>
        <w:t>) s</w:t>
      </w:r>
      <w:r w:rsidR="002A055F" w:rsidRPr="00F32790">
        <w:rPr>
          <w:rFonts w:cs="Times New Roman"/>
          <w:szCs w:val="24"/>
        </w:rPr>
        <w:t> vytvorením nového</w:t>
      </w:r>
      <w:r w:rsidR="00F14C71" w:rsidRPr="00F32790">
        <w:rPr>
          <w:rFonts w:cs="Times New Roman"/>
          <w:szCs w:val="24"/>
        </w:rPr>
        <w:t xml:space="preserve"> Sociálno-klimatic</w:t>
      </w:r>
      <w:r w:rsidR="002A055F" w:rsidRPr="00F32790">
        <w:rPr>
          <w:rFonts w:cs="Times New Roman"/>
          <w:szCs w:val="24"/>
        </w:rPr>
        <w:t>kého fondu</w:t>
      </w:r>
      <w:r w:rsidR="00452CC4">
        <w:rPr>
          <w:rFonts w:cs="Times New Roman"/>
          <w:szCs w:val="24"/>
        </w:rPr>
        <w:t xml:space="preserve"> (ďalej „SKF“)</w:t>
      </w:r>
      <w:r w:rsidR="00F14C71" w:rsidRPr="00F32790">
        <w:rPr>
          <w:rFonts w:cs="Times New Roman"/>
          <w:szCs w:val="24"/>
        </w:rPr>
        <w:t xml:space="preserve">, pri </w:t>
      </w:r>
      <w:r w:rsidR="00550B8D" w:rsidRPr="00F32790">
        <w:rPr>
          <w:rFonts w:cs="Times New Roman"/>
          <w:szCs w:val="24"/>
        </w:rPr>
        <w:t xml:space="preserve">Nariadení o emisných normách </w:t>
      </w:r>
      <w:r w:rsidR="00475E10" w:rsidRPr="006B2633">
        <w:rPr>
          <w:rFonts w:cs="Times New Roman"/>
        </w:rPr>
        <w:t>CO</w:t>
      </w:r>
      <w:r w:rsidR="00475E10" w:rsidRPr="004727C1">
        <w:rPr>
          <w:rFonts w:cs="Times New Roman"/>
          <w:vertAlign w:val="subscript"/>
        </w:rPr>
        <w:t>2</w:t>
      </w:r>
      <w:r w:rsidR="00550B8D" w:rsidRPr="00F32790">
        <w:rPr>
          <w:rFonts w:cs="Times New Roman"/>
          <w:szCs w:val="24"/>
        </w:rPr>
        <w:t xml:space="preserve"> pre nové osobné automobily a nové ľahké úžitkové vozidlá</w:t>
      </w:r>
      <w:r w:rsidRPr="00F32790">
        <w:rPr>
          <w:rFonts w:cs="Times New Roman"/>
          <w:szCs w:val="24"/>
        </w:rPr>
        <w:t>, pri</w:t>
      </w:r>
      <w:r w:rsidR="00550B8D" w:rsidRPr="00F32790">
        <w:rPr>
          <w:rFonts w:cs="Times New Roman"/>
          <w:szCs w:val="24"/>
        </w:rPr>
        <w:t xml:space="preserve"> Nariadení o využívaní pôdy, zmenách vo využívaní pôdy a</w:t>
      </w:r>
      <w:r w:rsidR="00F13F21" w:rsidRPr="00F32790">
        <w:rPr>
          <w:rFonts w:cs="Times New Roman"/>
          <w:szCs w:val="24"/>
        </w:rPr>
        <w:t> </w:t>
      </w:r>
      <w:r w:rsidR="00550B8D" w:rsidRPr="00F32790">
        <w:rPr>
          <w:rFonts w:cs="Times New Roman"/>
          <w:szCs w:val="24"/>
        </w:rPr>
        <w:t>lesnom</w:t>
      </w:r>
      <w:r w:rsidR="00F13F21" w:rsidRPr="00F32790">
        <w:rPr>
          <w:rFonts w:cs="Times New Roman"/>
          <w:szCs w:val="24"/>
        </w:rPr>
        <w:t xml:space="preserve"> hospodárstve</w:t>
      </w:r>
      <w:r w:rsidR="00550B8D" w:rsidRPr="00F32790">
        <w:rPr>
          <w:rFonts w:cs="Times New Roman"/>
          <w:szCs w:val="24"/>
        </w:rPr>
        <w:t xml:space="preserve"> </w:t>
      </w:r>
      <w:r w:rsidR="007A02D8">
        <w:rPr>
          <w:rFonts w:cs="Times New Roman"/>
          <w:szCs w:val="24"/>
        </w:rPr>
        <w:t>(ďalej „LULUCF“)</w:t>
      </w:r>
      <w:r w:rsidR="00550B8D" w:rsidRPr="00F32790">
        <w:rPr>
          <w:rFonts w:cs="Times New Roman"/>
          <w:szCs w:val="24"/>
        </w:rPr>
        <w:t xml:space="preserve">a  pri </w:t>
      </w:r>
      <w:r w:rsidR="00550B8D" w:rsidRPr="003169FA">
        <w:rPr>
          <w:rFonts w:cs="Times New Roman"/>
          <w:szCs w:val="24"/>
        </w:rPr>
        <w:t>Nariadení o spoločnom úsilí</w:t>
      </w:r>
      <w:r w:rsidR="00452CC4" w:rsidRPr="003169FA">
        <w:rPr>
          <w:rFonts w:cs="Times New Roman"/>
          <w:szCs w:val="24"/>
        </w:rPr>
        <w:t xml:space="preserve"> </w:t>
      </w:r>
      <w:r w:rsidR="00452CC4">
        <w:rPr>
          <w:rFonts w:cs="Times New Roman"/>
          <w:szCs w:val="24"/>
        </w:rPr>
        <w:t>(ďalej „ESR“)</w:t>
      </w:r>
      <w:r w:rsidR="00286353" w:rsidRPr="00F32790">
        <w:rPr>
          <w:rFonts w:cs="Times New Roman"/>
          <w:szCs w:val="24"/>
        </w:rPr>
        <w:t>, ako aj pri Na</w:t>
      </w:r>
      <w:r w:rsidR="00452CC4">
        <w:rPr>
          <w:rFonts w:cs="Times New Roman"/>
          <w:szCs w:val="24"/>
        </w:rPr>
        <w:t>riadení pri tzv. uhlíkovom cle</w:t>
      </w:r>
      <w:r w:rsidR="007A02D8">
        <w:rPr>
          <w:rFonts w:cs="Times New Roman"/>
          <w:szCs w:val="24"/>
        </w:rPr>
        <w:t xml:space="preserve"> (ďalej „CBAM“)</w:t>
      </w:r>
      <w:r w:rsidR="001A7DA9">
        <w:rPr>
          <w:rStyle w:val="Odkaznapoznmkupodiarou"/>
          <w:szCs w:val="24"/>
        </w:rPr>
        <w:footnoteReference w:id="4"/>
      </w:r>
      <w:r w:rsidR="00550B8D" w:rsidRPr="00F32790">
        <w:rPr>
          <w:rFonts w:cs="Times New Roman"/>
          <w:szCs w:val="24"/>
        </w:rPr>
        <w:t xml:space="preserve">. </w:t>
      </w:r>
    </w:p>
    <w:p w14:paraId="7690BE41" w14:textId="77777777" w:rsidR="00E472B8" w:rsidRPr="00F32790" w:rsidRDefault="00E472B8" w:rsidP="001734FE">
      <w:pPr>
        <w:spacing w:after="0" w:line="240" w:lineRule="auto"/>
        <w:rPr>
          <w:rFonts w:cs="Times New Roman"/>
          <w:szCs w:val="24"/>
        </w:rPr>
      </w:pPr>
    </w:p>
    <w:p w14:paraId="5ED34623" w14:textId="1F5F6060" w:rsidR="00E472B8" w:rsidRDefault="00572DA4" w:rsidP="001734FE">
      <w:pPr>
        <w:spacing w:after="0" w:line="240" w:lineRule="auto"/>
        <w:rPr>
          <w:rFonts w:cs="Times New Roman"/>
          <w:szCs w:val="24"/>
        </w:rPr>
      </w:pPr>
      <w:r>
        <w:rPr>
          <w:rFonts w:cs="Times New Roman"/>
          <w:szCs w:val="24"/>
        </w:rPr>
        <w:t>SR</w:t>
      </w:r>
      <w:r w:rsidR="00550B8D" w:rsidRPr="00F32790">
        <w:rPr>
          <w:rFonts w:cs="Times New Roman"/>
          <w:szCs w:val="24"/>
        </w:rPr>
        <w:t xml:space="preserve"> podporuje </w:t>
      </w:r>
      <w:r w:rsidR="00286353" w:rsidRPr="00F32790">
        <w:rPr>
          <w:rFonts w:cs="Times New Roman"/>
          <w:szCs w:val="24"/>
        </w:rPr>
        <w:t xml:space="preserve">všeobecné </w:t>
      </w:r>
      <w:r w:rsidR="00550B8D" w:rsidRPr="00F32790">
        <w:rPr>
          <w:rFonts w:cs="Times New Roman"/>
          <w:szCs w:val="24"/>
        </w:rPr>
        <w:t xml:space="preserve">zameranie </w:t>
      </w:r>
      <w:r w:rsidR="005C7FCD" w:rsidRPr="00F32790">
        <w:rPr>
          <w:rFonts w:cs="Times New Roman"/>
          <w:szCs w:val="24"/>
        </w:rPr>
        <w:t xml:space="preserve">balíka „Fit </w:t>
      </w:r>
      <w:proofErr w:type="spellStart"/>
      <w:r w:rsidR="005C7FCD" w:rsidRPr="00F32790">
        <w:rPr>
          <w:rFonts w:cs="Times New Roman"/>
          <w:szCs w:val="24"/>
        </w:rPr>
        <w:t>for</w:t>
      </w:r>
      <w:proofErr w:type="spellEnd"/>
      <w:r w:rsidR="005C7FCD" w:rsidRPr="00F32790">
        <w:rPr>
          <w:rFonts w:cs="Times New Roman"/>
          <w:szCs w:val="24"/>
        </w:rPr>
        <w:t xml:space="preserve"> 55“</w:t>
      </w:r>
      <w:r w:rsidR="00550B8D" w:rsidRPr="00F32790">
        <w:rPr>
          <w:rFonts w:cs="Times New Roman"/>
          <w:szCs w:val="24"/>
        </w:rPr>
        <w:t xml:space="preserve"> </w:t>
      </w:r>
      <w:r w:rsidR="00286353" w:rsidRPr="00F32790">
        <w:rPr>
          <w:rFonts w:cs="Times New Roman"/>
          <w:szCs w:val="24"/>
        </w:rPr>
        <w:t xml:space="preserve">a v Rade ENVI 28.6.2022 zahlasovalo za </w:t>
      </w:r>
      <w:r w:rsidR="005C7FCD" w:rsidRPr="00F32790">
        <w:rPr>
          <w:rFonts w:cs="Times New Roman"/>
          <w:szCs w:val="24"/>
        </w:rPr>
        <w:t xml:space="preserve">jeho </w:t>
      </w:r>
      <w:r w:rsidR="00286353" w:rsidRPr="00F32790">
        <w:rPr>
          <w:rFonts w:cs="Times New Roman"/>
          <w:szCs w:val="24"/>
        </w:rPr>
        <w:t xml:space="preserve">prijatie s výhradami pri energetických návrhoch. </w:t>
      </w:r>
      <w:r w:rsidR="002A055F" w:rsidRPr="00F32790">
        <w:rPr>
          <w:rFonts w:cs="Times New Roman"/>
          <w:szCs w:val="24"/>
        </w:rPr>
        <w:t>V</w:t>
      </w:r>
      <w:r w:rsidR="00286353" w:rsidRPr="00F32790">
        <w:rPr>
          <w:rFonts w:cs="Times New Roman"/>
          <w:szCs w:val="24"/>
        </w:rPr>
        <w:t xml:space="preserve"> </w:t>
      </w:r>
      <w:r w:rsidR="00550B8D" w:rsidRPr="00F32790">
        <w:rPr>
          <w:rFonts w:cs="Times New Roman"/>
          <w:szCs w:val="24"/>
        </w:rPr>
        <w:t xml:space="preserve">niektorých </w:t>
      </w:r>
      <w:r w:rsidR="00286353" w:rsidRPr="00F32790">
        <w:rPr>
          <w:rFonts w:cs="Times New Roman"/>
          <w:szCs w:val="24"/>
        </w:rPr>
        <w:t xml:space="preserve">častiach balíka si </w:t>
      </w:r>
      <w:r>
        <w:rPr>
          <w:rFonts w:cs="Times New Roman"/>
          <w:szCs w:val="24"/>
        </w:rPr>
        <w:t>SR</w:t>
      </w:r>
      <w:r w:rsidR="00286353" w:rsidRPr="00F32790">
        <w:rPr>
          <w:rFonts w:cs="Times New Roman"/>
          <w:szCs w:val="24"/>
        </w:rPr>
        <w:t xml:space="preserve"> dokázal</w:t>
      </w:r>
      <w:r>
        <w:rPr>
          <w:rFonts w:cs="Times New Roman"/>
          <w:szCs w:val="24"/>
        </w:rPr>
        <w:t>a</w:t>
      </w:r>
      <w:r w:rsidR="00286353" w:rsidRPr="00F32790">
        <w:rPr>
          <w:rFonts w:cs="Times New Roman"/>
          <w:szCs w:val="24"/>
        </w:rPr>
        <w:t xml:space="preserve"> presadiť svoje požiadavky</w:t>
      </w:r>
      <w:r w:rsidR="006E2E55" w:rsidRPr="00F32790">
        <w:rPr>
          <w:rFonts w:cs="Times New Roman"/>
          <w:szCs w:val="24"/>
        </w:rPr>
        <w:t>,</w:t>
      </w:r>
      <w:r w:rsidR="00550B8D" w:rsidRPr="00F32790">
        <w:rPr>
          <w:rFonts w:cs="Times New Roman"/>
          <w:szCs w:val="24"/>
        </w:rPr>
        <w:t xml:space="preserve"> ako napríklad pri smernici </w:t>
      </w:r>
      <w:r w:rsidR="00550B8D" w:rsidRPr="00452CC4">
        <w:rPr>
          <w:rFonts w:cs="Times New Roman"/>
          <w:szCs w:val="24"/>
        </w:rPr>
        <w:t>o obchodovaní s emisnými kvótami</w:t>
      </w:r>
      <w:r w:rsidR="00550B8D" w:rsidRPr="00F32790">
        <w:rPr>
          <w:rFonts w:cs="Times New Roman"/>
          <w:szCs w:val="24"/>
        </w:rPr>
        <w:t xml:space="preserve">, </w:t>
      </w:r>
      <w:r w:rsidR="005146CF" w:rsidRPr="00F32790">
        <w:rPr>
          <w:rFonts w:cs="Times New Roman"/>
          <w:szCs w:val="24"/>
        </w:rPr>
        <w:t xml:space="preserve">kde pri rozšírení obchodovania o budovy a cestnú dopravu sa vytvoril nový fond SKF. Z neho bude môcť </w:t>
      </w:r>
      <w:r>
        <w:rPr>
          <w:rFonts w:cs="Times New Roman"/>
          <w:szCs w:val="24"/>
        </w:rPr>
        <w:t>SR</w:t>
      </w:r>
      <w:r w:rsidR="005146CF" w:rsidRPr="00F32790">
        <w:rPr>
          <w:rFonts w:cs="Times New Roman"/>
          <w:szCs w:val="24"/>
        </w:rPr>
        <w:t xml:space="preserve"> čerpať 1,5 mld. EUR na kompenzáciu zvýše</w:t>
      </w:r>
      <w:r w:rsidR="00FE589D" w:rsidRPr="00F32790">
        <w:rPr>
          <w:rFonts w:cs="Times New Roman"/>
          <w:szCs w:val="24"/>
        </w:rPr>
        <w:t>ných nákladov pre najzraniteľnejšie skupiny</w:t>
      </w:r>
      <w:r w:rsidR="005146CF" w:rsidRPr="00F32790">
        <w:rPr>
          <w:rFonts w:cs="Times New Roman"/>
          <w:szCs w:val="24"/>
        </w:rPr>
        <w:t xml:space="preserve">. Zároveň </w:t>
      </w:r>
      <w:r w:rsidR="00550B8D" w:rsidRPr="00F32790">
        <w:rPr>
          <w:rFonts w:cs="Times New Roman"/>
          <w:szCs w:val="24"/>
        </w:rPr>
        <w:t>sa podarilo</w:t>
      </w:r>
      <w:r w:rsidR="006E2E55" w:rsidRPr="00F32790">
        <w:rPr>
          <w:rFonts w:cs="Times New Roman"/>
          <w:szCs w:val="24"/>
        </w:rPr>
        <w:t xml:space="preserve"> navýšenie</w:t>
      </w:r>
      <w:r>
        <w:rPr>
          <w:rFonts w:cs="Times New Roman"/>
          <w:szCs w:val="24"/>
        </w:rPr>
        <w:t xml:space="preserve"> </w:t>
      </w:r>
      <w:r w:rsidR="006E2E55" w:rsidRPr="00F32790">
        <w:rPr>
          <w:rFonts w:cs="Times New Roman"/>
          <w:szCs w:val="24"/>
        </w:rPr>
        <w:t>o dodatočných 2,5</w:t>
      </w:r>
      <w:r w:rsidR="00550B8D" w:rsidRPr="00F32790">
        <w:rPr>
          <w:rFonts w:cs="Times New Roman"/>
          <w:szCs w:val="24"/>
        </w:rPr>
        <w:t xml:space="preserve">% v rámci modernizačného fondu, taktiež rozšírenie aj na obnoviteľné zdroje v teplárenstve a rozšírenie podpory  na  energetickú efektívnosť v priemysle. Umožnia sa tiež obmedzené investície aj  do  </w:t>
      </w:r>
      <w:r w:rsidR="00475E10">
        <w:rPr>
          <w:rFonts w:cs="Times New Roman"/>
          <w:szCs w:val="24"/>
        </w:rPr>
        <w:t xml:space="preserve">projektov na výstavbu infraštruktúry pre </w:t>
      </w:r>
      <w:r w:rsidR="00550B8D" w:rsidRPr="00F32790">
        <w:rPr>
          <w:rFonts w:cs="Times New Roman"/>
          <w:szCs w:val="24"/>
        </w:rPr>
        <w:t>zemn</w:t>
      </w:r>
      <w:r w:rsidR="00475E10">
        <w:rPr>
          <w:rFonts w:cs="Times New Roman"/>
          <w:szCs w:val="24"/>
        </w:rPr>
        <w:t>ý</w:t>
      </w:r>
      <w:r w:rsidR="00550B8D" w:rsidRPr="00F32790">
        <w:rPr>
          <w:rFonts w:cs="Times New Roman"/>
          <w:szCs w:val="24"/>
        </w:rPr>
        <w:t xml:space="preserve"> plyn. </w:t>
      </w:r>
      <w:r w:rsidR="00FE589D" w:rsidRPr="00F32790">
        <w:rPr>
          <w:rFonts w:cs="Times New Roman"/>
          <w:szCs w:val="24"/>
        </w:rPr>
        <w:t xml:space="preserve">Okrem zachovania výhodného </w:t>
      </w:r>
      <w:r w:rsidR="00FE589D" w:rsidRPr="00F32790">
        <w:rPr>
          <w:rFonts w:cs="Times New Roman"/>
          <w:szCs w:val="24"/>
        </w:rPr>
        <w:lastRenderedPageBreak/>
        <w:t xml:space="preserve">alokačného kľúča </w:t>
      </w:r>
      <w:r w:rsidR="005C7FCD" w:rsidRPr="00F32790">
        <w:rPr>
          <w:rFonts w:cs="Times New Roman"/>
          <w:szCs w:val="24"/>
        </w:rPr>
        <w:t xml:space="preserve">pre SR </w:t>
      </w:r>
      <w:r w:rsidR="00FE589D" w:rsidRPr="00F32790">
        <w:rPr>
          <w:rFonts w:cs="Times New Roman"/>
          <w:szCs w:val="24"/>
        </w:rPr>
        <w:t xml:space="preserve">v rámci SKF sa </w:t>
      </w:r>
      <w:r w:rsidR="00550B8D" w:rsidRPr="00F32790">
        <w:rPr>
          <w:rFonts w:cs="Times New Roman"/>
          <w:szCs w:val="24"/>
        </w:rPr>
        <w:t xml:space="preserve">Slovensku v tomto kontexte podarilo </w:t>
      </w:r>
      <w:r w:rsidR="005C7FCD" w:rsidRPr="00F32790">
        <w:rPr>
          <w:rFonts w:cs="Times New Roman"/>
          <w:szCs w:val="24"/>
        </w:rPr>
        <w:t xml:space="preserve">presadiť </w:t>
      </w:r>
      <w:r w:rsidR="00550B8D" w:rsidRPr="00F32790">
        <w:rPr>
          <w:rFonts w:cs="Times New Roman"/>
          <w:szCs w:val="24"/>
        </w:rPr>
        <w:t>aj zavedenie automatizovaného mechanizmu na riešenie nadmerného kolísania cien kvót</w:t>
      </w:r>
      <w:r w:rsidR="005C7FCD" w:rsidRPr="00F32790">
        <w:rPr>
          <w:rFonts w:cs="Times New Roman"/>
          <w:szCs w:val="24"/>
        </w:rPr>
        <w:t xml:space="preserve">, či </w:t>
      </w:r>
      <w:r w:rsidR="00550B8D" w:rsidRPr="00F32790">
        <w:rPr>
          <w:rFonts w:cs="Times New Roman"/>
          <w:szCs w:val="24"/>
        </w:rPr>
        <w:t>zníženie administratívnych nákladov</w:t>
      </w:r>
      <w:r w:rsidR="00FE589D" w:rsidRPr="00F32790">
        <w:rPr>
          <w:rFonts w:cs="Times New Roman"/>
          <w:szCs w:val="24"/>
        </w:rPr>
        <w:t>.</w:t>
      </w:r>
      <w:r w:rsidR="00E472B8" w:rsidRPr="00F32790">
        <w:rPr>
          <w:rFonts w:cs="Times New Roman"/>
          <w:szCs w:val="24"/>
        </w:rPr>
        <w:t xml:space="preserve"> </w:t>
      </w:r>
    </w:p>
    <w:p w14:paraId="47B0CC59" w14:textId="77777777" w:rsidR="005D0FFD" w:rsidRPr="00F32790" w:rsidRDefault="005D0FFD" w:rsidP="001734FE">
      <w:pPr>
        <w:spacing w:after="0" w:line="240" w:lineRule="auto"/>
        <w:rPr>
          <w:rFonts w:cs="Times New Roman"/>
          <w:szCs w:val="24"/>
        </w:rPr>
      </w:pPr>
    </w:p>
    <w:p w14:paraId="73C06C21" w14:textId="6F2825A8" w:rsidR="00E472B8" w:rsidRPr="00F32790" w:rsidRDefault="007E41D6" w:rsidP="001734FE">
      <w:pPr>
        <w:spacing w:after="0" w:line="240" w:lineRule="auto"/>
        <w:rPr>
          <w:rFonts w:cs="Times New Roman"/>
          <w:szCs w:val="24"/>
        </w:rPr>
      </w:pPr>
      <w:r w:rsidRPr="00F32790">
        <w:rPr>
          <w:rFonts w:cs="Times New Roman"/>
          <w:szCs w:val="24"/>
        </w:rPr>
        <w:t xml:space="preserve">Pri </w:t>
      </w:r>
      <w:r w:rsidRPr="00F32790">
        <w:rPr>
          <w:rFonts w:cs="Times New Roman"/>
          <w:b/>
          <w:szCs w:val="24"/>
        </w:rPr>
        <w:t xml:space="preserve">nariadení o prísnejších emisných normách </w:t>
      </w:r>
      <w:r w:rsidR="00475E10" w:rsidRPr="00000965">
        <w:rPr>
          <w:rFonts w:cs="Times New Roman"/>
          <w:b/>
        </w:rPr>
        <w:t>CO</w:t>
      </w:r>
      <w:r w:rsidR="00475E10" w:rsidRPr="00452CC4">
        <w:rPr>
          <w:rFonts w:cs="Times New Roman"/>
          <w:b/>
          <w:vertAlign w:val="subscript"/>
        </w:rPr>
        <w:t>2</w:t>
      </w:r>
      <w:r w:rsidRPr="00F32790">
        <w:rPr>
          <w:rFonts w:cs="Times New Roman"/>
          <w:b/>
          <w:szCs w:val="24"/>
        </w:rPr>
        <w:t xml:space="preserve"> pre nové osobné automobily a nové ľahké úžitkové vozidlá</w:t>
      </w:r>
      <w:r w:rsidR="001A7DA9">
        <w:rPr>
          <w:rStyle w:val="Odkaznapoznmkupodiarou"/>
          <w:b/>
          <w:szCs w:val="24"/>
        </w:rPr>
        <w:footnoteReference w:id="5"/>
      </w:r>
      <w:r w:rsidRPr="00F32790">
        <w:rPr>
          <w:rFonts w:cs="Times New Roman"/>
          <w:szCs w:val="24"/>
        </w:rPr>
        <w:t xml:space="preserve"> </w:t>
      </w:r>
      <w:r w:rsidR="00475E10">
        <w:rPr>
          <w:rFonts w:cs="Times New Roman"/>
          <w:szCs w:val="24"/>
        </w:rPr>
        <w:t>SR</w:t>
      </w:r>
      <w:r w:rsidRPr="00F32790">
        <w:rPr>
          <w:rFonts w:cs="Times New Roman"/>
          <w:szCs w:val="24"/>
        </w:rPr>
        <w:t xml:space="preserve"> podporil</w:t>
      </w:r>
      <w:r w:rsidR="00475E10">
        <w:rPr>
          <w:rFonts w:cs="Times New Roman"/>
          <w:szCs w:val="24"/>
        </w:rPr>
        <w:t>a</w:t>
      </w:r>
      <w:r w:rsidRPr="00F32790">
        <w:rPr>
          <w:rFonts w:cs="Times New Roman"/>
          <w:szCs w:val="24"/>
        </w:rPr>
        <w:t xml:space="preserve"> stanovené ciele na rok 2025 (15 % pre autá a 15 % pre dodávky) </w:t>
      </w:r>
      <w:r w:rsidR="00020E5C">
        <w:rPr>
          <w:rFonts w:cs="Times New Roman"/>
          <w:szCs w:val="24"/>
        </w:rPr>
        <w:t xml:space="preserve">a </w:t>
      </w:r>
      <w:r w:rsidRPr="00F32790">
        <w:rPr>
          <w:rFonts w:cs="Times New Roman"/>
          <w:szCs w:val="24"/>
        </w:rPr>
        <w:t>na rok 2030 (55 % pre autá a 50 % pre dodávky). Problematickým bol cieľ na rok 2035, kedy je plánovaný úplný zákaz predaja vozidiel so spaľovacím motorom (100 %). Výsledkom kompromisnej dohody je okrem cieľov aj dohoda o revízií nariadenia už v roku 2026, ktorá má preskúmať reálnosť cieľa v roku 2035. Zároveň zostala otvorená možnosť predaja vozidiel so spaľovaním uhlíkovo neutrálnych palív aj po roku 2035.</w:t>
      </w:r>
    </w:p>
    <w:p w14:paraId="615D63C3" w14:textId="77777777" w:rsidR="00E472B8" w:rsidRPr="00F32790" w:rsidRDefault="00E472B8" w:rsidP="001734FE">
      <w:pPr>
        <w:spacing w:after="0" w:line="240" w:lineRule="auto"/>
        <w:rPr>
          <w:rFonts w:cs="Times New Roman"/>
          <w:szCs w:val="24"/>
        </w:rPr>
      </w:pPr>
    </w:p>
    <w:p w14:paraId="79861BD0" w14:textId="163ED190" w:rsidR="00E472B8" w:rsidRPr="00F32790" w:rsidRDefault="001700BA" w:rsidP="00475E10">
      <w:pPr>
        <w:spacing w:after="0" w:line="240" w:lineRule="auto"/>
        <w:rPr>
          <w:rFonts w:cs="Times New Roman"/>
          <w:szCs w:val="24"/>
        </w:rPr>
      </w:pPr>
      <w:r w:rsidRPr="00F32790">
        <w:rPr>
          <w:rFonts w:cs="Times New Roman"/>
          <w:szCs w:val="24"/>
        </w:rPr>
        <w:t xml:space="preserve">V rámci rokovaní o </w:t>
      </w:r>
      <w:r w:rsidRPr="00F32790">
        <w:rPr>
          <w:rFonts w:cs="Times New Roman"/>
          <w:b/>
          <w:szCs w:val="24"/>
        </w:rPr>
        <w:t>nariadení o využívaní pôdy</w:t>
      </w:r>
      <w:r w:rsidRPr="00F32790">
        <w:rPr>
          <w:rFonts w:cs="Times New Roman"/>
          <w:szCs w:val="24"/>
        </w:rPr>
        <w:t xml:space="preserve">, </w:t>
      </w:r>
      <w:r w:rsidRPr="00F32790">
        <w:rPr>
          <w:rFonts w:cs="Times New Roman"/>
          <w:b/>
          <w:szCs w:val="24"/>
        </w:rPr>
        <w:t>zmenách vo využívaní pôdy a lesnom hospodárstve</w:t>
      </w:r>
      <w:r w:rsidR="001A7DA9">
        <w:rPr>
          <w:rStyle w:val="Odkaznapoznmkupodiarou"/>
          <w:b/>
          <w:szCs w:val="24"/>
        </w:rPr>
        <w:footnoteReference w:id="6"/>
      </w:r>
      <w:r w:rsidRPr="00F32790">
        <w:rPr>
          <w:rFonts w:cs="Times New Roman"/>
          <w:b/>
          <w:szCs w:val="24"/>
        </w:rPr>
        <w:t xml:space="preserve"> </w:t>
      </w:r>
      <w:r w:rsidR="00475E10">
        <w:rPr>
          <w:rFonts w:cs="Times New Roman"/>
          <w:szCs w:val="24"/>
        </w:rPr>
        <w:t>SR</w:t>
      </w:r>
      <w:r w:rsidRPr="00F32790">
        <w:rPr>
          <w:rFonts w:cs="Times New Roman"/>
          <w:szCs w:val="24"/>
        </w:rPr>
        <w:t xml:space="preserve"> podporil</w:t>
      </w:r>
      <w:r w:rsidR="00475E10">
        <w:rPr>
          <w:rFonts w:cs="Times New Roman"/>
          <w:szCs w:val="24"/>
        </w:rPr>
        <w:t>a</w:t>
      </w:r>
      <w:r w:rsidRPr="00F32790">
        <w:rPr>
          <w:rFonts w:cs="Times New Roman"/>
          <w:szCs w:val="24"/>
        </w:rPr>
        <w:t xml:space="preserve"> zrušenie ročných záväzných cieľov a nastavenie ročného rozpočtu, posilnenie flexibilít na dosiahnutie cieľov a zapracovanie zohľadnenia vekovej štruktúry lesov. Súčasťou dohody je zmena nastavenia cieľov v podobe 4-ročného rozpočtu. Dohoda tiež obsahuje z pohľadu </w:t>
      </w:r>
      <w:r w:rsidR="00475E10">
        <w:rPr>
          <w:rFonts w:cs="Times New Roman"/>
          <w:szCs w:val="24"/>
        </w:rPr>
        <w:t>SR</w:t>
      </w:r>
      <w:r w:rsidRPr="00F32790">
        <w:rPr>
          <w:rFonts w:cs="Times New Roman"/>
          <w:szCs w:val="24"/>
        </w:rPr>
        <w:t xml:space="preserve"> dôležitú zmienku o vekovej štruktúre lesov, ale aj slovenský návrh pri monitorovaní, ktorý bol súčasťou revidovaného mandátu.</w:t>
      </w:r>
    </w:p>
    <w:p w14:paraId="3D025A05" w14:textId="77777777" w:rsidR="00E472B8" w:rsidRPr="00F32790" w:rsidRDefault="00E472B8" w:rsidP="001734FE">
      <w:pPr>
        <w:spacing w:after="0" w:line="240" w:lineRule="auto"/>
        <w:rPr>
          <w:rFonts w:cs="Times New Roman"/>
          <w:szCs w:val="24"/>
        </w:rPr>
      </w:pPr>
    </w:p>
    <w:p w14:paraId="1A0A744B" w14:textId="45A58157" w:rsidR="00E472B8" w:rsidRPr="00F32790" w:rsidRDefault="002742C4" w:rsidP="00147C10">
      <w:pPr>
        <w:spacing w:after="0" w:line="240" w:lineRule="auto"/>
        <w:rPr>
          <w:rFonts w:cs="Times New Roman"/>
          <w:szCs w:val="24"/>
        </w:rPr>
      </w:pPr>
      <w:r w:rsidRPr="00F32790">
        <w:rPr>
          <w:rFonts w:cs="Times New Roman"/>
          <w:szCs w:val="24"/>
        </w:rPr>
        <w:t xml:space="preserve">V prípade </w:t>
      </w:r>
      <w:r w:rsidRPr="00F32790">
        <w:rPr>
          <w:rFonts w:cs="Times New Roman"/>
          <w:b/>
          <w:szCs w:val="24"/>
        </w:rPr>
        <w:t>nariadenia o mechanizme kompenzácií uhlíka na hraniciach</w:t>
      </w:r>
      <w:r w:rsidR="001A7DA9">
        <w:rPr>
          <w:rStyle w:val="Odkaznapoznmkupodiarou"/>
          <w:b/>
          <w:szCs w:val="24"/>
        </w:rPr>
        <w:footnoteReference w:id="7"/>
      </w:r>
      <w:r w:rsidRPr="00F32790">
        <w:rPr>
          <w:rFonts w:cs="Times New Roman"/>
          <w:szCs w:val="24"/>
        </w:rPr>
        <w:t xml:space="preserve"> (</w:t>
      </w:r>
      <w:r w:rsidR="00343CCF">
        <w:rPr>
          <w:rFonts w:cs="Times New Roman"/>
          <w:szCs w:val="24"/>
        </w:rPr>
        <w:t>ďalej „CBAM“</w:t>
      </w:r>
      <w:r w:rsidRPr="00F32790">
        <w:rPr>
          <w:rFonts w:cs="Times New Roman"/>
          <w:szCs w:val="24"/>
        </w:rPr>
        <w:t xml:space="preserve">) sa zavádza dovozný poplatok (za import) na vybrané sektorové produkty importované z tretích krajín na základe ich emisnej náročnosti </w:t>
      </w:r>
      <w:r w:rsidR="00343CCF" w:rsidRPr="00BA6F53">
        <w:rPr>
          <w:rFonts w:cs="Times New Roman"/>
        </w:rPr>
        <w:t>(</w:t>
      </w:r>
      <w:r w:rsidR="00343CCF">
        <w:rPr>
          <w:rFonts w:cs="Times New Roman"/>
          <w:szCs w:val="24"/>
        </w:rPr>
        <w:t>železo a oceľ, hliník, elektrická energia, hnojivá, cement, vodík, ako aj určité prekurzory a obmedzený počet nadväzujúcich výrobkov</w:t>
      </w:r>
      <w:r w:rsidRPr="00F32790">
        <w:rPr>
          <w:rFonts w:cs="Times New Roman"/>
          <w:szCs w:val="24"/>
        </w:rPr>
        <w:t xml:space="preserve">). </w:t>
      </w:r>
      <w:r w:rsidR="00343CCF">
        <w:rPr>
          <w:rFonts w:cs="Times New Roman"/>
          <w:szCs w:val="24"/>
        </w:rPr>
        <w:t>CBAM je jedným z prvkov zelenej dohody EÚ, ktorej cieľom je znížiť emisie skleníkových plynov o 55% do roku 2030. </w:t>
      </w:r>
      <w:r w:rsidRPr="00F32790">
        <w:rPr>
          <w:rFonts w:cs="Times New Roman"/>
          <w:iCs/>
          <w:szCs w:val="24"/>
        </w:rPr>
        <w:t xml:space="preserve">S postupným nábehom platnosti CBAM od 1.10.2026 sa dohodlo aj postupné ukončenie bezodplatných emisných kvót, pričom </w:t>
      </w:r>
      <w:r w:rsidR="00475E10">
        <w:rPr>
          <w:rFonts w:cs="Times New Roman"/>
          <w:szCs w:val="24"/>
        </w:rPr>
        <w:t>SR</w:t>
      </w:r>
      <w:r w:rsidRPr="00F32790">
        <w:rPr>
          <w:rFonts w:cs="Times New Roman"/>
          <w:szCs w:val="24"/>
        </w:rPr>
        <w:t xml:space="preserve"> podporil</w:t>
      </w:r>
      <w:r w:rsidR="00475E10">
        <w:rPr>
          <w:rFonts w:cs="Times New Roman"/>
          <w:szCs w:val="24"/>
        </w:rPr>
        <w:t>a</w:t>
      </w:r>
      <w:r w:rsidRPr="00F32790">
        <w:rPr>
          <w:rFonts w:cs="Times New Roman"/>
          <w:szCs w:val="24"/>
        </w:rPr>
        <w:t xml:space="preserve"> centralizo</w:t>
      </w:r>
      <w:r w:rsidR="00147C10">
        <w:rPr>
          <w:rFonts w:cs="Times New Roman"/>
          <w:szCs w:val="24"/>
        </w:rPr>
        <w:t xml:space="preserve">vaný formát riadenia mechanizmu </w:t>
      </w:r>
      <w:r w:rsidRPr="00F32790">
        <w:rPr>
          <w:rFonts w:cs="Times New Roman"/>
          <w:szCs w:val="24"/>
        </w:rPr>
        <w:t xml:space="preserve">na úrovni EÚ. </w:t>
      </w:r>
      <w:r w:rsidR="00475E10">
        <w:rPr>
          <w:rFonts w:cs="Times New Roman"/>
          <w:szCs w:val="24"/>
        </w:rPr>
        <w:t>SR</w:t>
      </w:r>
      <w:r w:rsidRPr="00F32790">
        <w:rPr>
          <w:rFonts w:cs="Times New Roman"/>
          <w:szCs w:val="24"/>
        </w:rPr>
        <w:t xml:space="preserve"> sa týmto zasadzuje </w:t>
      </w:r>
      <w:r w:rsidR="00495896" w:rsidRPr="00F32790">
        <w:rPr>
          <w:rFonts w:cs="Times New Roman"/>
          <w:szCs w:val="24"/>
        </w:rPr>
        <w:t xml:space="preserve">za podporu domácich </w:t>
      </w:r>
      <w:r w:rsidRPr="00F32790">
        <w:rPr>
          <w:rFonts w:cs="Times New Roman"/>
          <w:szCs w:val="24"/>
        </w:rPr>
        <w:t>exportérov</w:t>
      </w:r>
      <w:r w:rsidR="00495896" w:rsidRPr="00F32790">
        <w:rPr>
          <w:rFonts w:cs="Times New Roman"/>
          <w:szCs w:val="24"/>
        </w:rPr>
        <w:t>,</w:t>
      </w:r>
      <w:r w:rsidRPr="00F32790">
        <w:rPr>
          <w:rFonts w:cs="Times New Roman"/>
          <w:szCs w:val="24"/>
        </w:rPr>
        <w:t xml:space="preserve"> ktorí vyvážajú tovary na trhy krajín, kde  nie sú implementované energeticko-klimatické legislatívy (podpora musí byť v súlade s pravidlami WTO). </w:t>
      </w:r>
      <w:r w:rsidR="00475E10">
        <w:rPr>
          <w:rFonts w:cs="Times New Roman"/>
          <w:szCs w:val="24"/>
        </w:rPr>
        <w:t>SR</w:t>
      </w:r>
      <w:r w:rsidRPr="00F32790">
        <w:rPr>
          <w:rFonts w:cs="Times New Roman"/>
          <w:szCs w:val="24"/>
        </w:rPr>
        <w:t xml:space="preserve"> preferuje, aby sa výnosy CBAM využili ako nový vlastný zdroj rozpočtu EÚ a neboli využité na opatrenia za hranicami EÚ. </w:t>
      </w:r>
    </w:p>
    <w:p w14:paraId="299BC9B2" w14:textId="77777777" w:rsidR="00E472B8" w:rsidRPr="00F32790" w:rsidRDefault="00E472B8" w:rsidP="001734FE">
      <w:pPr>
        <w:spacing w:after="0" w:line="240" w:lineRule="auto"/>
        <w:rPr>
          <w:rFonts w:cs="Times New Roman"/>
          <w:szCs w:val="24"/>
        </w:rPr>
      </w:pPr>
    </w:p>
    <w:p w14:paraId="50AD3623" w14:textId="453796E5" w:rsidR="00E472B8" w:rsidRPr="00F32790" w:rsidRDefault="00550B8D" w:rsidP="001734FE">
      <w:pPr>
        <w:spacing w:after="0" w:line="240" w:lineRule="auto"/>
        <w:rPr>
          <w:rFonts w:cs="Times New Roman"/>
          <w:szCs w:val="24"/>
        </w:rPr>
      </w:pPr>
      <w:r w:rsidRPr="00F32790">
        <w:rPr>
          <w:rFonts w:cs="Times New Roman"/>
          <w:szCs w:val="24"/>
        </w:rPr>
        <w:t xml:space="preserve">Najpodstatnejšou zmenou </w:t>
      </w:r>
      <w:r w:rsidR="00F13F21" w:rsidRPr="00F32790">
        <w:rPr>
          <w:rFonts w:cs="Times New Roman"/>
          <w:b/>
          <w:szCs w:val="24"/>
        </w:rPr>
        <w:t>nariadeni</w:t>
      </w:r>
      <w:r w:rsidR="00020E5C">
        <w:rPr>
          <w:rFonts w:cs="Times New Roman"/>
          <w:b/>
          <w:szCs w:val="24"/>
        </w:rPr>
        <w:t>a</w:t>
      </w:r>
      <w:r w:rsidR="00F13F21" w:rsidRPr="00F32790">
        <w:rPr>
          <w:rFonts w:cs="Times New Roman"/>
          <w:b/>
          <w:szCs w:val="24"/>
        </w:rPr>
        <w:t xml:space="preserve"> o spoločnom úsilí</w:t>
      </w:r>
      <w:r w:rsidR="001A7DA9">
        <w:rPr>
          <w:rStyle w:val="Odkaznapoznmkupodiarou"/>
          <w:b/>
          <w:szCs w:val="24"/>
        </w:rPr>
        <w:footnoteReference w:id="8"/>
      </w:r>
      <w:r w:rsidR="00F13F21" w:rsidRPr="00F32790">
        <w:rPr>
          <w:rFonts w:cs="Times New Roman"/>
          <w:szCs w:val="24"/>
        </w:rPr>
        <w:t xml:space="preserve"> (ďalej </w:t>
      </w:r>
      <w:r w:rsidR="00147C10">
        <w:rPr>
          <w:rFonts w:cs="Times New Roman"/>
          <w:szCs w:val="24"/>
        </w:rPr>
        <w:t>„</w:t>
      </w:r>
      <w:r w:rsidR="00F13F21" w:rsidRPr="00F32790">
        <w:rPr>
          <w:rFonts w:cs="Times New Roman"/>
          <w:szCs w:val="24"/>
        </w:rPr>
        <w:t>ESR</w:t>
      </w:r>
      <w:r w:rsidR="00147C10">
        <w:rPr>
          <w:rFonts w:cs="Times New Roman"/>
          <w:szCs w:val="24"/>
        </w:rPr>
        <w:t>“</w:t>
      </w:r>
      <w:r w:rsidR="00F13F21" w:rsidRPr="00F32790">
        <w:rPr>
          <w:rFonts w:cs="Times New Roman"/>
          <w:szCs w:val="24"/>
        </w:rPr>
        <w:t>)</w:t>
      </w:r>
      <w:r w:rsidR="002742C4" w:rsidRPr="00F32790">
        <w:rPr>
          <w:rFonts w:cs="Times New Roman"/>
          <w:szCs w:val="24"/>
        </w:rPr>
        <w:t xml:space="preserve"> </w:t>
      </w:r>
      <w:r w:rsidRPr="00F32790">
        <w:rPr>
          <w:rFonts w:cs="Times New Roman"/>
          <w:szCs w:val="24"/>
        </w:rPr>
        <w:t xml:space="preserve">je navýšenie cieľa pre sektory </w:t>
      </w:r>
      <w:r w:rsidR="002742C4" w:rsidRPr="00F32790">
        <w:rPr>
          <w:rFonts w:cs="Times New Roman"/>
          <w:szCs w:val="24"/>
        </w:rPr>
        <w:t xml:space="preserve">nepokryté súčasnou ETS </w:t>
      </w:r>
      <w:r w:rsidRPr="00F32790">
        <w:rPr>
          <w:rFonts w:cs="Times New Roman"/>
          <w:szCs w:val="24"/>
        </w:rPr>
        <w:t xml:space="preserve">na 40 % (do 2030) na európskej úrovni, pričom </w:t>
      </w:r>
      <w:r w:rsidR="00147C10">
        <w:rPr>
          <w:rFonts w:cs="Times New Roman"/>
          <w:szCs w:val="24"/>
        </w:rPr>
        <w:t>ide</w:t>
      </w:r>
      <w:r w:rsidRPr="00F32790">
        <w:rPr>
          <w:rFonts w:cs="Times New Roman"/>
          <w:szCs w:val="24"/>
        </w:rPr>
        <w:t xml:space="preserve"> o sektory </w:t>
      </w:r>
      <w:r w:rsidR="007A02D8">
        <w:rPr>
          <w:rFonts w:cs="Times New Roman"/>
        </w:rPr>
        <w:t xml:space="preserve">domácností, dopravy, vnútroštátnej námornej </w:t>
      </w:r>
      <w:r w:rsidR="007A02D8" w:rsidRPr="00FD6A77">
        <w:rPr>
          <w:rFonts w:cs="Times New Roman"/>
        </w:rPr>
        <w:t xml:space="preserve">dopravy, poľnohospodárstva, </w:t>
      </w:r>
      <w:r w:rsidR="007A02D8">
        <w:rPr>
          <w:rFonts w:cs="Times New Roman"/>
        </w:rPr>
        <w:t>malých priemyselných odvetví</w:t>
      </w:r>
      <w:r w:rsidR="007A02D8" w:rsidRPr="00FD6A77">
        <w:rPr>
          <w:rFonts w:cs="Times New Roman"/>
        </w:rPr>
        <w:t>, odpadov</w:t>
      </w:r>
      <w:r w:rsidR="007A02D8">
        <w:rPr>
          <w:rFonts w:cs="Times New Roman"/>
        </w:rPr>
        <w:t>ého hospodárstva</w:t>
      </w:r>
      <w:r w:rsidRPr="00F32790">
        <w:rPr>
          <w:rFonts w:cs="Times New Roman"/>
          <w:szCs w:val="24"/>
        </w:rPr>
        <w:t>. Z toho vyplýva aj navýšenie národný</w:t>
      </w:r>
      <w:r w:rsidR="00020E5C">
        <w:rPr>
          <w:rFonts w:cs="Times New Roman"/>
          <w:szCs w:val="24"/>
        </w:rPr>
        <w:t>ch</w:t>
      </w:r>
      <w:r w:rsidRPr="00F32790">
        <w:rPr>
          <w:rFonts w:cs="Times New Roman"/>
          <w:szCs w:val="24"/>
        </w:rPr>
        <w:t xml:space="preserve"> cieľov, čo v prípade SR znamená  zníženie emisií v rámci SR z 12% na 22,7% do 2030. </w:t>
      </w:r>
      <w:r w:rsidR="000B590B" w:rsidRPr="00F32790">
        <w:rPr>
          <w:rFonts w:cs="Times New Roman"/>
          <w:szCs w:val="24"/>
        </w:rPr>
        <w:t xml:space="preserve">Pre </w:t>
      </w:r>
      <w:r w:rsidR="00475E10">
        <w:rPr>
          <w:rFonts w:cs="Times New Roman"/>
          <w:szCs w:val="24"/>
        </w:rPr>
        <w:t>SR</w:t>
      </w:r>
      <w:r w:rsidRPr="00F32790">
        <w:rPr>
          <w:rFonts w:cs="Times New Roman"/>
          <w:szCs w:val="24"/>
        </w:rPr>
        <w:t xml:space="preserve"> </w:t>
      </w:r>
      <w:r w:rsidR="000B590B" w:rsidRPr="00F32790">
        <w:rPr>
          <w:rFonts w:cs="Times New Roman"/>
          <w:szCs w:val="24"/>
        </w:rPr>
        <w:t>je podstatné, že sa zachovalo</w:t>
      </w:r>
      <w:r w:rsidRPr="00F32790">
        <w:rPr>
          <w:rFonts w:cs="Times New Roman"/>
          <w:szCs w:val="24"/>
        </w:rPr>
        <w:t xml:space="preserve"> prerozdeleni</w:t>
      </w:r>
      <w:r w:rsidR="000B590B" w:rsidRPr="00F32790">
        <w:rPr>
          <w:rFonts w:cs="Times New Roman"/>
          <w:szCs w:val="24"/>
        </w:rPr>
        <w:t>e</w:t>
      </w:r>
      <w:r w:rsidRPr="00F32790">
        <w:rPr>
          <w:rFonts w:cs="Times New Roman"/>
          <w:szCs w:val="24"/>
        </w:rPr>
        <w:t xml:space="preserve"> cieľov na báze solidarity (kritérium HPD/obyv.) </w:t>
      </w:r>
      <w:r w:rsidR="008E6BE5">
        <w:rPr>
          <w:rFonts w:cs="Times New Roman"/>
          <w:szCs w:val="24"/>
        </w:rPr>
        <w:br/>
      </w:r>
      <w:r w:rsidRPr="00F32790">
        <w:rPr>
          <w:rFonts w:cs="Times New Roman"/>
          <w:szCs w:val="24"/>
        </w:rPr>
        <w:t>a posiln</w:t>
      </w:r>
      <w:r w:rsidR="000B590B" w:rsidRPr="00F32790">
        <w:rPr>
          <w:rFonts w:cs="Times New Roman"/>
          <w:szCs w:val="24"/>
        </w:rPr>
        <w:t>ili</w:t>
      </w:r>
      <w:r w:rsidRPr="00F32790">
        <w:rPr>
          <w:rFonts w:cs="Times New Roman"/>
          <w:szCs w:val="24"/>
        </w:rPr>
        <w:t xml:space="preserve"> </w:t>
      </w:r>
      <w:r w:rsidR="000B590B" w:rsidRPr="00F32790">
        <w:rPr>
          <w:rFonts w:cs="Times New Roman"/>
          <w:szCs w:val="24"/>
        </w:rPr>
        <w:t xml:space="preserve">sa </w:t>
      </w:r>
      <w:r w:rsidRPr="00F32790">
        <w:rPr>
          <w:rFonts w:cs="Times New Roman"/>
          <w:szCs w:val="24"/>
        </w:rPr>
        <w:t>flexibil</w:t>
      </w:r>
      <w:r w:rsidR="000B590B" w:rsidRPr="00F32790">
        <w:rPr>
          <w:rFonts w:cs="Times New Roman"/>
          <w:szCs w:val="24"/>
        </w:rPr>
        <w:t>ity</w:t>
      </w:r>
      <w:r w:rsidRPr="00F32790">
        <w:rPr>
          <w:rFonts w:cs="Times New Roman"/>
          <w:szCs w:val="24"/>
        </w:rPr>
        <w:t xml:space="preserve">, ktoré podporia našu krajinu. </w:t>
      </w:r>
    </w:p>
    <w:p w14:paraId="374F4BCF" w14:textId="77777777" w:rsidR="00E472B8" w:rsidRPr="00F32790" w:rsidRDefault="00E472B8" w:rsidP="001734FE">
      <w:pPr>
        <w:spacing w:after="0" w:line="240" w:lineRule="auto"/>
        <w:rPr>
          <w:rFonts w:cs="Times New Roman"/>
          <w:szCs w:val="24"/>
        </w:rPr>
      </w:pPr>
    </w:p>
    <w:p w14:paraId="1AE601CA" w14:textId="26BB3DC7" w:rsidR="00147C10" w:rsidRDefault="00550B8D" w:rsidP="001734FE">
      <w:pPr>
        <w:spacing w:after="0" w:line="240" w:lineRule="auto"/>
        <w:rPr>
          <w:rFonts w:cs="Times New Roman"/>
          <w:szCs w:val="24"/>
        </w:rPr>
      </w:pPr>
      <w:r w:rsidRPr="00F32790">
        <w:rPr>
          <w:rFonts w:cs="Times New Roman"/>
          <w:szCs w:val="24"/>
        </w:rPr>
        <w:t xml:space="preserve">Z tohto dôvodu SR pripravuje </w:t>
      </w:r>
      <w:r w:rsidRPr="00F32790">
        <w:rPr>
          <w:rFonts w:cs="Times New Roman"/>
          <w:b/>
          <w:szCs w:val="24"/>
        </w:rPr>
        <w:t>nový zákon o zmene klímy</w:t>
      </w:r>
      <w:r w:rsidR="00A936E9">
        <w:rPr>
          <w:rStyle w:val="Odkaznapoznmkupodiarou"/>
          <w:b/>
          <w:szCs w:val="24"/>
        </w:rPr>
        <w:footnoteReference w:id="9"/>
      </w:r>
      <w:r w:rsidRPr="00F32790">
        <w:rPr>
          <w:rFonts w:cs="Times New Roman"/>
          <w:szCs w:val="24"/>
        </w:rPr>
        <w:t xml:space="preserve">, ktorý by mal zabezpečiť plnenie </w:t>
      </w:r>
      <w:r w:rsidR="008E6BE5">
        <w:rPr>
          <w:rFonts w:cs="Times New Roman"/>
          <w:szCs w:val="24"/>
        </w:rPr>
        <w:br/>
      </w:r>
      <w:r w:rsidRPr="00F32790">
        <w:rPr>
          <w:rFonts w:cs="Times New Roman"/>
          <w:szCs w:val="24"/>
        </w:rPr>
        <w:t xml:space="preserve">a prerozdelenie finančnej záťaže medzi viaceré ministerstvá  (v prípade neplnenia cieľa bude možné nakupovať </w:t>
      </w:r>
      <w:r w:rsidR="00147C10">
        <w:rPr>
          <w:rFonts w:cs="Times New Roman"/>
          <w:szCs w:val="24"/>
        </w:rPr>
        <w:t xml:space="preserve">od iných krajín emisné kvóty). </w:t>
      </w:r>
    </w:p>
    <w:p w14:paraId="78DC15DE" w14:textId="77777777" w:rsidR="00147C10" w:rsidRDefault="00147C10" w:rsidP="001734FE">
      <w:pPr>
        <w:spacing w:after="0" w:line="240" w:lineRule="auto"/>
        <w:rPr>
          <w:rFonts w:cs="Times New Roman"/>
          <w:szCs w:val="24"/>
        </w:rPr>
      </w:pPr>
    </w:p>
    <w:p w14:paraId="71A8C34B" w14:textId="6BE19B22" w:rsidR="007F0039" w:rsidRPr="00F32790" w:rsidRDefault="003A4083" w:rsidP="001734FE">
      <w:pPr>
        <w:spacing w:after="0" w:line="240" w:lineRule="auto"/>
        <w:rPr>
          <w:rFonts w:cs="Times New Roman"/>
          <w:szCs w:val="24"/>
        </w:rPr>
      </w:pPr>
      <w:r w:rsidRPr="00F32790">
        <w:rPr>
          <w:rFonts w:cs="Times New Roman"/>
          <w:szCs w:val="24"/>
        </w:rPr>
        <w:t xml:space="preserve">Ďalšou z hlavných súčastí Európskej zelenej dohody je </w:t>
      </w:r>
      <w:r w:rsidRPr="00F32790">
        <w:rPr>
          <w:rFonts w:cs="Times New Roman"/>
          <w:b/>
          <w:bCs/>
          <w:szCs w:val="24"/>
        </w:rPr>
        <w:t>S</w:t>
      </w:r>
      <w:r w:rsidR="00550B8D" w:rsidRPr="00F32790">
        <w:rPr>
          <w:rFonts w:cs="Times New Roman"/>
          <w:b/>
          <w:bCs/>
          <w:szCs w:val="24"/>
        </w:rPr>
        <w:t>tratégi</w:t>
      </w:r>
      <w:r w:rsidRPr="00F32790">
        <w:rPr>
          <w:rFonts w:cs="Times New Roman"/>
          <w:b/>
          <w:bCs/>
          <w:szCs w:val="24"/>
        </w:rPr>
        <w:t>a</w:t>
      </w:r>
      <w:r w:rsidR="00550B8D" w:rsidRPr="00F32790">
        <w:rPr>
          <w:rFonts w:cs="Times New Roman"/>
          <w:b/>
          <w:bCs/>
          <w:szCs w:val="24"/>
        </w:rPr>
        <w:t xml:space="preserve"> EÚ v oblasti biodiverzity do roku 2030</w:t>
      </w:r>
      <w:r w:rsidRPr="00F32790">
        <w:rPr>
          <w:rFonts w:cs="Times New Roman"/>
          <w:bCs/>
          <w:szCs w:val="24"/>
        </w:rPr>
        <w:t>, v ktorej</w:t>
      </w:r>
      <w:r w:rsidR="00550B8D" w:rsidRPr="00F32790">
        <w:rPr>
          <w:rFonts w:cs="Times New Roman"/>
          <w:szCs w:val="24"/>
          <w:vertAlign w:val="superscript"/>
        </w:rPr>
        <w:t xml:space="preserve"> </w:t>
      </w:r>
      <w:r w:rsidR="00550B8D" w:rsidRPr="00F32790">
        <w:rPr>
          <w:rFonts w:cs="Times New Roman"/>
          <w:szCs w:val="24"/>
        </w:rPr>
        <w:t xml:space="preserve">sa stanovujú ciele na ďalšiu ochranu prírody v EÚ. </w:t>
      </w:r>
      <w:r w:rsidR="00495896" w:rsidRPr="00F32790">
        <w:rPr>
          <w:rFonts w:cs="Times New Roman"/>
          <w:szCs w:val="24"/>
        </w:rPr>
        <w:t xml:space="preserve">Táto stratégia má aj medzinárodný presah a je dôležitá v súvislosti s dosiahnutou dohodou počas </w:t>
      </w:r>
      <w:r w:rsidR="00B75F4E" w:rsidRPr="00B75F4E">
        <w:rPr>
          <w:rFonts w:cs="Times New Roman"/>
          <w:szCs w:val="24"/>
        </w:rPr>
        <w:t>15. konferencie zmluvných strán Dohovoru OSN o biodiverzite COP 15</w:t>
      </w:r>
      <w:r w:rsidR="00495896" w:rsidRPr="00F32790">
        <w:rPr>
          <w:rFonts w:cs="Times New Roman"/>
          <w:szCs w:val="24"/>
        </w:rPr>
        <w:t xml:space="preserve"> v Montreale (</w:t>
      </w:r>
      <w:r w:rsidR="00F43B61">
        <w:rPr>
          <w:rFonts w:cs="Times New Roman"/>
          <w:szCs w:val="24"/>
        </w:rPr>
        <w:t xml:space="preserve">december </w:t>
      </w:r>
      <w:r w:rsidR="00495896" w:rsidRPr="00F32790">
        <w:rPr>
          <w:rFonts w:cs="Times New Roman"/>
          <w:szCs w:val="24"/>
        </w:rPr>
        <w:t xml:space="preserve">2022). </w:t>
      </w:r>
      <w:r w:rsidR="00475E10">
        <w:rPr>
          <w:rFonts w:cs="Times New Roman"/>
          <w:szCs w:val="24"/>
        </w:rPr>
        <w:t>SR</w:t>
      </w:r>
      <w:r w:rsidR="00606129" w:rsidRPr="00F32790">
        <w:rPr>
          <w:rFonts w:cs="Times New Roman"/>
          <w:szCs w:val="24"/>
        </w:rPr>
        <w:t xml:space="preserve"> podporuje opatrenia EÚ, ktorých hlavným zámerom je zastaviť stratu biodiverzity a degradáciu ekosystémov, zabezpečiť obnovu biodiverzity a ekosystémov vo vhodnom rozsahu a zvýšiť náš príspevok k zamedzeniu straty biodi</w:t>
      </w:r>
      <w:r w:rsidR="00475E10">
        <w:rPr>
          <w:rFonts w:cs="Times New Roman"/>
          <w:szCs w:val="24"/>
        </w:rPr>
        <w:t xml:space="preserve">verzity v celosvetovom meradle. SR </w:t>
      </w:r>
      <w:r w:rsidR="00606129" w:rsidRPr="00F32790">
        <w:rPr>
          <w:rFonts w:cs="Times New Roman"/>
          <w:szCs w:val="24"/>
        </w:rPr>
        <w:t>sa spolupodieľal</w:t>
      </w:r>
      <w:r w:rsidR="00475E10">
        <w:rPr>
          <w:rFonts w:cs="Times New Roman"/>
          <w:szCs w:val="24"/>
        </w:rPr>
        <w:t>a</w:t>
      </w:r>
      <w:r w:rsidR="00606129" w:rsidRPr="00F32790">
        <w:rPr>
          <w:rFonts w:cs="Times New Roman"/>
          <w:szCs w:val="24"/>
        </w:rPr>
        <w:t xml:space="preserve"> na formovaní Záverov EÚ k tomuto summitu.</w:t>
      </w:r>
      <w:r w:rsidR="00495896" w:rsidRPr="00F32790">
        <w:rPr>
          <w:rFonts w:cs="Times New Roman"/>
          <w:szCs w:val="24"/>
        </w:rPr>
        <w:t xml:space="preserve">  </w:t>
      </w:r>
    </w:p>
    <w:p w14:paraId="55DD2BC7" w14:textId="77777777" w:rsidR="007F0039" w:rsidRPr="00F32790" w:rsidRDefault="007F0039" w:rsidP="001734FE">
      <w:pPr>
        <w:spacing w:after="0" w:line="240" w:lineRule="auto"/>
        <w:rPr>
          <w:rFonts w:cs="Times New Roman"/>
          <w:szCs w:val="24"/>
        </w:rPr>
      </w:pPr>
    </w:p>
    <w:p w14:paraId="184EB171" w14:textId="5D8A1893" w:rsidR="007F0039" w:rsidRPr="00CD24E0" w:rsidRDefault="00CD24E0" w:rsidP="00CD24E0">
      <w:pPr>
        <w:spacing w:after="0" w:line="240" w:lineRule="auto"/>
        <w:rPr>
          <w:rFonts w:cs="Times New Roman"/>
          <w:szCs w:val="24"/>
        </w:rPr>
      </w:pPr>
      <w:r w:rsidRPr="00CD24E0">
        <w:rPr>
          <w:rFonts w:cs="Times New Roman"/>
          <w:szCs w:val="24"/>
        </w:rPr>
        <w:t xml:space="preserve">Z pohľadu medzinárodnej angažovanosti EÚ s aktívnym zapojením sa SR v otázkach zmeny klímy bola významná aj Konferencia zmluvných strán Rámcového dohovoru o zmene klímy - COP27 v Šarm </w:t>
      </w:r>
      <w:proofErr w:type="spellStart"/>
      <w:r w:rsidRPr="00CD24E0">
        <w:rPr>
          <w:rFonts w:cs="Times New Roman"/>
          <w:szCs w:val="24"/>
        </w:rPr>
        <w:t>aš-Šajku</w:t>
      </w:r>
      <w:proofErr w:type="spellEnd"/>
      <w:r w:rsidRPr="00CD24E0">
        <w:rPr>
          <w:rFonts w:cs="Times New Roman"/>
          <w:szCs w:val="24"/>
        </w:rPr>
        <w:t xml:space="preserve"> (Egypt, november 2022), ktorej jedným z najvýraznejších výsledkov bolo vytvorenie nového </w:t>
      </w:r>
      <w:r w:rsidRPr="00CD24E0">
        <w:rPr>
          <w:rFonts w:cs="Times New Roman"/>
          <w:b/>
          <w:szCs w:val="24"/>
        </w:rPr>
        <w:t>fondu na podporu obetí klimatických katastrof</w:t>
      </w:r>
      <w:r w:rsidRPr="00CD24E0">
        <w:rPr>
          <w:rFonts w:cs="Times New Roman"/>
          <w:szCs w:val="24"/>
        </w:rPr>
        <w:t xml:space="preserve"> (Fond pre „straty a škody“). S angažovanosťou medzinárodných aktérov v otázkach boja proti zmene klímy nemôžeme byť úplne spokojní a do budúcna všetky ČŠ EÚ v tomto smere čaká veľa práce. SR je dlhodobým podporovateľom opatrení v boji proti zmene klímy a smerom k tretím krajinám sa snažíme o ich aktívnejšiu angažovanosť a zvýšenie klimatických záväzkov najväčších znečisťovateľov.</w:t>
      </w:r>
    </w:p>
    <w:p w14:paraId="15DD9D84" w14:textId="77777777" w:rsidR="00CD24E0" w:rsidRPr="00F32790" w:rsidRDefault="00CD24E0" w:rsidP="001734FE">
      <w:pPr>
        <w:spacing w:after="0" w:line="240" w:lineRule="auto"/>
        <w:rPr>
          <w:rFonts w:cs="Times New Roman"/>
          <w:szCs w:val="24"/>
        </w:rPr>
      </w:pPr>
    </w:p>
    <w:p w14:paraId="5A93170C" w14:textId="03BEEDD3" w:rsidR="001D04F6" w:rsidRPr="00F32790" w:rsidRDefault="004C33E4" w:rsidP="001734FE">
      <w:pPr>
        <w:spacing w:after="0" w:line="240" w:lineRule="auto"/>
        <w:rPr>
          <w:rFonts w:cs="Times New Roman"/>
          <w:szCs w:val="24"/>
        </w:rPr>
      </w:pPr>
      <w:r w:rsidRPr="00F32790">
        <w:rPr>
          <w:rFonts w:cs="Times New Roman"/>
          <w:szCs w:val="24"/>
        </w:rPr>
        <w:t xml:space="preserve">Rada </w:t>
      </w:r>
      <w:r w:rsidR="003169FA">
        <w:rPr>
          <w:rFonts w:cs="Times New Roman"/>
          <w:szCs w:val="24"/>
        </w:rPr>
        <w:t xml:space="preserve">EÚ </w:t>
      </w:r>
      <w:r w:rsidRPr="00F32790">
        <w:rPr>
          <w:rFonts w:cs="Times New Roman"/>
          <w:szCs w:val="24"/>
        </w:rPr>
        <w:t>sa dohodla na</w:t>
      </w:r>
      <w:r w:rsidRPr="00F32790">
        <w:rPr>
          <w:rFonts w:cs="Times New Roman"/>
          <w:b/>
          <w:szCs w:val="24"/>
        </w:rPr>
        <w:t xml:space="preserve"> </w:t>
      </w:r>
      <w:r w:rsidR="001D04F6" w:rsidRPr="00F32790">
        <w:rPr>
          <w:rFonts w:cs="Times New Roman"/>
          <w:b/>
          <w:szCs w:val="24"/>
        </w:rPr>
        <w:t>Návrh</w:t>
      </w:r>
      <w:r w:rsidRPr="00F32790">
        <w:rPr>
          <w:rFonts w:cs="Times New Roman"/>
          <w:b/>
          <w:szCs w:val="24"/>
        </w:rPr>
        <w:t>u</w:t>
      </w:r>
      <w:r w:rsidR="001D04F6" w:rsidRPr="00F32790">
        <w:rPr>
          <w:rFonts w:cs="Times New Roman"/>
          <w:b/>
          <w:szCs w:val="24"/>
        </w:rPr>
        <w:t xml:space="preserve"> smernice o ochrane životného prostredia prostredníctvom trestného práva</w:t>
      </w:r>
      <w:r w:rsidR="003169FA">
        <w:rPr>
          <w:rStyle w:val="Odkaznapoznmkupodiarou"/>
          <w:b/>
          <w:szCs w:val="24"/>
        </w:rPr>
        <w:footnoteReference w:id="10"/>
      </w:r>
      <w:r w:rsidRPr="00F32790">
        <w:rPr>
          <w:rFonts w:cs="Times New Roman"/>
          <w:szCs w:val="24"/>
        </w:rPr>
        <w:t>, ktorý</w:t>
      </w:r>
      <w:r w:rsidR="001D04F6" w:rsidRPr="00F32790">
        <w:rPr>
          <w:rFonts w:cs="Times New Roman"/>
          <w:szCs w:val="24"/>
        </w:rPr>
        <w:t xml:space="preserve"> modernizuje a posilňuje právny rámec na ochranu životného prostredia</w:t>
      </w:r>
      <w:r w:rsidR="00D27A4E">
        <w:rPr>
          <w:rFonts w:cs="Times New Roman"/>
          <w:szCs w:val="24"/>
        </w:rPr>
        <w:t xml:space="preserve">. </w:t>
      </w:r>
      <w:r w:rsidR="001D04F6" w:rsidRPr="00F32790">
        <w:rPr>
          <w:rFonts w:cs="Times New Roman"/>
          <w:szCs w:val="24"/>
        </w:rPr>
        <w:t xml:space="preserve"> Cieľom je dosiahnuť vyššiu účinnosť vnútroštátnych, ako aj cezhraničných trestných stíhaní, účinné a odrádzajúce sankcie a lepší zber</w:t>
      </w:r>
      <w:r w:rsidR="00147C10">
        <w:rPr>
          <w:rFonts w:cs="Times New Roman"/>
          <w:szCs w:val="24"/>
        </w:rPr>
        <w:t xml:space="preserve"> a výmenu štatistických údajov. </w:t>
      </w:r>
      <w:r w:rsidR="001D04F6" w:rsidRPr="00F32790">
        <w:rPr>
          <w:rFonts w:cs="Times New Roman"/>
          <w:szCs w:val="24"/>
        </w:rPr>
        <w:t xml:space="preserve">Dohoda o všeobecnom smerovaní bola dosiahnutá </w:t>
      </w:r>
      <w:r w:rsidR="003C7A9F" w:rsidRPr="00F32790">
        <w:rPr>
          <w:rFonts w:cs="Times New Roman"/>
          <w:szCs w:val="24"/>
        </w:rPr>
        <w:t xml:space="preserve">v decembri </w:t>
      </w:r>
      <w:r w:rsidR="001D04F6" w:rsidRPr="00F32790">
        <w:rPr>
          <w:rFonts w:cs="Times New Roman"/>
          <w:szCs w:val="24"/>
        </w:rPr>
        <w:t xml:space="preserve"> 2022.</w:t>
      </w:r>
    </w:p>
    <w:p w14:paraId="419E4DEE" w14:textId="77777777" w:rsidR="001D04F6" w:rsidRPr="00F32790" w:rsidRDefault="001D04F6" w:rsidP="001734FE">
      <w:pPr>
        <w:spacing w:after="0" w:line="240" w:lineRule="auto"/>
        <w:rPr>
          <w:rFonts w:cs="Times New Roman"/>
          <w:b/>
          <w:color w:val="FF0000"/>
          <w:szCs w:val="24"/>
        </w:rPr>
      </w:pPr>
    </w:p>
    <w:p w14:paraId="043069F3" w14:textId="5FA5FE56" w:rsidR="007F0039" w:rsidRPr="00F32790" w:rsidRDefault="004C33E4" w:rsidP="001734FE">
      <w:pPr>
        <w:spacing w:after="0" w:line="240" w:lineRule="auto"/>
        <w:rPr>
          <w:rFonts w:cs="Times New Roman"/>
          <w:color w:val="auto"/>
          <w:szCs w:val="24"/>
        </w:rPr>
      </w:pPr>
      <w:r w:rsidRPr="00F32790">
        <w:rPr>
          <w:rFonts w:cs="Times New Roman"/>
          <w:color w:val="auto"/>
          <w:szCs w:val="24"/>
        </w:rPr>
        <w:t xml:space="preserve">Z pohľadu priorít SR v oblasti životného prostredia je dôležité </w:t>
      </w:r>
      <w:r w:rsidRPr="00F32790">
        <w:rPr>
          <w:rFonts w:cs="Times New Roman"/>
          <w:b/>
          <w:color w:val="auto"/>
          <w:szCs w:val="24"/>
        </w:rPr>
        <w:t>Nariadenie o obnove prírody</w:t>
      </w:r>
      <w:r w:rsidR="003F720C">
        <w:rPr>
          <w:rStyle w:val="Odkaznapoznmkupodiarou"/>
          <w:b/>
          <w:color w:val="auto"/>
          <w:szCs w:val="24"/>
        </w:rPr>
        <w:footnoteReference w:id="11"/>
      </w:r>
      <w:r w:rsidRPr="00F32790">
        <w:rPr>
          <w:rFonts w:cs="Times New Roman"/>
          <w:b/>
          <w:color w:val="auto"/>
          <w:szCs w:val="24"/>
        </w:rPr>
        <w:t>,</w:t>
      </w:r>
      <w:r w:rsidRPr="00F32790">
        <w:rPr>
          <w:rFonts w:cs="Times New Roman"/>
          <w:color w:val="auto"/>
          <w:szCs w:val="24"/>
        </w:rPr>
        <w:t xml:space="preserve"> </w:t>
      </w:r>
      <w:r w:rsidR="001A47AC" w:rsidRPr="00F32790">
        <w:rPr>
          <w:rFonts w:cs="Times New Roman"/>
          <w:color w:val="auto"/>
          <w:szCs w:val="24"/>
        </w:rPr>
        <w:t xml:space="preserve">ktoré bolo Komisiou predstavené koncom júna 2022. SR privítalo návrh, ktorého všeobecným cieľom je prispieť k nepretržitej, dlhodobej a trvalej obnove biologicky rozmanitej a odolnej prírody vo všetkých suchozemských a morských oblastiach EÚ. SR presadzuje, aby sa návrh nezameriaval len na územie NATURA 2000, ale aby pokrýval aj ostatné územia, ktoré si vyžadujú obnovu.  </w:t>
      </w:r>
    </w:p>
    <w:p w14:paraId="1E826AAB" w14:textId="77777777" w:rsidR="007F0039" w:rsidRPr="00F32790" w:rsidRDefault="007F0039" w:rsidP="001734FE">
      <w:pPr>
        <w:spacing w:after="0" w:line="240" w:lineRule="auto"/>
        <w:rPr>
          <w:rFonts w:cs="Times New Roman"/>
          <w:color w:val="auto"/>
          <w:szCs w:val="24"/>
        </w:rPr>
      </w:pPr>
    </w:p>
    <w:p w14:paraId="1BA42EAA" w14:textId="5520E1AB" w:rsidR="007F0039" w:rsidRPr="00F32790" w:rsidRDefault="001227C0" w:rsidP="007A02D8">
      <w:pPr>
        <w:spacing w:after="0" w:line="240" w:lineRule="auto"/>
        <w:rPr>
          <w:rFonts w:cs="Times New Roman"/>
          <w:color w:val="auto"/>
          <w:szCs w:val="24"/>
        </w:rPr>
      </w:pPr>
      <w:r w:rsidRPr="00F32790">
        <w:rPr>
          <w:rFonts w:cs="Times New Roman"/>
          <w:color w:val="auto"/>
          <w:szCs w:val="24"/>
        </w:rPr>
        <w:t>Európsky parlament a</w:t>
      </w:r>
      <w:r w:rsidR="003169FA">
        <w:rPr>
          <w:rFonts w:cs="Times New Roman"/>
          <w:color w:val="auto"/>
          <w:szCs w:val="24"/>
        </w:rPr>
        <w:t> </w:t>
      </w:r>
      <w:r w:rsidRPr="00F32790">
        <w:rPr>
          <w:rFonts w:cs="Times New Roman"/>
          <w:color w:val="auto"/>
          <w:szCs w:val="24"/>
        </w:rPr>
        <w:t>Rada</w:t>
      </w:r>
      <w:r w:rsidR="003169FA">
        <w:rPr>
          <w:rFonts w:cs="Times New Roman"/>
          <w:color w:val="auto"/>
          <w:szCs w:val="24"/>
        </w:rPr>
        <w:t xml:space="preserve"> EÚ</w:t>
      </w:r>
      <w:r w:rsidRPr="00F32790">
        <w:rPr>
          <w:rFonts w:cs="Times New Roman"/>
          <w:color w:val="auto"/>
          <w:szCs w:val="24"/>
        </w:rPr>
        <w:t xml:space="preserve">, v nadväznosti na </w:t>
      </w:r>
      <w:r w:rsidRPr="00F32790">
        <w:rPr>
          <w:rFonts w:cs="Times New Roman"/>
          <w:b/>
          <w:color w:val="auto"/>
          <w:szCs w:val="24"/>
        </w:rPr>
        <w:t>Akčný plán EÚ pre obehové hospodárstvo</w:t>
      </w:r>
      <w:r w:rsidRPr="00F32790">
        <w:rPr>
          <w:rFonts w:cs="Times New Roman"/>
          <w:color w:val="auto"/>
          <w:szCs w:val="24"/>
        </w:rPr>
        <w:t xml:space="preserve"> predstavil v marci 2022 </w:t>
      </w:r>
      <w:r w:rsidRPr="00F32790">
        <w:rPr>
          <w:rFonts w:cs="Times New Roman"/>
          <w:bCs/>
          <w:color w:val="auto"/>
          <w:szCs w:val="24"/>
        </w:rPr>
        <w:t>iniciatívny balík</w:t>
      </w:r>
      <w:r w:rsidR="006B2633" w:rsidRPr="00F32790">
        <w:rPr>
          <w:rFonts w:cs="Times New Roman"/>
          <w:bCs/>
          <w:color w:val="auto"/>
          <w:szCs w:val="24"/>
        </w:rPr>
        <w:t xml:space="preserve"> „</w:t>
      </w:r>
      <w:r w:rsidRPr="00F32790">
        <w:rPr>
          <w:rFonts w:cs="Times New Roman"/>
          <w:bCs/>
          <w:i/>
          <w:color w:val="auto"/>
          <w:szCs w:val="24"/>
        </w:rPr>
        <w:t>Udržateľné výrobky ako štandard</w:t>
      </w:r>
      <w:r w:rsidR="006B2633" w:rsidRPr="00F32790">
        <w:rPr>
          <w:rFonts w:cs="Times New Roman"/>
          <w:bCs/>
          <w:i/>
          <w:color w:val="auto"/>
          <w:szCs w:val="24"/>
        </w:rPr>
        <w:t>“</w:t>
      </w:r>
      <w:r w:rsidRPr="00F32790">
        <w:rPr>
          <w:rFonts w:cs="Times New Roman"/>
          <w:color w:val="auto"/>
          <w:szCs w:val="24"/>
        </w:rPr>
        <w:t xml:space="preserve">. Balík predstavuje súbor vzájomne súvisiacich iniciatívnych návrhov vytvárajúci jasný a harmonizovaný rámec na úrovni EÚ s cieľom dostupnosti značnej časti výrobkov pre spotrebiteľov na jednotnom trhu EÚ do roku 2030. Výrobky by mali byť navrhované tak, aby </w:t>
      </w:r>
      <w:r w:rsidRPr="00F32790">
        <w:rPr>
          <w:rFonts w:cs="Times New Roman"/>
          <w:color w:val="auto"/>
          <w:szCs w:val="24"/>
        </w:rPr>
        <w:lastRenderedPageBreak/>
        <w:t>boli trvanlivé, energeticky a zdrojovo efektívn</w:t>
      </w:r>
      <w:r w:rsidR="00D27A4E">
        <w:rPr>
          <w:rFonts w:cs="Times New Roman"/>
          <w:color w:val="auto"/>
          <w:szCs w:val="24"/>
        </w:rPr>
        <w:t>e, opraviteľné a recyklovateľné</w:t>
      </w:r>
      <w:r w:rsidRPr="00F32790">
        <w:rPr>
          <w:rFonts w:cs="Times New Roman"/>
          <w:color w:val="auto"/>
          <w:szCs w:val="24"/>
        </w:rPr>
        <w:t xml:space="preserve"> a aby sa pri ich výrobe prednostne využívali recyklované materiály. </w:t>
      </w:r>
      <w:r w:rsidRPr="00F32790">
        <w:rPr>
          <w:rFonts w:cs="Times New Roman"/>
          <w:b/>
          <w:bCs/>
          <w:color w:val="auto"/>
          <w:szCs w:val="24"/>
        </w:rPr>
        <w:t xml:space="preserve">Jadrom iniciatívy je návrh nariadenia pre </w:t>
      </w:r>
      <w:proofErr w:type="spellStart"/>
      <w:r w:rsidRPr="00F32790">
        <w:rPr>
          <w:rFonts w:cs="Times New Roman"/>
          <w:b/>
          <w:bCs/>
          <w:color w:val="auto"/>
          <w:szCs w:val="24"/>
        </w:rPr>
        <w:t>ekodizajn</w:t>
      </w:r>
      <w:proofErr w:type="spellEnd"/>
      <w:r w:rsidRPr="00F32790">
        <w:rPr>
          <w:rFonts w:cs="Times New Roman"/>
          <w:b/>
          <w:bCs/>
          <w:color w:val="auto"/>
          <w:szCs w:val="24"/>
        </w:rPr>
        <w:t xml:space="preserve"> výrobkov</w:t>
      </w:r>
      <w:r w:rsidRPr="00F32790">
        <w:rPr>
          <w:rFonts w:cs="Times New Roman"/>
          <w:color w:val="auto"/>
          <w:szCs w:val="24"/>
        </w:rPr>
        <w:t xml:space="preserve">, ktorým sa stanovia povinné požiadavky na </w:t>
      </w:r>
      <w:proofErr w:type="spellStart"/>
      <w:r w:rsidRPr="00F32790">
        <w:rPr>
          <w:rFonts w:cs="Times New Roman"/>
          <w:color w:val="auto"/>
          <w:szCs w:val="24"/>
        </w:rPr>
        <w:t>ekodizajn</w:t>
      </w:r>
      <w:proofErr w:type="spellEnd"/>
      <w:r w:rsidRPr="00F32790">
        <w:rPr>
          <w:rFonts w:cs="Times New Roman"/>
          <w:color w:val="auto"/>
          <w:szCs w:val="24"/>
        </w:rPr>
        <w:t xml:space="preserve"> a informácie, ktoré budú špecifikované v delegovaných aktoch pre konkrétne výrobkové skupiny. V záujme podpory smerovania k udržateľným výrobkom sú súčasťou balíka aj cielené odvetvové iniciatívy v oblasti t</w:t>
      </w:r>
      <w:r w:rsidR="00157DB0" w:rsidRPr="00F32790">
        <w:rPr>
          <w:rFonts w:cs="Times New Roman"/>
          <w:color w:val="auto"/>
          <w:szCs w:val="24"/>
        </w:rPr>
        <w:t xml:space="preserve">extílií a stavebných výrobkov. </w:t>
      </w:r>
      <w:r w:rsidRPr="00F32790">
        <w:rPr>
          <w:rFonts w:cs="Times New Roman"/>
          <w:color w:val="auto"/>
          <w:szCs w:val="24"/>
        </w:rPr>
        <w:t xml:space="preserve">SR pozitívne hodnotí prvky iniciatívy a za významný krok považuje vytvorenia legislatívneho rámca pre </w:t>
      </w:r>
      <w:proofErr w:type="spellStart"/>
      <w:r w:rsidRPr="00F32790">
        <w:rPr>
          <w:rFonts w:cs="Times New Roman"/>
          <w:color w:val="auto"/>
          <w:szCs w:val="24"/>
        </w:rPr>
        <w:t>ekodizajn</w:t>
      </w:r>
      <w:proofErr w:type="spellEnd"/>
      <w:r w:rsidRPr="00F32790">
        <w:rPr>
          <w:rFonts w:cs="Times New Roman"/>
          <w:color w:val="auto"/>
          <w:szCs w:val="24"/>
        </w:rPr>
        <w:t>, ktorý harmonizuje fungovanie podnikateľských subjektov na vnútornom trhu, zároveň výraznou mierou prispeje k posunu smerom k udržateľným cieľom EÚ. Z pozície SR je kľúčové</w:t>
      </w:r>
      <w:r w:rsidR="00157DB0" w:rsidRPr="00F32790">
        <w:rPr>
          <w:rFonts w:cs="Times New Roman"/>
          <w:color w:val="auto"/>
          <w:szCs w:val="24"/>
        </w:rPr>
        <w:t>,</w:t>
      </w:r>
      <w:r w:rsidRPr="00F32790">
        <w:rPr>
          <w:rFonts w:cs="Times New Roman"/>
          <w:color w:val="auto"/>
          <w:szCs w:val="24"/>
        </w:rPr>
        <w:t xml:space="preserve"> aby aj v</w:t>
      </w:r>
      <w:r w:rsidR="00157DB0" w:rsidRPr="00F32790">
        <w:rPr>
          <w:rFonts w:cs="Times New Roman"/>
          <w:color w:val="auto"/>
          <w:szCs w:val="24"/>
        </w:rPr>
        <w:t> rámci ďalšej diskusie k návrhu</w:t>
      </w:r>
      <w:r w:rsidRPr="00F32790">
        <w:rPr>
          <w:rFonts w:cs="Times New Roman"/>
          <w:color w:val="auto"/>
          <w:szCs w:val="24"/>
        </w:rPr>
        <w:t xml:space="preserve"> boli riešené otázky stanovenia požiadaviek pre produktové skupiny s prihliadnutím na súčasné technologické pokroky, jasné stanovenie zapojenia ČŠ do procesov vytvárania konkrétnych delegovaných aktov, ako aj</w:t>
      </w:r>
      <w:r w:rsidR="00020E5C">
        <w:rPr>
          <w:rFonts w:cs="Times New Roman"/>
          <w:color w:val="auto"/>
          <w:szCs w:val="24"/>
        </w:rPr>
        <w:t xml:space="preserve"> to, aby </w:t>
      </w:r>
      <w:r w:rsidRPr="00F32790">
        <w:rPr>
          <w:rFonts w:cs="Times New Roman"/>
          <w:color w:val="auto"/>
          <w:szCs w:val="24"/>
        </w:rPr>
        <w:t xml:space="preserve">pri nastavovaní legislatívy </w:t>
      </w:r>
      <w:r w:rsidR="00020E5C">
        <w:rPr>
          <w:rFonts w:cs="Times New Roman"/>
          <w:color w:val="auto"/>
          <w:szCs w:val="24"/>
        </w:rPr>
        <w:t>bol braný dôraz na potrebu vyhnúť</w:t>
      </w:r>
      <w:r w:rsidRPr="00F32790">
        <w:rPr>
          <w:rFonts w:cs="Times New Roman"/>
          <w:color w:val="auto"/>
          <w:szCs w:val="24"/>
        </w:rPr>
        <w:t xml:space="preserve"> sa vytváraniu nadbytočnej administratívnej záťaž</w:t>
      </w:r>
      <w:r w:rsidR="00020E5C">
        <w:rPr>
          <w:rFonts w:cs="Times New Roman"/>
          <w:color w:val="auto"/>
          <w:szCs w:val="24"/>
        </w:rPr>
        <w:t>e</w:t>
      </w:r>
      <w:r w:rsidRPr="00F32790">
        <w:rPr>
          <w:rFonts w:cs="Times New Roman"/>
          <w:color w:val="auto"/>
          <w:szCs w:val="24"/>
        </w:rPr>
        <w:t>, ako aj bariér pre udržateľné a konkurencieschopné podnikateľské prostredie, najmä v kontexte súčasnej energetickej a ekonomickej krízy v</w:t>
      </w:r>
      <w:r w:rsidR="00157DB0" w:rsidRPr="00F32790">
        <w:rPr>
          <w:rFonts w:cs="Times New Roman"/>
          <w:color w:val="auto"/>
          <w:szCs w:val="24"/>
        </w:rPr>
        <w:t> </w:t>
      </w:r>
      <w:r w:rsidRPr="00F32790">
        <w:rPr>
          <w:rFonts w:cs="Times New Roman"/>
          <w:color w:val="auto"/>
          <w:szCs w:val="24"/>
        </w:rPr>
        <w:t>EÚ</w:t>
      </w:r>
      <w:r w:rsidR="00157DB0" w:rsidRPr="00F32790">
        <w:rPr>
          <w:rFonts w:cs="Times New Roman"/>
          <w:color w:val="auto"/>
          <w:szCs w:val="24"/>
        </w:rPr>
        <w:t xml:space="preserve">. </w:t>
      </w:r>
    </w:p>
    <w:p w14:paraId="0D5BF50C" w14:textId="21769455" w:rsidR="007F0039" w:rsidRDefault="007F0039" w:rsidP="001734FE">
      <w:pPr>
        <w:spacing w:after="0" w:line="240" w:lineRule="auto"/>
        <w:rPr>
          <w:rFonts w:cs="Times New Roman"/>
          <w:color w:val="auto"/>
          <w:szCs w:val="24"/>
        </w:rPr>
      </w:pPr>
    </w:p>
    <w:p w14:paraId="5D25431D" w14:textId="292913A6" w:rsidR="00CA780D" w:rsidRDefault="00CA780D" w:rsidP="00EB6401">
      <w:pPr>
        <w:spacing w:after="0" w:line="240" w:lineRule="auto"/>
        <w:rPr>
          <w:rFonts w:cs="Times New Roman"/>
          <w:szCs w:val="24"/>
        </w:rPr>
      </w:pPr>
      <w:r w:rsidRPr="00EB6401">
        <w:rPr>
          <w:rFonts w:cs="Times New Roman"/>
          <w:szCs w:val="24"/>
        </w:rPr>
        <w:t xml:space="preserve">V oblasti priemyselného vlastníctva prebiehali v roku 2022 intenzívne rokovania na zabezpečenie jednotnej ochrany zemepisných označení pre remeselné a priemyselné výrobky na území EÚ a v závere roka bol schválený text legislatívneho návrhu. V novembri zverejnila Komisia legislatívny balík na revíziu pravidiel na ochranu dizajnov s cieľom modernizovať systém ochrany dizajnov v EÚ a zatraktívniť ho pre tvorcov dizajnov a podniky, najmä pre </w:t>
      </w:r>
      <w:r w:rsidR="00EB6401">
        <w:rPr>
          <w:rFonts w:cs="Times New Roman"/>
          <w:szCs w:val="24"/>
        </w:rPr>
        <w:t xml:space="preserve">malé a stredné podniky. </w:t>
      </w:r>
    </w:p>
    <w:p w14:paraId="1DA981CC" w14:textId="77777777" w:rsidR="00EB6401" w:rsidRPr="00EB6401" w:rsidRDefault="00EB6401" w:rsidP="001734FE">
      <w:pPr>
        <w:spacing w:after="0" w:line="240" w:lineRule="auto"/>
        <w:rPr>
          <w:rFonts w:cs="Times New Roman"/>
          <w:color w:val="auto"/>
          <w:szCs w:val="24"/>
        </w:rPr>
      </w:pPr>
    </w:p>
    <w:p w14:paraId="38E91C92" w14:textId="5C656557" w:rsidR="007A02D8" w:rsidRDefault="007A02D8" w:rsidP="007A02D8">
      <w:pPr>
        <w:spacing w:after="0" w:line="240" w:lineRule="auto"/>
        <w:rPr>
          <w:rFonts w:cs="Times New Roman"/>
          <w:color w:val="auto"/>
          <w:szCs w:val="24"/>
        </w:rPr>
      </w:pPr>
      <w:r>
        <w:rPr>
          <w:rFonts w:cs="Times New Roman"/>
          <w:color w:val="auto"/>
          <w:szCs w:val="24"/>
        </w:rPr>
        <w:t xml:space="preserve">SR obhajovala svoje záujmy aj pri ďalších dôležitých </w:t>
      </w:r>
      <w:r w:rsidRPr="007F0039">
        <w:rPr>
          <w:rFonts w:cs="Times New Roman"/>
          <w:b/>
          <w:color w:val="auto"/>
          <w:szCs w:val="24"/>
        </w:rPr>
        <w:t>legislatívnych návrhoch v oblasti životného prostredia</w:t>
      </w:r>
      <w:r>
        <w:rPr>
          <w:rFonts w:cs="Times New Roman"/>
          <w:color w:val="auto"/>
          <w:szCs w:val="24"/>
        </w:rPr>
        <w:t xml:space="preserve">, o ktorých sa počas roka 2022 rokovalo na rôznych úrovniach EÚ a ktoré pre SR predstavujú rôzne citlivosti. Podarilo sa uzavrieť Nariadenie o odlesňovaní a degradácii lesov. </w:t>
      </w:r>
      <w:r w:rsidR="00572DA4">
        <w:rPr>
          <w:rFonts w:cs="Times New Roman"/>
          <w:color w:val="auto"/>
          <w:szCs w:val="24"/>
        </w:rPr>
        <w:t>SR</w:t>
      </w:r>
      <w:r w:rsidRPr="00CF6F2E">
        <w:rPr>
          <w:rFonts w:cs="Times New Roman"/>
          <w:color w:val="auto"/>
          <w:szCs w:val="24"/>
        </w:rPr>
        <w:t xml:space="preserve"> sa plne angažuje v boji proti globálnemu odlesňovaniu a degradácii lesov </w:t>
      </w:r>
      <w:r w:rsidR="008E6BE5">
        <w:rPr>
          <w:rFonts w:cs="Times New Roman"/>
          <w:color w:val="auto"/>
          <w:szCs w:val="24"/>
        </w:rPr>
        <w:br/>
      </w:r>
      <w:r w:rsidRPr="00CF6F2E">
        <w:rPr>
          <w:rFonts w:cs="Times New Roman"/>
          <w:color w:val="auto"/>
          <w:szCs w:val="24"/>
        </w:rPr>
        <w:t xml:space="preserve">a považuje </w:t>
      </w:r>
      <w:r>
        <w:rPr>
          <w:rFonts w:cs="Times New Roman"/>
          <w:color w:val="auto"/>
          <w:szCs w:val="24"/>
        </w:rPr>
        <w:t>uvedenú legislatívu</w:t>
      </w:r>
      <w:r w:rsidRPr="00CF6F2E">
        <w:rPr>
          <w:rFonts w:cs="Times New Roman"/>
          <w:color w:val="auto"/>
          <w:szCs w:val="24"/>
        </w:rPr>
        <w:t xml:space="preserve"> za naliehavú a prioritnú. </w:t>
      </w:r>
      <w:r w:rsidRPr="00A936E9">
        <w:rPr>
          <w:rFonts w:cs="Times New Roman"/>
          <w:color w:val="auto"/>
          <w:szCs w:val="24"/>
        </w:rPr>
        <w:t>V roku 2022 sa podarilo dospieť k dohode pri Nariadení o</w:t>
      </w:r>
      <w:r w:rsidR="00F815CB">
        <w:rPr>
          <w:rFonts w:cs="Times New Roman"/>
          <w:color w:val="auto"/>
          <w:szCs w:val="24"/>
        </w:rPr>
        <w:t> </w:t>
      </w:r>
      <w:r w:rsidRPr="00A936E9">
        <w:rPr>
          <w:rFonts w:cs="Times New Roman"/>
          <w:color w:val="auto"/>
          <w:szCs w:val="24"/>
        </w:rPr>
        <w:t>batériách</w:t>
      </w:r>
      <w:r w:rsidR="00F815CB">
        <w:rPr>
          <w:rStyle w:val="Odkaznapoznmkupodiarou"/>
          <w:color w:val="auto"/>
          <w:szCs w:val="24"/>
        </w:rPr>
        <w:footnoteReference w:id="12"/>
      </w:r>
      <w:r w:rsidR="00F815CB">
        <w:rPr>
          <w:rFonts w:cs="Times New Roman"/>
          <w:color w:val="auto"/>
          <w:szCs w:val="24"/>
        </w:rPr>
        <w:t>.</w:t>
      </w:r>
      <w:r w:rsidR="00572DA4">
        <w:rPr>
          <w:rFonts w:cs="Times New Roman"/>
          <w:color w:val="auto"/>
          <w:szCs w:val="24"/>
        </w:rPr>
        <w:t xml:space="preserve"> SR</w:t>
      </w:r>
      <w:r w:rsidRPr="00A936E9">
        <w:rPr>
          <w:rFonts w:cs="Times New Roman"/>
          <w:color w:val="auto"/>
          <w:szCs w:val="24"/>
        </w:rPr>
        <w:t xml:space="preserve"> naďalej participuje pri negociáciách k Smernici o priemyselných emisiách, Nariadeniu o preprave odpadu, novom balíku predpisov v obehovom hospodárstve, či balíku smerníc v oblasti nulového znečistenia.</w:t>
      </w:r>
    </w:p>
    <w:p w14:paraId="3B931790" w14:textId="77777777" w:rsidR="007A02D8" w:rsidRDefault="007A02D8" w:rsidP="007A02D8">
      <w:pPr>
        <w:spacing w:after="0"/>
        <w:rPr>
          <w:rFonts w:cs="Times New Roman"/>
          <w:color w:val="auto"/>
          <w:szCs w:val="24"/>
        </w:rPr>
      </w:pPr>
    </w:p>
    <w:p w14:paraId="229894EA" w14:textId="5998B568" w:rsidR="007A02D8" w:rsidRPr="007A02D8" w:rsidRDefault="007A02D8" w:rsidP="007A02D8">
      <w:pPr>
        <w:spacing w:after="0" w:line="240" w:lineRule="auto"/>
        <w:rPr>
          <w:rFonts w:cs="Times New Roman"/>
          <w:color w:val="auto"/>
          <w:szCs w:val="24"/>
        </w:rPr>
      </w:pPr>
      <w:r>
        <w:rPr>
          <w:color w:val="auto"/>
        </w:rPr>
        <w:t xml:space="preserve">V závere 2022 po roku intenzívnych rokovaní ministri dosiahli dohodu na pozícii Rady </w:t>
      </w:r>
      <w:r w:rsidR="00006427">
        <w:rPr>
          <w:color w:val="auto"/>
        </w:rPr>
        <w:t xml:space="preserve">EÚ </w:t>
      </w:r>
      <w:r>
        <w:rPr>
          <w:color w:val="auto"/>
        </w:rPr>
        <w:t>k </w:t>
      </w:r>
      <w:r w:rsidRPr="007A02D8">
        <w:rPr>
          <w:b/>
          <w:color w:val="auto"/>
        </w:rPr>
        <w:t xml:space="preserve">nariadeniu </w:t>
      </w:r>
      <w:r w:rsidRPr="007A02D8">
        <w:rPr>
          <w:b/>
        </w:rPr>
        <w:t xml:space="preserve">o usmerneniach Únie pre rozvoj </w:t>
      </w:r>
      <w:proofErr w:type="spellStart"/>
      <w:r w:rsidRPr="007A02D8">
        <w:rPr>
          <w:b/>
        </w:rPr>
        <w:t>transeurópskej</w:t>
      </w:r>
      <w:proofErr w:type="spellEnd"/>
      <w:r w:rsidRPr="007A02D8">
        <w:rPr>
          <w:b/>
        </w:rPr>
        <w:t xml:space="preserve"> dopravnej siete</w:t>
      </w:r>
      <w:r>
        <w:t xml:space="preserve">. Toto nariadenie je kľúčovým opatrením Európskej zelenej dohody a Stratégie pre udržateľnú a inteligentnú mobilitu. Cieľom návrhu je vybudovanie udržateľnej, odolnej, inteligentnej dopravnej siete prepájajúcej celú EÚ do roku 2050. V júli 2022 EK návrh doplnila v reakcii na inváziu na Ukrajinu a predĺžila európske dopravné koridory na územie Ukrajiny a Moldavska. Z pohľadu SR bolo kľúčové vytvorenie nového koridoru Baltské  more – Čierne more – Egejské more, ktorý vytvára doteraz chýbajúce </w:t>
      </w:r>
      <w:proofErr w:type="spellStart"/>
      <w:r>
        <w:t>severo</w:t>
      </w:r>
      <w:proofErr w:type="spellEnd"/>
      <w:r>
        <w:t xml:space="preserve">-južné prepojenie vo východnej časti EÚ. Koridor prechádza východom SR a kopíruje </w:t>
      </w:r>
      <w:proofErr w:type="spellStart"/>
      <w:r>
        <w:t>Via</w:t>
      </w:r>
      <w:proofErr w:type="spellEnd"/>
      <w:r>
        <w:t xml:space="preserve"> </w:t>
      </w:r>
      <w:proofErr w:type="spellStart"/>
      <w:r>
        <w:t>Carapatia</w:t>
      </w:r>
      <w:proofErr w:type="spellEnd"/>
      <w:r>
        <w:t xml:space="preserve">. SR sa podarilo presadiť úpravu máp železničných tratí, tak aby bol v nich zohľadnený SK úsek vysokorýchlostnej železničnej trate prepájajúcej V4. V priebehu roka 2023 budú rokovania o návrhu prebiehať v rámci </w:t>
      </w:r>
      <w:proofErr w:type="spellStart"/>
      <w:r>
        <w:t>trialógov</w:t>
      </w:r>
      <w:proofErr w:type="spellEnd"/>
      <w:r>
        <w:t xml:space="preserve"> s EP.</w:t>
      </w:r>
    </w:p>
    <w:p w14:paraId="030A6B57" w14:textId="77777777" w:rsidR="001D04F6" w:rsidRPr="00F32790" w:rsidRDefault="001D04F6" w:rsidP="001734FE">
      <w:pPr>
        <w:spacing w:after="0" w:line="240" w:lineRule="auto"/>
        <w:rPr>
          <w:rFonts w:cs="Times New Roman"/>
          <w:b/>
          <w:color w:val="76923C" w:themeColor="accent3" w:themeShade="BF"/>
          <w:szCs w:val="24"/>
        </w:rPr>
      </w:pPr>
    </w:p>
    <w:p w14:paraId="0386A27A" w14:textId="27FF9F7E" w:rsidR="003B0629" w:rsidRPr="00F32790" w:rsidRDefault="003B0629" w:rsidP="001734FE">
      <w:pPr>
        <w:pStyle w:val="Nadpis1"/>
        <w:jc w:val="both"/>
        <w:rPr>
          <w:rFonts w:cs="Times New Roman"/>
          <w:color w:val="auto"/>
          <w:szCs w:val="24"/>
          <w:u w:val="single"/>
        </w:rPr>
      </w:pPr>
      <w:r w:rsidRPr="00F32790">
        <w:rPr>
          <w:rFonts w:cs="Times New Roman"/>
          <w:color w:val="auto"/>
          <w:szCs w:val="24"/>
          <w:u w:val="single"/>
        </w:rPr>
        <w:lastRenderedPageBreak/>
        <w:t>2.2. Európa pripravená na digitálny vek</w:t>
      </w:r>
    </w:p>
    <w:p w14:paraId="1379127A" w14:textId="63C013FD" w:rsidR="0051103D" w:rsidRPr="00F32790" w:rsidRDefault="0051103D" w:rsidP="001734FE">
      <w:pPr>
        <w:spacing w:after="0" w:line="240" w:lineRule="auto"/>
        <w:ind w:hanging="11"/>
        <w:rPr>
          <w:rFonts w:cs="Times New Roman"/>
          <w:color w:val="FF0000"/>
          <w:szCs w:val="24"/>
        </w:rPr>
      </w:pPr>
    </w:p>
    <w:p w14:paraId="73568F8E" w14:textId="3E79BD08" w:rsidR="007F0039" w:rsidRPr="00F32790" w:rsidRDefault="00270818" w:rsidP="001734FE">
      <w:pPr>
        <w:spacing w:after="0" w:line="240" w:lineRule="auto"/>
        <w:ind w:left="-6" w:right="6" w:hanging="11"/>
        <w:rPr>
          <w:rFonts w:cs="Times New Roman"/>
          <w:szCs w:val="24"/>
        </w:rPr>
      </w:pPr>
      <w:r w:rsidRPr="00F32790">
        <w:rPr>
          <w:rFonts w:cs="Times New Roman"/>
          <w:szCs w:val="24"/>
        </w:rPr>
        <w:t xml:space="preserve">V rámci napĺňania vízie digitálnej transformácie Európy do roku 2030 sa EK v roku 2022 naďalej snažila uľahčovať nájdenie dohody na jej predchádzajúcich návrhoch o </w:t>
      </w:r>
      <w:r w:rsidRPr="00F32790">
        <w:rPr>
          <w:rFonts w:cs="Times New Roman"/>
          <w:b/>
          <w:szCs w:val="24"/>
        </w:rPr>
        <w:t>bezpečnom a zabezpečenom internete, európskej digitálnej identite a spoľahlivej umelej inteligencii</w:t>
      </w:r>
      <w:r w:rsidRPr="00F32790">
        <w:rPr>
          <w:rFonts w:cs="Times New Roman"/>
          <w:szCs w:val="24"/>
        </w:rPr>
        <w:t xml:space="preserve">. EK </w:t>
      </w:r>
      <w:r w:rsidR="001227C0" w:rsidRPr="00F32790">
        <w:rPr>
          <w:rFonts w:cs="Times New Roman"/>
          <w:szCs w:val="24"/>
        </w:rPr>
        <w:t>sa tiež snažila</w:t>
      </w:r>
      <w:r w:rsidRPr="00F32790">
        <w:rPr>
          <w:rFonts w:cs="Times New Roman"/>
          <w:szCs w:val="24"/>
        </w:rPr>
        <w:t xml:space="preserve"> prichádzať so spôsobmi ako zabezpečiť odolnosť rôznych oblastí v prípade budúcich kríz</w:t>
      </w:r>
      <w:r w:rsidR="00F43B61">
        <w:rPr>
          <w:rFonts w:cs="Times New Roman"/>
          <w:szCs w:val="24"/>
        </w:rPr>
        <w:t>. Ide o oblasti</w:t>
      </w:r>
      <w:r w:rsidRPr="00F32790">
        <w:rPr>
          <w:rFonts w:cs="Times New Roman"/>
          <w:szCs w:val="24"/>
        </w:rPr>
        <w:t xml:space="preserve"> jednotn</w:t>
      </w:r>
      <w:r w:rsidR="00F43B61">
        <w:rPr>
          <w:rFonts w:cs="Times New Roman"/>
          <w:szCs w:val="24"/>
        </w:rPr>
        <w:t>ého</w:t>
      </w:r>
      <w:r w:rsidRPr="00F32790">
        <w:rPr>
          <w:rFonts w:cs="Times New Roman"/>
          <w:szCs w:val="24"/>
        </w:rPr>
        <w:t xml:space="preserve"> trh</w:t>
      </w:r>
      <w:r w:rsidR="00F43B61">
        <w:rPr>
          <w:rFonts w:cs="Times New Roman"/>
          <w:szCs w:val="24"/>
        </w:rPr>
        <w:t>u</w:t>
      </w:r>
      <w:r w:rsidRPr="00F32790">
        <w:rPr>
          <w:rFonts w:cs="Times New Roman"/>
          <w:szCs w:val="24"/>
        </w:rPr>
        <w:t>, polovodič</w:t>
      </w:r>
      <w:r w:rsidR="00F43B61">
        <w:rPr>
          <w:rFonts w:cs="Times New Roman"/>
          <w:szCs w:val="24"/>
        </w:rPr>
        <w:t>ov</w:t>
      </w:r>
      <w:r w:rsidRPr="00F32790">
        <w:rPr>
          <w:rFonts w:cs="Times New Roman"/>
          <w:szCs w:val="24"/>
        </w:rPr>
        <w:t xml:space="preserve"> či kybernetick</w:t>
      </w:r>
      <w:r w:rsidR="00F43B61">
        <w:rPr>
          <w:rFonts w:cs="Times New Roman"/>
          <w:szCs w:val="24"/>
        </w:rPr>
        <w:t>ej</w:t>
      </w:r>
      <w:r w:rsidRPr="00F32790">
        <w:rPr>
          <w:rFonts w:cs="Times New Roman"/>
          <w:szCs w:val="24"/>
        </w:rPr>
        <w:t xml:space="preserve"> bezpečnos</w:t>
      </w:r>
      <w:r w:rsidR="00F43B61">
        <w:rPr>
          <w:rFonts w:cs="Times New Roman"/>
          <w:szCs w:val="24"/>
        </w:rPr>
        <w:t>ti</w:t>
      </w:r>
      <w:r w:rsidRPr="00F32790">
        <w:rPr>
          <w:rFonts w:cs="Times New Roman"/>
          <w:szCs w:val="24"/>
        </w:rPr>
        <w:t xml:space="preserve">. </w:t>
      </w:r>
    </w:p>
    <w:p w14:paraId="275D05BF" w14:textId="77777777" w:rsidR="007F0039" w:rsidRPr="00F32790" w:rsidRDefault="007F0039" w:rsidP="001734FE">
      <w:pPr>
        <w:spacing w:after="0" w:line="240" w:lineRule="auto"/>
        <w:ind w:left="-6" w:right="6" w:hanging="11"/>
        <w:rPr>
          <w:rFonts w:cs="Times New Roman"/>
          <w:szCs w:val="24"/>
        </w:rPr>
      </w:pPr>
    </w:p>
    <w:p w14:paraId="31AD4487" w14:textId="010D2177" w:rsidR="007F0039" w:rsidRPr="001E4490" w:rsidRDefault="001E4490" w:rsidP="001E4490">
      <w:pPr>
        <w:spacing w:after="0" w:line="240" w:lineRule="auto"/>
        <w:ind w:left="-6" w:right="6" w:hanging="11"/>
        <w:rPr>
          <w:rFonts w:cs="Times New Roman"/>
          <w:color w:val="auto"/>
          <w:szCs w:val="24"/>
        </w:rPr>
      </w:pPr>
      <w:r w:rsidRPr="00157DB0">
        <w:rPr>
          <w:rFonts w:cs="Times New Roman"/>
          <w:color w:val="auto"/>
          <w:szCs w:val="24"/>
        </w:rPr>
        <w:t xml:space="preserve">V roku 2022 prebiehali intenzívne rokovania k novému </w:t>
      </w:r>
      <w:r w:rsidRPr="00157DB0">
        <w:rPr>
          <w:rFonts w:cs="Times New Roman"/>
          <w:b/>
          <w:bCs/>
          <w:color w:val="auto"/>
          <w:szCs w:val="24"/>
        </w:rPr>
        <w:t>nariadeniu o zriadení rámca opatrení na posilnenie ekosystému polovodičov v Európe (Akt o čipoch)</w:t>
      </w:r>
      <w:r w:rsidRPr="00157DB0">
        <w:rPr>
          <w:rFonts w:cs="Times New Roman"/>
          <w:color w:val="auto"/>
          <w:szCs w:val="24"/>
        </w:rPr>
        <w:t xml:space="preserve">, ktorý je prvým príkladom reakcie EÚ na zistené kritické oblasti, ktoré sa ukázali počas pandémie COVID-19, ako bol významný celosvetový nedostatok čipov. Čipy sú primárnou komoditou pre zelenú a digitálnu transformáciu v zdravotníctve, priemysle, ale aj v našom každodennom živote. Cieľom nariadenia je rozvoj ekosystému polovodičov v Európe a zvýšenie podielu na svetovom trhu s dôrazom na podporu výskumu a vývoja a budovanie priekopníckych zariadení v oblasti čipov a polovodičových technológií novej generácie. Na dosiahnutie cieľa je potrebné </w:t>
      </w:r>
      <w:r>
        <w:rPr>
          <w:rFonts w:cs="Times New Roman"/>
          <w:color w:val="auto"/>
          <w:szCs w:val="24"/>
        </w:rPr>
        <w:t>z</w:t>
      </w:r>
      <w:r w:rsidRPr="00157DB0">
        <w:rPr>
          <w:rFonts w:cs="Times New Roman"/>
          <w:color w:val="auto"/>
          <w:szCs w:val="24"/>
        </w:rPr>
        <w:t xml:space="preserve">riadiť </w:t>
      </w:r>
      <w:r w:rsidRPr="006B2633">
        <w:rPr>
          <w:rFonts w:cs="Times New Roman"/>
          <w:bCs/>
          <w:color w:val="auto"/>
          <w:szCs w:val="24"/>
        </w:rPr>
        <w:t>iniciatívu Čipy pre Európu</w:t>
      </w:r>
      <w:r w:rsidRPr="00157DB0">
        <w:rPr>
          <w:rFonts w:cs="Times New Roman"/>
          <w:color w:val="auto"/>
          <w:szCs w:val="24"/>
        </w:rPr>
        <w:t xml:space="preserve">, </w:t>
      </w:r>
      <w:r>
        <w:rPr>
          <w:rFonts w:cs="Times New Roman"/>
          <w:bCs/>
          <w:color w:val="auto"/>
          <w:szCs w:val="24"/>
        </w:rPr>
        <w:t>v</w:t>
      </w:r>
      <w:r w:rsidRPr="00157DB0">
        <w:rPr>
          <w:rFonts w:cs="Times New Roman"/>
          <w:bCs/>
          <w:color w:val="auto"/>
          <w:szCs w:val="24"/>
        </w:rPr>
        <w:t>ytvoriť rámec na zaistenie bezpečnosti dodávok</w:t>
      </w:r>
      <w:r w:rsidRPr="00157DB0">
        <w:rPr>
          <w:rFonts w:cs="Times New Roman"/>
          <w:color w:val="auto"/>
          <w:szCs w:val="24"/>
        </w:rPr>
        <w:t xml:space="preserve"> a v neposlednom rade </w:t>
      </w:r>
      <w:r>
        <w:rPr>
          <w:rFonts w:cs="Times New Roman"/>
          <w:bCs/>
          <w:color w:val="auto"/>
          <w:szCs w:val="24"/>
        </w:rPr>
        <w:t>z</w:t>
      </w:r>
      <w:r w:rsidRPr="00157DB0">
        <w:rPr>
          <w:rFonts w:cs="Times New Roman"/>
          <w:bCs/>
          <w:color w:val="auto"/>
          <w:szCs w:val="24"/>
        </w:rPr>
        <w:t>riadiť koordinačný mechanizmus medzi členskými štátmi a Komisiou najmä v krízovom období</w:t>
      </w:r>
      <w:r>
        <w:rPr>
          <w:rFonts w:cs="Times New Roman"/>
          <w:color w:val="auto"/>
          <w:szCs w:val="24"/>
        </w:rPr>
        <w:t xml:space="preserve">. </w:t>
      </w:r>
      <w:r w:rsidRPr="00157DB0">
        <w:rPr>
          <w:rFonts w:cs="Times New Roman"/>
          <w:color w:val="auto"/>
          <w:szCs w:val="24"/>
        </w:rPr>
        <w:t>SR plne podporuje prijatie nariadenia a zadefinovanie polovodičov ako kľúčovej digitálnej technológie</w:t>
      </w:r>
      <w:r>
        <w:rPr>
          <w:rFonts w:cs="Times New Roman"/>
          <w:color w:val="auto"/>
          <w:szCs w:val="24"/>
        </w:rPr>
        <w:t xml:space="preserve"> a plne súhlasí s jeho cieľom, čím je zvýšenie podielu EÚ na svetovej výrobe čipov. Pre SR je dôležité, aby investície do polovodičového a čipového ekosystému EÚ boli rovnomerne rozložené medzi všetky členské štáty. Rovnako dôležité je, aby sa do podporovaných výskumných projektov mohli zapájať výskumné inštitúcie zo všetkých členských štátov na nediskriminačnej báze za rovnakých podmienok. </w:t>
      </w:r>
      <w:r w:rsidR="00157DB0" w:rsidRPr="00F32790">
        <w:rPr>
          <w:rFonts w:cs="Times New Roman"/>
          <w:color w:val="auto"/>
          <w:szCs w:val="24"/>
        </w:rPr>
        <w:t>SR víta všeobecné smerovanie iniciatívy a považuje vytvorenie nariadenia za pozitívny krok v podporení polovodičov ako základu pre digitálnu transformáciu a rozvoja tohto ekosystému v EÚ.</w:t>
      </w:r>
    </w:p>
    <w:p w14:paraId="5B288002" w14:textId="77777777" w:rsidR="007F0039" w:rsidRPr="00F32790" w:rsidRDefault="007F0039" w:rsidP="001734FE">
      <w:pPr>
        <w:spacing w:after="0" w:line="240" w:lineRule="auto"/>
        <w:ind w:left="-6" w:right="6" w:hanging="11"/>
        <w:rPr>
          <w:rFonts w:cs="Times New Roman"/>
          <w:szCs w:val="24"/>
        </w:rPr>
      </w:pPr>
    </w:p>
    <w:p w14:paraId="1BA4249E" w14:textId="5A2E8F39" w:rsidR="007F0039" w:rsidRPr="00F32790" w:rsidRDefault="001227C0" w:rsidP="001734FE">
      <w:pPr>
        <w:spacing w:after="0" w:line="240" w:lineRule="auto"/>
        <w:ind w:left="-6" w:right="6" w:hanging="11"/>
        <w:rPr>
          <w:rFonts w:cs="Times New Roman"/>
          <w:szCs w:val="24"/>
        </w:rPr>
      </w:pPr>
      <w:r w:rsidRPr="00F32790">
        <w:rPr>
          <w:rFonts w:cs="Times New Roman"/>
          <w:b/>
          <w:color w:val="auto"/>
          <w:szCs w:val="24"/>
        </w:rPr>
        <w:t>Nariadenie</w:t>
      </w:r>
      <w:r w:rsidRPr="00F32790">
        <w:rPr>
          <w:rFonts w:cs="Times New Roman"/>
          <w:color w:val="auto"/>
          <w:szCs w:val="24"/>
        </w:rPr>
        <w:t xml:space="preserve"> </w:t>
      </w:r>
      <w:r w:rsidRPr="00F32790">
        <w:rPr>
          <w:rFonts w:cs="Times New Roman"/>
          <w:b/>
          <w:color w:val="auto"/>
          <w:szCs w:val="24"/>
        </w:rPr>
        <w:t>o jednotnom trhu s digitálnymi službami</w:t>
      </w:r>
      <w:r w:rsidR="00A936E9">
        <w:rPr>
          <w:rStyle w:val="Odkaznapoznmkupodiarou"/>
          <w:b/>
          <w:color w:val="auto"/>
          <w:szCs w:val="24"/>
        </w:rPr>
        <w:footnoteReference w:id="13"/>
      </w:r>
      <w:r w:rsidRPr="00F32790">
        <w:rPr>
          <w:rFonts w:cs="Times New Roman"/>
          <w:b/>
          <w:color w:val="auto"/>
          <w:szCs w:val="24"/>
        </w:rPr>
        <w:t xml:space="preserve"> </w:t>
      </w:r>
      <w:r w:rsidRPr="002C4B04">
        <w:rPr>
          <w:rFonts w:cs="Times New Roman"/>
          <w:color w:val="auto"/>
          <w:szCs w:val="24"/>
        </w:rPr>
        <w:t>(</w:t>
      </w:r>
      <w:r w:rsidR="002C4B04" w:rsidRPr="002C4B04">
        <w:rPr>
          <w:rFonts w:cs="Times New Roman"/>
          <w:color w:val="auto"/>
          <w:szCs w:val="24"/>
        </w:rPr>
        <w:t>ďalej „</w:t>
      </w:r>
      <w:r w:rsidRPr="002C4B04">
        <w:rPr>
          <w:rFonts w:cs="Times New Roman"/>
          <w:color w:val="auto"/>
          <w:szCs w:val="24"/>
        </w:rPr>
        <w:t>DSA</w:t>
      </w:r>
      <w:r w:rsidR="002C4B04" w:rsidRPr="002C4B04">
        <w:rPr>
          <w:rFonts w:cs="Times New Roman"/>
          <w:color w:val="auto"/>
          <w:szCs w:val="24"/>
        </w:rPr>
        <w:t>“</w:t>
      </w:r>
      <w:r w:rsidRPr="002C4B04">
        <w:rPr>
          <w:rFonts w:cs="Times New Roman"/>
          <w:color w:val="auto"/>
          <w:szCs w:val="24"/>
        </w:rPr>
        <w:t>)</w:t>
      </w:r>
      <w:r w:rsidRPr="00F32790">
        <w:rPr>
          <w:rFonts w:cs="Times New Roman"/>
          <w:color w:val="auto"/>
          <w:szCs w:val="24"/>
        </w:rPr>
        <w:t xml:space="preserve"> je spolu s nariadením</w:t>
      </w:r>
      <w:r w:rsidR="00CE63DA" w:rsidRPr="00F32790">
        <w:rPr>
          <w:rFonts w:cs="Times New Roman"/>
          <w:b/>
          <w:color w:val="auto"/>
          <w:szCs w:val="24"/>
        </w:rPr>
        <w:t xml:space="preserve"> </w:t>
      </w:r>
      <w:r w:rsidR="008E6BE5">
        <w:rPr>
          <w:rFonts w:cs="Times New Roman"/>
          <w:b/>
          <w:color w:val="auto"/>
          <w:szCs w:val="24"/>
        </w:rPr>
        <w:br/>
      </w:r>
      <w:r w:rsidR="00CE63DA" w:rsidRPr="00F32790">
        <w:rPr>
          <w:rFonts w:cs="Times New Roman"/>
          <w:b/>
          <w:color w:val="auto"/>
          <w:szCs w:val="24"/>
        </w:rPr>
        <w:t xml:space="preserve">o </w:t>
      </w:r>
      <w:proofErr w:type="spellStart"/>
      <w:r w:rsidR="00CE63DA" w:rsidRPr="00F32790">
        <w:rPr>
          <w:rFonts w:cs="Times New Roman"/>
          <w:b/>
          <w:color w:val="auto"/>
          <w:szCs w:val="24"/>
        </w:rPr>
        <w:t>súťažeschopných</w:t>
      </w:r>
      <w:proofErr w:type="spellEnd"/>
      <w:r w:rsidR="00CE63DA" w:rsidRPr="00F32790">
        <w:rPr>
          <w:rFonts w:cs="Times New Roman"/>
          <w:b/>
          <w:color w:val="auto"/>
          <w:szCs w:val="24"/>
        </w:rPr>
        <w:t xml:space="preserve"> a spravodlivých trhoch digitálneho sektora</w:t>
      </w:r>
      <w:r w:rsidR="00A936E9">
        <w:rPr>
          <w:rStyle w:val="Odkaznapoznmkupodiarou"/>
          <w:b/>
          <w:color w:val="auto"/>
          <w:szCs w:val="24"/>
        </w:rPr>
        <w:footnoteReference w:id="14"/>
      </w:r>
      <w:r w:rsidRPr="00F32790">
        <w:rPr>
          <w:rFonts w:cs="Times New Roman"/>
          <w:color w:val="auto"/>
          <w:szCs w:val="24"/>
        </w:rPr>
        <w:t xml:space="preserve"> </w:t>
      </w:r>
      <w:r w:rsidR="00CE63DA" w:rsidRPr="002C4B04">
        <w:rPr>
          <w:rFonts w:cs="Times New Roman"/>
          <w:color w:val="auto"/>
          <w:szCs w:val="24"/>
        </w:rPr>
        <w:t>(</w:t>
      </w:r>
      <w:r w:rsidR="002C4B04" w:rsidRPr="002C4B04">
        <w:rPr>
          <w:rFonts w:cs="Times New Roman"/>
          <w:color w:val="auto"/>
          <w:szCs w:val="24"/>
        </w:rPr>
        <w:t>ďalej „</w:t>
      </w:r>
      <w:r w:rsidR="00CE63DA" w:rsidRPr="002C4B04">
        <w:rPr>
          <w:rFonts w:cs="Times New Roman"/>
          <w:color w:val="auto"/>
          <w:szCs w:val="24"/>
        </w:rPr>
        <w:t>DMA</w:t>
      </w:r>
      <w:r w:rsidR="002C4B04" w:rsidRPr="002C4B04">
        <w:rPr>
          <w:rFonts w:cs="Times New Roman"/>
          <w:color w:val="auto"/>
          <w:szCs w:val="24"/>
        </w:rPr>
        <w:t>“</w:t>
      </w:r>
      <w:r w:rsidR="00CE63DA" w:rsidRPr="002C4B04">
        <w:rPr>
          <w:rFonts w:cs="Times New Roman"/>
          <w:color w:val="auto"/>
          <w:szCs w:val="24"/>
        </w:rPr>
        <w:t>)</w:t>
      </w:r>
      <w:r w:rsidRPr="00F32790">
        <w:rPr>
          <w:rFonts w:cs="Times New Roman"/>
          <w:color w:val="auto"/>
          <w:szCs w:val="24"/>
        </w:rPr>
        <w:t xml:space="preserve"> jedným z hlavných akcentov</w:t>
      </w:r>
      <w:r w:rsidR="00020E5C">
        <w:rPr>
          <w:rFonts w:cs="Times New Roman"/>
          <w:color w:val="auto"/>
          <w:szCs w:val="24"/>
        </w:rPr>
        <w:t xml:space="preserve"> EÚ v posilňovaní a harmonizácii </w:t>
      </w:r>
      <w:r w:rsidRPr="00F32790">
        <w:rPr>
          <w:rFonts w:cs="Times New Roman"/>
          <w:color w:val="auto"/>
          <w:szCs w:val="24"/>
        </w:rPr>
        <w:t>digitálneho (vnútorného) trhu EÚ. Ich prijatím sa podporila lepšia regulácia digitálneho trhu (jeho bezpečnosti, spravodlivosti a konkurencieschopnosti) v Európe s presahmi na globálny</w:t>
      </w:r>
      <w:r w:rsidR="004434BE" w:rsidRPr="00F32790">
        <w:rPr>
          <w:rFonts w:cs="Times New Roman"/>
          <w:color w:val="auto"/>
          <w:szCs w:val="24"/>
        </w:rPr>
        <w:t xml:space="preserve">ch hráčov. </w:t>
      </w:r>
      <w:r w:rsidRPr="00F32790">
        <w:rPr>
          <w:rFonts w:cs="Times New Roman"/>
          <w:color w:val="auto"/>
          <w:szCs w:val="24"/>
        </w:rPr>
        <w:t xml:space="preserve">Nadvláda veľkých spoločností, nenávisť, dezinformácie či nelegálne produkty čoraz viac zaplavujú online priestor. </w:t>
      </w:r>
      <w:r w:rsidRPr="00F32790">
        <w:rPr>
          <w:rFonts w:cs="Times New Roman"/>
          <w:b/>
          <w:color w:val="auto"/>
          <w:szCs w:val="24"/>
        </w:rPr>
        <w:t xml:space="preserve">DSA </w:t>
      </w:r>
      <w:r w:rsidRPr="00F32790">
        <w:rPr>
          <w:rFonts w:cs="Times New Roman"/>
          <w:color w:val="auto"/>
          <w:szCs w:val="24"/>
        </w:rPr>
        <w:t xml:space="preserve">formou nových povinností zaväzuje digitálne platformy k väčšej zodpovednosti a efektívnejšiemu boju proti šíreniu nezákonného a škodlivého obsahu, ako aj nezákonných produktov. </w:t>
      </w:r>
      <w:r w:rsidR="000150DA" w:rsidRPr="00F32790">
        <w:rPr>
          <w:rFonts w:cs="Times New Roman"/>
          <w:color w:val="auto"/>
          <w:szCs w:val="24"/>
        </w:rPr>
        <w:t xml:space="preserve">Hlavným cieľom DSA je zlepšiť kvalitu digitálneho prostredia vytvorením jednotného právneho rámca pre zodpovednosť online platforiem za šírenie nezákonného obsahu. Poskytovateľom online sprostredkovateľských služieb, predovšetkým online platformám, ako sú sociálne médiá a online trhoviská, majú byť uložené komplexnejšie povinnosti s cieľom zlepšiť transparentnosť ich procesov, vyhodnocovanie a zmierňovanie systémových rizík. </w:t>
      </w:r>
      <w:r w:rsidRPr="00F32790">
        <w:rPr>
          <w:rFonts w:cs="Times New Roman"/>
          <w:color w:val="auto"/>
          <w:szCs w:val="24"/>
        </w:rPr>
        <w:t xml:space="preserve">DSA bude priamo a v celom rozsahu uplatniteľné od 17. februára 2024. Niektoré ustanovenia však platia už od 16. novembra 2022. </w:t>
      </w:r>
    </w:p>
    <w:p w14:paraId="02A69AE9" w14:textId="77777777" w:rsidR="007F0039" w:rsidRPr="00F32790" w:rsidRDefault="007F0039" w:rsidP="001734FE">
      <w:pPr>
        <w:spacing w:after="0" w:line="240" w:lineRule="auto"/>
        <w:ind w:left="-6" w:right="6" w:hanging="11"/>
        <w:rPr>
          <w:rFonts w:cs="Times New Roman"/>
          <w:color w:val="auto"/>
          <w:szCs w:val="24"/>
        </w:rPr>
      </w:pPr>
    </w:p>
    <w:p w14:paraId="1A33CEF1" w14:textId="4EA2DFC3" w:rsidR="007F0039" w:rsidRPr="00F32790" w:rsidRDefault="001227C0" w:rsidP="001734FE">
      <w:pPr>
        <w:spacing w:after="0" w:line="240" w:lineRule="auto"/>
        <w:ind w:left="-6" w:right="6" w:hanging="11"/>
        <w:rPr>
          <w:rFonts w:cs="Times New Roman"/>
          <w:szCs w:val="24"/>
        </w:rPr>
      </w:pPr>
      <w:r w:rsidRPr="00F32790">
        <w:rPr>
          <w:rFonts w:cs="Times New Roman"/>
          <w:color w:val="auto"/>
          <w:szCs w:val="24"/>
        </w:rPr>
        <w:lastRenderedPageBreak/>
        <w:t xml:space="preserve">Hlavným účelom prijatého nariadenia </w:t>
      </w:r>
      <w:r w:rsidRPr="00F32790">
        <w:rPr>
          <w:rFonts w:cs="Times New Roman"/>
          <w:b/>
          <w:color w:val="auto"/>
          <w:szCs w:val="24"/>
        </w:rPr>
        <w:t>DMA</w:t>
      </w:r>
      <w:r w:rsidRPr="00F32790">
        <w:rPr>
          <w:rFonts w:cs="Times New Roman"/>
          <w:color w:val="auto"/>
          <w:szCs w:val="24"/>
        </w:rPr>
        <w:t xml:space="preserve"> je obmedziť trhovú silu </w:t>
      </w:r>
      <w:r w:rsidR="001E4490">
        <w:rPr>
          <w:rFonts w:cs="Times New Roman"/>
          <w:color w:val="auto"/>
          <w:szCs w:val="24"/>
        </w:rPr>
        <w:t xml:space="preserve">veľkých </w:t>
      </w:r>
      <w:r w:rsidRPr="00F32790">
        <w:rPr>
          <w:rFonts w:cs="Times New Roman"/>
          <w:color w:val="auto"/>
          <w:szCs w:val="24"/>
        </w:rPr>
        <w:t xml:space="preserve">online platforiem a vytvoriť väčšiu slobodu spotrebiteľov. DMA dopĺňa právo hospodárskej súťaže a obmedzuje silu dominantných digitálnych </w:t>
      </w:r>
      <w:r w:rsidR="001E4490">
        <w:rPr>
          <w:rFonts w:cs="Times New Roman"/>
          <w:color w:val="auto"/>
          <w:szCs w:val="24"/>
        </w:rPr>
        <w:t>hráčov</w:t>
      </w:r>
      <w:r w:rsidRPr="00F32790">
        <w:rPr>
          <w:rFonts w:cs="Times New Roman"/>
          <w:color w:val="auto"/>
          <w:szCs w:val="24"/>
        </w:rPr>
        <w:t>.</w:t>
      </w:r>
      <w:r w:rsidR="004434BE" w:rsidRPr="00F32790">
        <w:rPr>
          <w:rFonts w:cs="Times New Roman"/>
          <w:color w:val="auto"/>
          <w:szCs w:val="24"/>
        </w:rPr>
        <w:t xml:space="preserve"> </w:t>
      </w:r>
      <w:r w:rsidR="00BA0C54" w:rsidRPr="00F32790">
        <w:rPr>
          <w:rFonts w:cs="Times New Roman"/>
          <w:color w:val="auto"/>
          <w:szCs w:val="24"/>
        </w:rPr>
        <w:t xml:space="preserve">Cieľom nariadenia DMA je vytvoriť spravodlivejšiu úroveň hospodárskej súťaže a podmienok konkurencieschopnosti, podporiť rast a inovácie zavedením ex </w:t>
      </w:r>
      <w:proofErr w:type="spellStart"/>
      <w:r w:rsidR="00BA0C54" w:rsidRPr="00F32790">
        <w:rPr>
          <w:rFonts w:cs="Times New Roman"/>
          <w:color w:val="auto"/>
          <w:szCs w:val="24"/>
        </w:rPr>
        <w:t>ante</w:t>
      </w:r>
      <w:proofErr w:type="spellEnd"/>
      <w:r w:rsidR="00BA0C54" w:rsidRPr="00F32790">
        <w:rPr>
          <w:rFonts w:cs="Times New Roman"/>
          <w:color w:val="auto"/>
          <w:szCs w:val="24"/>
        </w:rPr>
        <w:t xml:space="preserve"> pravidiel, povinností a zákazov pre online gigantov, vrátane aktérov z tretích krajín. Ide napríklad o zákaz vytvárania bariér pre vstup nových, menších a najmä inovatívnych subjektov, zákaz preferovania vlastných produktov pri odporúčacích systémoch a pod.</w:t>
      </w:r>
      <w:r w:rsidRPr="00F32790">
        <w:rPr>
          <w:rFonts w:cs="Times New Roman"/>
          <w:color w:val="auto"/>
          <w:szCs w:val="24"/>
        </w:rPr>
        <w:t xml:space="preserve"> Niektoré ustanovenia DMA sú účinné od 1. novembra 2022, v celom rozsahu začne nariadenie platiť od 2. mája 2023.</w:t>
      </w:r>
    </w:p>
    <w:p w14:paraId="2087831F" w14:textId="77777777" w:rsidR="007F0039" w:rsidRPr="00F32790" w:rsidRDefault="007F0039" w:rsidP="001734FE">
      <w:pPr>
        <w:spacing w:after="0" w:line="240" w:lineRule="auto"/>
        <w:ind w:left="-6" w:right="6" w:hanging="11"/>
        <w:rPr>
          <w:rFonts w:cs="Times New Roman"/>
          <w:szCs w:val="24"/>
        </w:rPr>
      </w:pPr>
    </w:p>
    <w:p w14:paraId="686A74E7" w14:textId="6CE062D7" w:rsidR="002C4B04" w:rsidRDefault="00BA0C54" w:rsidP="002C4B04">
      <w:pPr>
        <w:spacing w:after="0" w:line="240" w:lineRule="auto"/>
        <w:ind w:left="-6" w:right="6" w:hanging="11"/>
        <w:rPr>
          <w:rFonts w:cs="Times New Roman"/>
          <w:szCs w:val="24"/>
        </w:rPr>
      </w:pPr>
      <w:r w:rsidRPr="00F32790">
        <w:rPr>
          <w:rFonts w:cs="Times New Roman"/>
          <w:b/>
          <w:color w:val="auto"/>
          <w:szCs w:val="24"/>
        </w:rPr>
        <w:t>Návrh nariadenia o správe údajov</w:t>
      </w:r>
      <w:r w:rsidR="00A936E9">
        <w:rPr>
          <w:rStyle w:val="Odkaznapoznmkupodiarou"/>
          <w:b/>
          <w:color w:val="auto"/>
          <w:szCs w:val="24"/>
        </w:rPr>
        <w:footnoteReference w:id="15"/>
      </w:r>
      <w:r w:rsidRPr="00F32790">
        <w:rPr>
          <w:rFonts w:cs="Times New Roman"/>
          <w:b/>
          <w:color w:val="auto"/>
          <w:szCs w:val="24"/>
        </w:rPr>
        <w:t xml:space="preserve"> </w:t>
      </w:r>
      <w:r w:rsidRPr="002C4B04">
        <w:rPr>
          <w:rFonts w:cs="Times New Roman"/>
          <w:color w:val="auto"/>
          <w:szCs w:val="24"/>
        </w:rPr>
        <w:t>(</w:t>
      </w:r>
      <w:r w:rsidR="002C4B04" w:rsidRPr="002C4B04">
        <w:rPr>
          <w:rFonts w:cs="Times New Roman"/>
          <w:color w:val="auto"/>
          <w:szCs w:val="24"/>
        </w:rPr>
        <w:t>ďalej „</w:t>
      </w:r>
      <w:r w:rsidRPr="002C4B04">
        <w:rPr>
          <w:rFonts w:cs="Times New Roman"/>
          <w:color w:val="auto"/>
          <w:szCs w:val="24"/>
        </w:rPr>
        <w:t>DGA</w:t>
      </w:r>
      <w:r w:rsidR="002C4B04" w:rsidRPr="002C4B04">
        <w:rPr>
          <w:rFonts w:cs="Times New Roman"/>
          <w:color w:val="auto"/>
          <w:szCs w:val="24"/>
        </w:rPr>
        <w:t>“</w:t>
      </w:r>
      <w:r w:rsidRPr="002C4B04">
        <w:rPr>
          <w:rFonts w:cs="Times New Roman"/>
          <w:color w:val="auto"/>
          <w:szCs w:val="24"/>
        </w:rPr>
        <w:t>)</w:t>
      </w:r>
      <w:r w:rsidRPr="00F32790">
        <w:rPr>
          <w:rFonts w:cs="Times New Roman"/>
          <w:color w:val="auto"/>
          <w:szCs w:val="24"/>
        </w:rPr>
        <w:t>, prvý zo súboru legislatívnych návrhov Európskej dátovej stratégie, stanovuje nové pravidlá a mechanizmy pre dôveryhodné zdieľanie údajov. DGA umožní väčšie využitie údajov uchovávaných verejným sektorom (ktoré nie je možné poskytnúť všetkým ako otvorené dáta z dôvodu opr</w:t>
      </w:r>
      <w:r w:rsidR="00D27A4E">
        <w:rPr>
          <w:rFonts w:cs="Times New Roman"/>
          <w:color w:val="auto"/>
          <w:szCs w:val="24"/>
        </w:rPr>
        <w:t>ávnených záujmov tretích strán)</w:t>
      </w:r>
      <w:r w:rsidRPr="00F32790">
        <w:rPr>
          <w:rFonts w:cs="Times New Roman"/>
          <w:color w:val="auto"/>
          <w:szCs w:val="24"/>
        </w:rPr>
        <w:t xml:space="preserve"> a tiež uľahčí jednotlivcom a spoločnostiam sprístupnenie svojich údajov na dobrovoľnom základe. </w:t>
      </w:r>
    </w:p>
    <w:p w14:paraId="2B17C4A3" w14:textId="77777777" w:rsidR="002C4B04" w:rsidRDefault="002C4B04" w:rsidP="002C4B04">
      <w:pPr>
        <w:spacing w:after="0" w:line="240" w:lineRule="auto"/>
        <w:ind w:left="-6" w:right="6" w:hanging="11"/>
        <w:rPr>
          <w:rFonts w:cs="Times New Roman"/>
          <w:color w:val="auto"/>
          <w:szCs w:val="24"/>
        </w:rPr>
      </w:pPr>
    </w:p>
    <w:p w14:paraId="13F54AA9" w14:textId="1D493D7F" w:rsidR="007F0039" w:rsidRDefault="00BA0C54" w:rsidP="002C4B04">
      <w:pPr>
        <w:spacing w:after="0" w:line="240" w:lineRule="auto"/>
        <w:ind w:left="-6" w:right="6" w:hanging="11"/>
        <w:rPr>
          <w:rFonts w:cs="Times New Roman"/>
          <w:color w:val="auto"/>
          <w:szCs w:val="24"/>
        </w:rPr>
      </w:pPr>
      <w:r w:rsidRPr="00F32790">
        <w:rPr>
          <w:rFonts w:cs="Times New Roman"/>
          <w:color w:val="auto"/>
          <w:szCs w:val="24"/>
        </w:rPr>
        <w:t xml:space="preserve">DGA predchádzalo ďalšiemu významnému legislatívnemu návrhu z Európskej dátovej stratégie, a to </w:t>
      </w:r>
      <w:r w:rsidRPr="00F32790">
        <w:rPr>
          <w:rFonts w:cs="Times New Roman"/>
          <w:b/>
          <w:color w:val="auto"/>
          <w:szCs w:val="24"/>
        </w:rPr>
        <w:t xml:space="preserve">návrh nariadenia o údajoch </w:t>
      </w:r>
      <w:r w:rsidRPr="002C4B04">
        <w:rPr>
          <w:rFonts w:cs="Times New Roman"/>
          <w:color w:val="auto"/>
          <w:szCs w:val="24"/>
        </w:rPr>
        <w:t>(</w:t>
      </w:r>
      <w:r w:rsidR="002C4B04" w:rsidRPr="002C4B04">
        <w:rPr>
          <w:rFonts w:cs="Times New Roman"/>
          <w:color w:val="auto"/>
          <w:szCs w:val="24"/>
        </w:rPr>
        <w:t>ďalej „</w:t>
      </w:r>
      <w:r w:rsidRPr="002C4B04">
        <w:rPr>
          <w:rFonts w:cs="Times New Roman"/>
          <w:color w:val="auto"/>
          <w:szCs w:val="24"/>
        </w:rPr>
        <w:t>DA</w:t>
      </w:r>
      <w:r w:rsidR="002C4B04" w:rsidRPr="002C4B04">
        <w:rPr>
          <w:rFonts w:cs="Times New Roman"/>
          <w:color w:val="auto"/>
          <w:szCs w:val="24"/>
        </w:rPr>
        <w:t>“</w:t>
      </w:r>
      <w:r w:rsidRPr="002C4B04">
        <w:rPr>
          <w:rFonts w:cs="Times New Roman"/>
          <w:color w:val="auto"/>
          <w:szCs w:val="24"/>
        </w:rPr>
        <w:t>).</w:t>
      </w:r>
      <w:r w:rsidRPr="00F32790">
        <w:rPr>
          <w:rFonts w:cs="Times New Roman"/>
          <w:color w:val="auto"/>
          <w:szCs w:val="24"/>
        </w:rPr>
        <w:t xml:space="preserve"> DA stanovuje, kto a za akých podmienok môže pristupovať k údajom za účelom podpory zdieľania údajov v rámci súkromného sektora, pričom sa snaží v právnych vzťahoch súvisiacich so zdieľaním údajov docieliť vyššiu mieru spravodlivosti, právnej istoty a transparentnosti. DA má horizontálny charakter a ďalej počíta s prijatím nadväzujúcej sektorovej legislatívy, ktorá vytvorí viaceré európske dátové priestory napríklad v oblasti zdravotníctva (EHDS), mobility alebo kultúry. Počas českého predsedníctva Rady EÚ sa nepodarilo dosiahnuť všeobecné smerovanie k návrhu DA a rokovania</w:t>
      </w:r>
      <w:r w:rsidR="007F0039" w:rsidRPr="00F32790">
        <w:rPr>
          <w:rFonts w:cs="Times New Roman"/>
          <w:color w:val="auto"/>
          <w:szCs w:val="24"/>
        </w:rPr>
        <w:t xml:space="preserve"> budú pokračovať v roku 2023.  </w:t>
      </w:r>
    </w:p>
    <w:p w14:paraId="5C7D13BD" w14:textId="77777777" w:rsidR="00572DA4" w:rsidRDefault="00572DA4" w:rsidP="00572DA4">
      <w:pPr>
        <w:spacing w:after="0" w:line="240" w:lineRule="auto"/>
        <w:ind w:left="-6" w:right="6" w:hanging="11"/>
        <w:rPr>
          <w:rFonts w:cs="Times New Roman"/>
          <w:szCs w:val="24"/>
        </w:rPr>
      </w:pPr>
    </w:p>
    <w:p w14:paraId="1DC8EF2E" w14:textId="2310F68A" w:rsidR="00572DA4" w:rsidRPr="00572DA4" w:rsidRDefault="00572DA4" w:rsidP="00572DA4">
      <w:pPr>
        <w:spacing w:after="0" w:line="240" w:lineRule="auto"/>
        <w:ind w:left="-6" w:right="6" w:hanging="11"/>
        <w:rPr>
          <w:rFonts w:cs="Times New Roman"/>
          <w:szCs w:val="24"/>
        </w:rPr>
      </w:pPr>
      <w:r>
        <w:rPr>
          <w:rFonts w:cs="Times New Roman"/>
          <w:szCs w:val="24"/>
        </w:rPr>
        <w:t>V</w:t>
      </w:r>
      <w:r w:rsidRPr="00572DA4">
        <w:rPr>
          <w:rFonts w:cs="Times New Roman"/>
          <w:szCs w:val="24"/>
        </w:rPr>
        <w:t xml:space="preserve"> roku 2022 sa na úrovni EÚ úspešne skončili rokovania k návrhu smernice, ktorou sa mení smernica 2014/53/EÚ o harmonizácii právnych predpisov členských štátov týkajúcich sa sprístupňovania rádiových zariadení na trhu</w:t>
      </w:r>
      <w:r w:rsidR="003F720C">
        <w:rPr>
          <w:rStyle w:val="Odkaznapoznmkupodiarou"/>
          <w:szCs w:val="24"/>
        </w:rPr>
        <w:footnoteReference w:id="16"/>
      </w:r>
      <w:r w:rsidRPr="00572DA4">
        <w:rPr>
          <w:rFonts w:cs="Times New Roman"/>
          <w:szCs w:val="24"/>
        </w:rPr>
        <w:t xml:space="preserve">, ktoré sa zaoberali tzv. </w:t>
      </w:r>
      <w:r w:rsidRPr="003B2974">
        <w:rPr>
          <w:rFonts w:cs="Times New Roman"/>
          <w:b/>
          <w:szCs w:val="24"/>
        </w:rPr>
        <w:t>spoločnými nabíjačkami</w:t>
      </w:r>
      <w:r w:rsidRPr="00572DA4">
        <w:rPr>
          <w:rFonts w:cs="Times New Roman"/>
          <w:szCs w:val="24"/>
        </w:rPr>
        <w:t xml:space="preserve">. Nosnou myšlienkou bolo znížiť elektronický odpad, ktorý nabíjačky (pre širokú škálu výrobkov od mobilov, tabletov, slúchadiel, atď.) vytvárajú duplicitným predajom s každým novým výrobkom. Podarilo sa dohodnúť, že pre vybrané výrobkové skupiny sa bude používať rovnaký typ nabíjačky, čím sa znížia nároky na surovinové zdroje a zároveň sa zníži elektronický odpad. V praxi to bude znamenať, že nabíjačka pre mobilný telefón sa bude môcť použiť aj pre slúchadla, tablety a ďalšie vybrané zariadenia a naopak. Zároveň dostane spotrebiteľ možnosť kúpiť si produkt s nabíjačkou alebo bez nej. </w:t>
      </w:r>
    </w:p>
    <w:p w14:paraId="023D219A" w14:textId="77777777" w:rsidR="007F0039" w:rsidRPr="00F32790" w:rsidRDefault="007F0039" w:rsidP="001734FE">
      <w:pPr>
        <w:spacing w:after="0" w:line="240" w:lineRule="auto"/>
        <w:rPr>
          <w:rFonts w:cs="Times New Roman"/>
          <w:color w:val="auto"/>
          <w:szCs w:val="24"/>
        </w:rPr>
      </w:pPr>
    </w:p>
    <w:p w14:paraId="3FF8DDE6" w14:textId="78470601" w:rsidR="007F0039" w:rsidRPr="00F32790" w:rsidRDefault="00BA0C54" w:rsidP="001734FE">
      <w:pPr>
        <w:spacing w:after="0" w:line="240" w:lineRule="auto"/>
        <w:rPr>
          <w:rFonts w:cs="Times New Roman"/>
          <w:color w:val="auto"/>
          <w:szCs w:val="24"/>
        </w:rPr>
      </w:pPr>
      <w:r w:rsidRPr="00F32790">
        <w:rPr>
          <w:rFonts w:cs="Times New Roman"/>
          <w:b/>
          <w:color w:val="auto"/>
          <w:szCs w:val="24"/>
        </w:rPr>
        <w:t>Návrh nariadenia o umelej inteligencii</w:t>
      </w:r>
      <w:r w:rsidR="00A936E9">
        <w:rPr>
          <w:rStyle w:val="Odkaznapoznmkupodiarou"/>
          <w:b/>
          <w:color w:val="auto"/>
          <w:szCs w:val="24"/>
        </w:rPr>
        <w:footnoteReference w:id="17"/>
      </w:r>
      <w:r w:rsidRPr="00F32790">
        <w:rPr>
          <w:rFonts w:cs="Times New Roman"/>
          <w:color w:val="auto"/>
          <w:szCs w:val="24"/>
        </w:rPr>
        <w:t xml:space="preserve"> </w:t>
      </w:r>
      <w:r w:rsidRPr="002C4B04">
        <w:rPr>
          <w:rFonts w:cs="Times New Roman"/>
          <w:color w:val="auto"/>
          <w:szCs w:val="24"/>
        </w:rPr>
        <w:t>(</w:t>
      </w:r>
      <w:r w:rsidR="002C4B04" w:rsidRPr="002C4B04">
        <w:rPr>
          <w:rFonts w:cs="Times New Roman"/>
          <w:color w:val="auto"/>
          <w:szCs w:val="24"/>
        </w:rPr>
        <w:t>ďalej „</w:t>
      </w:r>
      <w:r w:rsidRPr="002C4B04">
        <w:rPr>
          <w:rFonts w:cs="Times New Roman"/>
          <w:color w:val="auto"/>
          <w:szCs w:val="24"/>
        </w:rPr>
        <w:t>AIA</w:t>
      </w:r>
      <w:r w:rsidR="002C4B04" w:rsidRPr="002C4B04">
        <w:rPr>
          <w:rFonts w:cs="Times New Roman"/>
          <w:color w:val="auto"/>
          <w:szCs w:val="24"/>
        </w:rPr>
        <w:t>“</w:t>
      </w:r>
      <w:r w:rsidRPr="002C4B04">
        <w:rPr>
          <w:rFonts w:cs="Times New Roman"/>
          <w:color w:val="auto"/>
          <w:szCs w:val="24"/>
        </w:rPr>
        <w:t>)</w:t>
      </w:r>
      <w:r w:rsidRPr="00F32790">
        <w:rPr>
          <w:rFonts w:cs="Times New Roman"/>
          <w:color w:val="auto"/>
          <w:szCs w:val="24"/>
        </w:rPr>
        <w:t xml:space="preserve"> predstavuje ambiciózny horizontálny právny rámec pre podporu vývoja a používania takých systémov umelej inteligencie, ktoré ochránia bezpečnosť, zdravie a základné práva obyvateľstva a hospodárskych subjektov. Za účelom vytvorenia funkčného, efektívneho a akcieschopného verejného inštitucionálneho rámca pre umelú inteligenciu predložila SR v decembri 2021 do diskusie členských štátov vlastný pracovný dokument, ktorý načrtol možné varianty vylepšenia správy (</w:t>
      </w:r>
      <w:proofErr w:type="spellStart"/>
      <w:r w:rsidRPr="00F32790">
        <w:rPr>
          <w:rFonts w:cs="Times New Roman"/>
          <w:color w:val="auto"/>
          <w:szCs w:val="24"/>
        </w:rPr>
        <w:t>governance</w:t>
      </w:r>
      <w:proofErr w:type="spellEnd"/>
      <w:r w:rsidRPr="00F32790">
        <w:rPr>
          <w:rFonts w:cs="Times New Roman"/>
          <w:color w:val="auto"/>
          <w:szCs w:val="24"/>
        </w:rPr>
        <w:t xml:space="preserve">) </w:t>
      </w:r>
      <w:r w:rsidRPr="00F32790">
        <w:rPr>
          <w:rFonts w:cs="Times New Roman"/>
          <w:color w:val="auto"/>
          <w:szCs w:val="24"/>
        </w:rPr>
        <w:lastRenderedPageBreak/>
        <w:t xml:space="preserve">umelej inteligencie. Na tieto aktivity nadviazala SR v roku 2022 sériou úspešných workshopov pre členské štáty a EK, ako aj novým pracovným dokumentom, ktorý podporilo viacero členských štátov, spolu so sprievodnými návrhmi na úpravu znenia návrhu nariadenia o umelej inteligencii. Rokovania o AIA budú pokračovať v roku 2023 s inštitucionálnym legislatívnym </w:t>
      </w:r>
      <w:proofErr w:type="spellStart"/>
      <w:r w:rsidRPr="00F32790">
        <w:rPr>
          <w:rFonts w:cs="Times New Roman"/>
          <w:color w:val="auto"/>
          <w:szCs w:val="24"/>
        </w:rPr>
        <w:t>trialógom</w:t>
      </w:r>
      <w:proofErr w:type="spellEnd"/>
      <w:r w:rsidRPr="00F32790">
        <w:rPr>
          <w:rFonts w:cs="Times New Roman"/>
          <w:color w:val="auto"/>
          <w:szCs w:val="24"/>
        </w:rPr>
        <w:t xml:space="preserve"> očakávaným najskôr na jar 2023. </w:t>
      </w:r>
    </w:p>
    <w:p w14:paraId="2FC43960" w14:textId="77777777" w:rsidR="007F0039" w:rsidRPr="00F32790" w:rsidRDefault="007F0039" w:rsidP="001734FE">
      <w:pPr>
        <w:spacing w:after="0" w:line="240" w:lineRule="auto"/>
        <w:rPr>
          <w:rFonts w:cs="Times New Roman"/>
          <w:color w:val="auto"/>
          <w:szCs w:val="24"/>
        </w:rPr>
      </w:pPr>
    </w:p>
    <w:p w14:paraId="5483CD84" w14:textId="59E44000" w:rsidR="007F0039" w:rsidRPr="00F32790" w:rsidRDefault="00BA0C54" w:rsidP="001734FE">
      <w:pPr>
        <w:spacing w:after="0" w:line="240" w:lineRule="auto"/>
        <w:rPr>
          <w:rFonts w:cs="Times New Roman"/>
          <w:color w:val="auto"/>
          <w:szCs w:val="24"/>
        </w:rPr>
      </w:pPr>
      <w:r w:rsidRPr="00F32790">
        <w:rPr>
          <w:rFonts w:cs="Times New Roman"/>
          <w:color w:val="auto"/>
          <w:szCs w:val="24"/>
        </w:rPr>
        <w:t>V uplynulom roku bol schválený tiež návrh rozhodnutia „</w:t>
      </w:r>
      <w:r w:rsidRPr="00F32790">
        <w:rPr>
          <w:rFonts w:cs="Times New Roman"/>
          <w:b/>
          <w:color w:val="auto"/>
          <w:szCs w:val="24"/>
        </w:rPr>
        <w:t>Cesta k digitálnemu desaťročiu do roku 2030</w:t>
      </w:r>
      <w:r w:rsidR="0048329E">
        <w:rPr>
          <w:rStyle w:val="Odkaznapoznmkupodiarou"/>
          <w:b/>
          <w:color w:val="auto"/>
          <w:szCs w:val="24"/>
        </w:rPr>
        <w:footnoteReference w:id="18"/>
      </w:r>
      <w:r w:rsidRPr="00F32790">
        <w:rPr>
          <w:rFonts w:cs="Times New Roman"/>
          <w:color w:val="auto"/>
          <w:szCs w:val="24"/>
        </w:rPr>
        <w:t>“</w:t>
      </w:r>
      <w:r w:rsidR="0047302D">
        <w:rPr>
          <w:rFonts w:cs="Times New Roman"/>
          <w:color w:val="auto"/>
          <w:szCs w:val="24"/>
        </w:rPr>
        <w:t xml:space="preserve"> </w:t>
      </w:r>
      <w:r w:rsidRPr="00F32790">
        <w:rPr>
          <w:rFonts w:cs="Times New Roman"/>
          <w:color w:val="auto"/>
          <w:szCs w:val="24"/>
        </w:rPr>
        <w:t xml:space="preserve">(Program pre digitálnu politiku), ktorým sa stanovuje mechanizmus monitorovania a spolupráce medzi EK a členskými štátmi pri dosahovaní cieľov digitálneho desaťročia stanovených tzv. Digitálnym kompasom. Vláda SR v roku 2021 schválila Stratégiu a akčný plán na zlepšenie postavenia </w:t>
      </w:r>
      <w:r w:rsidR="00147C10">
        <w:rPr>
          <w:rFonts w:cs="Times New Roman"/>
          <w:color w:val="auto"/>
          <w:szCs w:val="24"/>
        </w:rPr>
        <w:t>SR</w:t>
      </w:r>
      <w:r w:rsidRPr="00F32790">
        <w:rPr>
          <w:rFonts w:cs="Times New Roman"/>
          <w:color w:val="auto"/>
          <w:szCs w:val="24"/>
        </w:rPr>
        <w:t xml:space="preserve"> v indexe DESI (Index digitálnej ekonomiky a spoločnosti) do roku 2025. Pomocou indexu DESI, v súčasnosti štruktúrovaného podľa štyroch hlavných oblastí Digitálneho kompasu, je moni</w:t>
      </w:r>
      <w:r w:rsidR="000157A8" w:rsidRPr="00F32790">
        <w:rPr>
          <w:rFonts w:cs="Times New Roman"/>
          <w:color w:val="auto"/>
          <w:szCs w:val="24"/>
        </w:rPr>
        <w:t>torovaný pokrok a úroveň rozvoj</w:t>
      </w:r>
      <w:r w:rsidRPr="00F32790">
        <w:rPr>
          <w:rFonts w:cs="Times New Roman"/>
          <w:color w:val="auto"/>
          <w:szCs w:val="24"/>
        </w:rPr>
        <w:t xml:space="preserve"> digitálnej konkurencieschopnosti Európy v jednotlivých členských štátoch. Hlavným cieľom stratégie je v horizonte piatich rokov výrazne zlepšiť postavenie SR v rebríčku DESI a dosiahnuti</w:t>
      </w:r>
      <w:r w:rsidR="007F0039" w:rsidRPr="00F32790">
        <w:rPr>
          <w:rFonts w:cs="Times New Roman"/>
          <w:color w:val="auto"/>
          <w:szCs w:val="24"/>
        </w:rPr>
        <w:t>e aspoň priemeru EÚ.</w:t>
      </w:r>
    </w:p>
    <w:p w14:paraId="6C5287FE" w14:textId="77777777" w:rsidR="007F0039" w:rsidRPr="00F32790" w:rsidRDefault="007F0039" w:rsidP="001734FE">
      <w:pPr>
        <w:spacing w:after="0" w:line="240" w:lineRule="auto"/>
        <w:rPr>
          <w:rFonts w:cs="Times New Roman"/>
          <w:color w:val="auto"/>
          <w:szCs w:val="24"/>
        </w:rPr>
      </w:pPr>
    </w:p>
    <w:p w14:paraId="4A56E3C5" w14:textId="55022842" w:rsidR="007F0039" w:rsidRPr="00F32790" w:rsidRDefault="000157A8" w:rsidP="001734FE">
      <w:pPr>
        <w:spacing w:after="0" w:line="240" w:lineRule="auto"/>
        <w:rPr>
          <w:rFonts w:cs="Times New Roman"/>
          <w:color w:val="auto"/>
          <w:szCs w:val="24"/>
        </w:rPr>
      </w:pPr>
      <w:r w:rsidRPr="00F32790">
        <w:rPr>
          <w:rFonts w:cs="Times New Roman"/>
          <w:szCs w:val="24"/>
        </w:rPr>
        <w:t>Významným krokom v oblasti elektronizácie justície sú</w:t>
      </w:r>
      <w:r w:rsidRPr="00F32790">
        <w:rPr>
          <w:rFonts w:cs="Times New Roman"/>
          <w:b/>
          <w:szCs w:val="24"/>
        </w:rPr>
        <w:t xml:space="preserve"> návrh nariadenia o digitalizácii justičnej spolupráce a prístupu k spravodlivosti a návrh smernice o digitalizácii justičnej spolupráce</w:t>
      </w:r>
      <w:r w:rsidR="0048329E">
        <w:rPr>
          <w:rStyle w:val="Odkaznapoznmkupodiarou"/>
          <w:b/>
          <w:szCs w:val="24"/>
        </w:rPr>
        <w:footnoteReference w:id="19"/>
      </w:r>
      <w:r w:rsidRPr="00F32790">
        <w:rPr>
          <w:rFonts w:cs="Times New Roman"/>
          <w:szCs w:val="24"/>
        </w:rPr>
        <w:t xml:space="preserve">, ku ktorým bolo dosiahnuté všeobecné smerovanie </w:t>
      </w:r>
      <w:r w:rsidR="006B2633" w:rsidRPr="00F32790">
        <w:rPr>
          <w:rFonts w:cs="Times New Roman"/>
          <w:szCs w:val="24"/>
        </w:rPr>
        <w:t xml:space="preserve">v decembri </w:t>
      </w:r>
      <w:r w:rsidRPr="00F32790">
        <w:rPr>
          <w:rFonts w:cs="Times New Roman"/>
          <w:szCs w:val="24"/>
        </w:rPr>
        <w:t xml:space="preserve">2022. Cieľom návrhov je zabezpečiť dostupnosť a používanie elektronických komunikačných prostriedkov v cezhraničných veciach medzi justičnými a inými príslušnými orgánmi členských štátov </w:t>
      </w:r>
      <w:r w:rsidR="008E6BE5">
        <w:rPr>
          <w:rFonts w:cs="Times New Roman"/>
          <w:szCs w:val="24"/>
        </w:rPr>
        <w:br/>
      </w:r>
      <w:r w:rsidRPr="00F32790">
        <w:rPr>
          <w:rFonts w:cs="Times New Roman"/>
          <w:szCs w:val="24"/>
        </w:rPr>
        <w:t xml:space="preserve">a umožniť použitie elektronických komunikačných prostriedkov v cezhraničných veciach medzi fyzickými a právnickými osobami a súdmi a príslušnými orgánmi. </w:t>
      </w:r>
    </w:p>
    <w:p w14:paraId="6CDD4597" w14:textId="77777777" w:rsidR="007F0039" w:rsidRPr="00F32790" w:rsidRDefault="007F0039" w:rsidP="001734FE">
      <w:pPr>
        <w:spacing w:after="0" w:line="240" w:lineRule="auto"/>
        <w:rPr>
          <w:rFonts w:cs="Times New Roman"/>
          <w:color w:val="auto"/>
          <w:szCs w:val="24"/>
        </w:rPr>
      </w:pPr>
    </w:p>
    <w:p w14:paraId="476943F0" w14:textId="6476D0EB" w:rsidR="000157A8" w:rsidRPr="00F32790" w:rsidRDefault="000157A8" w:rsidP="001734FE">
      <w:pPr>
        <w:spacing w:after="0" w:line="240" w:lineRule="auto"/>
        <w:rPr>
          <w:rFonts w:cs="Times New Roman"/>
          <w:szCs w:val="24"/>
        </w:rPr>
      </w:pPr>
      <w:r w:rsidRPr="00F32790">
        <w:rPr>
          <w:rFonts w:cs="Times New Roman"/>
          <w:szCs w:val="24"/>
        </w:rPr>
        <w:t xml:space="preserve">Ďalším významným krokom je </w:t>
      </w:r>
      <w:r w:rsidRPr="00F32790">
        <w:rPr>
          <w:rFonts w:cs="Times New Roman"/>
          <w:b/>
          <w:szCs w:val="24"/>
        </w:rPr>
        <w:t>ukončenie zdĺhavých rokovaní o EU balíčku o elektronických dôkazoch</w:t>
      </w:r>
      <w:r w:rsidRPr="00F32790">
        <w:rPr>
          <w:rFonts w:cs="Times New Roman"/>
          <w:szCs w:val="24"/>
        </w:rPr>
        <w:t xml:space="preserve"> (návrhu nariadenie o európskom príkaze na predloženie a zaistenie elektronických dôkazov v trestných veciach a návrhu smernica o právnych zástupcoch na účely zhromažďovania dôkazov). Cieľom návrhov je zrýchlenie cezhraničnej spolupráce pri zabezpečovaní dôkazov v trestnom konaní. Návrhy reagujú na potreby praxe, nakoľko podľa </w:t>
      </w:r>
      <w:proofErr w:type="spellStart"/>
      <w:r w:rsidRPr="00F32790">
        <w:rPr>
          <w:rFonts w:cs="Times New Roman"/>
          <w:szCs w:val="24"/>
        </w:rPr>
        <w:t>Eurojustu</w:t>
      </w:r>
      <w:proofErr w:type="spellEnd"/>
      <w:r w:rsidRPr="00F32790">
        <w:rPr>
          <w:rFonts w:cs="Times New Roman"/>
          <w:szCs w:val="24"/>
        </w:rPr>
        <w:t xml:space="preserve"> až 80% všetkých dôkazov v súčasnosti tvoria elektronické dôkazy a približne 62% z nich dôkazy, ktoré sú v inej jurisdikcii.</w:t>
      </w:r>
    </w:p>
    <w:p w14:paraId="3D39AF86" w14:textId="1716429C" w:rsidR="007F0039" w:rsidRDefault="007F0039" w:rsidP="001734FE">
      <w:pPr>
        <w:spacing w:after="0" w:line="240" w:lineRule="auto"/>
        <w:rPr>
          <w:rFonts w:cs="Times New Roman"/>
          <w:color w:val="auto"/>
          <w:szCs w:val="24"/>
        </w:rPr>
      </w:pPr>
    </w:p>
    <w:p w14:paraId="49667A3A" w14:textId="0ACA5EC7" w:rsidR="00F43B61" w:rsidRDefault="00F43B61" w:rsidP="00D361A5">
      <w:pPr>
        <w:spacing w:after="200" w:line="240" w:lineRule="auto"/>
        <w:rPr>
          <w:bCs/>
        </w:rPr>
      </w:pPr>
      <w:r>
        <w:rPr>
          <w:bCs/>
        </w:rPr>
        <w:t>P</w:t>
      </w:r>
      <w:r w:rsidR="00D361A5" w:rsidRPr="00D361A5">
        <w:rPr>
          <w:bCs/>
        </w:rPr>
        <w:t>okračoval</w:t>
      </w:r>
      <w:r>
        <w:rPr>
          <w:bCs/>
        </w:rPr>
        <w:t>i</w:t>
      </w:r>
      <w:r w:rsidR="00D361A5" w:rsidRPr="00D361A5">
        <w:rPr>
          <w:bCs/>
        </w:rPr>
        <w:t xml:space="preserve"> diskusi</w:t>
      </w:r>
      <w:r>
        <w:rPr>
          <w:bCs/>
        </w:rPr>
        <w:t>e</w:t>
      </w:r>
      <w:r w:rsidR="00D361A5" w:rsidRPr="00D361A5">
        <w:rPr>
          <w:bCs/>
        </w:rPr>
        <w:t xml:space="preserve"> k návrhu</w:t>
      </w:r>
      <w:r w:rsidR="00D361A5" w:rsidRPr="00D361A5">
        <w:rPr>
          <w:b/>
          <w:bCs/>
        </w:rPr>
        <w:t xml:space="preserve"> Nariadenia o európskom elektronickom </w:t>
      </w:r>
      <w:proofErr w:type="spellStart"/>
      <w:r w:rsidR="00D361A5" w:rsidRPr="00D361A5">
        <w:rPr>
          <w:b/>
          <w:bCs/>
        </w:rPr>
        <w:t>eID</w:t>
      </w:r>
      <w:proofErr w:type="spellEnd"/>
      <w:r w:rsidR="00D361A5" w:rsidRPr="00D361A5">
        <w:rPr>
          <w:bCs/>
        </w:rPr>
        <w:t xml:space="preserve"> (ďalej „</w:t>
      </w:r>
      <w:proofErr w:type="spellStart"/>
      <w:r w:rsidR="00D361A5" w:rsidRPr="00D361A5">
        <w:rPr>
          <w:bCs/>
        </w:rPr>
        <w:t>eIDASII</w:t>
      </w:r>
      <w:proofErr w:type="spellEnd"/>
      <w:r w:rsidR="00D361A5" w:rsidRPr="00D361A5">
        <w:rPr>
          <w:bCs/>
        </w:rPr>
        <w:t>“)</w:t>
      </w:r>
      <w:r w:rsidR="00D361A5" w:rsidRPr="00D361A5">
        <w:rPr>
          <w:b/>
          <w:bCs/>
        </w:rPr>
        <w:t xml:space="preserve">. </w:t>
      </w:r>
      <w:r w:rsidR="00D361A5" w:rsidRPr="00D361A5">
        <w:rPr>
          <w:bCs/>
        </w:rPr>
        <w:t xml:space="preserve">V legislatívnej oblasti je rok 2022 dôležitým míľnikom pre posilnenie kybernetickej bezpečnosti EÚ, keďže bola prijatá </w:t>
      </w:r>
      <w:r w:rsidR="00D361A5" w:rsidRPr="00D361A5">
        <w:rPr>
          <w:b/>
          <w:bCs/>
        </w:rPr>
        <w:t>smernica stanovujúca pravidlá na zabezpečenie vysokej spoločnej úrovne kybernetickej bezpečnosti Únie</w:t>
      </w:r>
      <w:r w:rsidR="00D361A5" w:rsidRPr="00D361A5">
        <w:rPr>
          <w:bCs/>
        </w:rPr>
        <w:t xml:space="preserve"> (</w:t>
      </w:r>
      <w:r w:rsidR="00D361A5">
        <w:rPr>
          <w:bCs/>
        </w:rPr>
        <w:t>ďalej „</w:t>
      </w:r>
      <w:r w:rsidR="00D361A5" w:rsidRPr="00D361A5">
        <w:rPr>
          <w:bCs/>
        </w:rPr>
        <w:t>Smernica NIS 2</w:t>
      </w:r>
      <w:r w:rsidR="00D361A5">
        <w:rPr>
          <w:bCs/>
        </w:rPr>
        <w:t>“</w:t>
      </w:r>
      <w:r w:rsidR="00D361A5" w:rsidRPr="00D361A5">
        <w:rPr>
          <w:bCs/>
        </w:rPr>
        <w:t>)</w:t>
      </w:r>
      <w:r w:rsidR="005B1DCA">
        <w:rPr>
          <w:rStyle w:val="Odkaznapoznmkupodiarou"/>
          <w:bCs/>
        </w:rPr>
        <w:footnoteReference w:id="20"/>
      </w:r>
      <w:r w:rsidR="00D361A5" w:rsidRPr="00D361A5">
        <w:rPr>
          <w:bCs/>
        </w:rPr>
        <w:t>. Ďalším dôležitým a nadväzujúcim krokom bolo predstavenie návrhu právneho aktu o </w:t>
      </w:r>
      <w:r w:rsidR="00D361A5" w:rsidRPr="00351334">
        <w:rPr>
          <w:b/>
          <w:bCs/>
        </w:rPr>
        <w:t>kybernetickej odolnosti</w:t>
      </w:r>
      <w:r w:rsidR="00D361A5" w:rsidRPr="00D361A5">
        <w:rPr>
          <w:bCs/>
        </w:rPr>
        <w:t xml:space="preserve"> (</w:t>
      </w:r>
      <w:r w:rsidR="00D361A5">
        <w:rPr>
          <w:bCs/>
        </w:rPr>
        <w:t>ďalej „</w:t>
      </w:r>
      <w:r w:rsidR="00D361A5" w:rsidRPr="00D361A5">
        <w:rPr>
          <w:bCs/>
        </w:rPr>
        <w:t xml:space="preserve">CRA“), ktorý stanoví požiadavky kybernetickej bezpečnosti pre produkty s digitálnymi prvkami. V tomto smere bude v nasledujúcom období dôležité dohodnúť sa na znení spomínaného aktu tak, aby sa jednoznačne nastavili pravidlá, ktoré </w:t>
      </w:r>
      <w:r w:rsidR="00D361A5" w:rsidRPr="00D361A5">
        <w:rPr>
          <w:bCs/>
        </w:rPr>
        <w:lastRenderedPageBreak/>
        <w:t xml:space="preserve">nebudú poškodzovať záujmy </w:t>
      </w:r>
      <w:r w:rsidR="00351334">
        <w:rPr>
          <w:bCs/>
        </w:rPr>
        <w:t>členských štátov EÚ</w:t>
      </w:r>
      <w:r w:rsidR="00D361A5" w:rsidRPr="00D361A5">
        <w:rPr>
          <w:bCs/>
        </w:rPr>
        <w:t xml:space="preserve"> a zároveň prispejú k zabezpečeniu vysokej úrovne kybernetickej bezpečnosti EÚ s víziou stanovenia štandardov aj pre zvyšok sveta. </w:t>
      </w:r>
    </w:p>
    <w:p w14:paraId="4C5AEF1D" w14:textId="1CC04BE8" w:rsidR="00D361A5" w:rsidRPr="00351334" w:rsidRDefault="00351334" w:rsidP="00D361A5">
      <w:pPr>
        <w:spacing w:after="200" w:line="240" w:lineRule="auto"/>
        <w:rPr>
          <w:bCs/>
        </w:rPr>
      </w:pPr>
      <w:r>
        <w:rPr>
          <w:bCs/>
        </w:rPr>
        <w:t>V priebehu roka 2022 sa členské krajiny EÚ vrátane SR venovali aj nelegislatívnym dokumentom ako je</w:t>
      </w:r>
      <w:r w:rsidR="00D361A5" w:rsidRPr="00D361A5">
        <w:rPr>
          <w:bCs/>
        </w:rPr>
        <w:t xml:space="preserve"> </w:t>
      </w:r>
      <w:r w:rsidR="00D361A5" w:rsidRPr="00351334">
        <w:rPr>
          <w:bCs/>
        </w:rPr>
        <w:t xml:space="preserve">Strategický kompas, Závery Rady EÚ o kybernetickom postoji únie, Závery Rady </w:t>
      </w:r>
      <w:r w:rsidR="00006427">
        <w:rPr>
          <w:bCs/>
        </w:rPr>
        <w:t xml:space="preserve">EÚ </w:t>
      </w:r>
      <w:r w:rsidR="00D361A5" w:rsidRPr="00351334">
        <w:rPr>
          <w:bCs/>
        </w:rPr>
        <w:t>o bezpečnosti dodávateľského reťazca IKT a návrh novej politiky kybernetickej obrany</w:t>
      </w:r>
      <w:r w:rsidR="00D361A5" w:rsidRPr="00D361A5">
        <w:rPr>
          <w:bCs/>
        </w:rPr>
        <w:t xml:space="preserve"> predstavenej v tzv. obrannom balíku EK. Oblasť kybernetickej diplomacie bola vo veľkej miere ovplyvnená udalosťami </w:t>
      </w:r>
      <w:r>
        <w:rPr>
          <w:bCs/>
        </w:rPr>
        <w:t xml:space="preserve">na Ukrajine, čo sa odzrkadlilo aj vo vyhláseniach </w:t>
      </w:r>
      <w:r w:rsidR="00D361A5" w:rsidRPr="00D361A5">
        <w:rPr>
          <w:bCs/>
        </w:rPr>
        <w:t>vysokého predstaviteľa EÚ</w:t>
      </w:r>
      <w:r>
        <w:rPr>
          <w:bCs/>
        </w:rPr>
        <w:t xml:space="preserve">, v ktorých odsúdil </w:t>
      </w:r>
      <w:r w:rsidR="00D361A5" w:rsidRPr="00D361A5">
        <w:rPr>
          <w:bCs/>
        </w:rPr>
        <w:t>kybernetick</w:t>
      </w:r>
      <w:r>
        <w:rPr>
          <w:bCs/>
        </w:rPr>
        <w:t>é</w:t>
      </w:r>
      <w:r w:rsidR="00D361A5" w:rsidRPr="00D361A5">
        <w:rPr>
          <w:bCs/>
        </w:rPr>
        <w:t xml:space="preserve"> útok</w:t>
      </w:r>
      <w:r>
        <w:rPr>
          <w:bCs/>
        </w:rPr>
        <w:t>y ruských aktérov na Ukrajinu</w:t>
      </w:r>
      <w:r w:rsidR="00D361A5" w:rsidRPr="00D361A5">
        <w:rPr>
          <w:bCs/>
        </w:rPr>
        <w:t xml:space="preserve">. V tejto súvislosti sa niekoľkokrát otvorila otázka </w:t>
      </w:r>
      <w:r w:rsidR="00D361A5" w:rsidRPr="00351334">
        <w:rPr>
          <w:bCs/>
        </w:rPr>
        <w:t>revízie súboru nástrojov kybernetickej diplomacie (</w:t>
      </w:r>
      <w:r>
        <w:rPr>
          <w:bCs/>
        </w:rPr>
        <w:t>ďalej „</w:t>
      </w:r>
      <w:r w:rsidR="00D361A5" w:rsidRPr="00351334">
        <w:rPr>
          <w:bCs/>
        </w:rPr>
        <w:t>CDT</w:t>
      </w:r>
      <w:r>
        <w:rPr>
          <w:bCs/>
        </w:rPr>
        <w:t>“</w:t>
      </w:r>
      <w:r w:rsidR="00D361A5" w:rsidRPr="00351334">
        <w:rPr>
          <w:bCs/>
        </w:rPr>
        <w:t xml:space="preserve">). </w:t>
      </w:r>
    </w:p>
    <w:p w14:paraId="02C87C8B" w14:textId="77777777" w:rsidR="00D361A5" w:rsidRPr="00F32790" w:rsidRDefault="00D361A5" w:rsidP="001734FE">
      <w:pPr>
        <w:spacing w:after="0" w:line="240" w:lineRule="auto"/>
        <w:rPr>
          <w:rFonts w:cs="Times New Roman"/>
          <w:color w:val="auto"/>
          <w:szCs w:val="24"/>
        </w:rPr>
      </w:pPr>
    </w:p>
    <w:p w14:paraId="5F13C5C3" w14:textId="77777777" w:rsidR="003B0629" w:rsidRPr="00F32790" w:rsidRDefault="003B0629" w:rsidP="001734FE">
      <w:pPr>
        <w:pStyle w:val="Nadpis1"/>
        <w:jc w:val="both"/>
        <w:rPr>
          <w:rFonts w:cs="Times New Roman"/>
          <w:color w:val="auto"/>
          <w:szCs w:val="24"/>
          <w:u w:val="single"/>
        </w:rPr>
      </w:pPr>
      <w:r w:rsidRPr="00F32790">
        <w:rPr>
          <w:rFonts w:cs="Times New Roman"/>
          <w:color w:val="auto"/>
          <w:szCs w:val="24"/>
          <w:u w:val="single"/>
        </w:rPr>
        <w:t>2.3. Hospodárstvo, ktoré pracuje v prospech ľudí</w:t>
      </w:r>
    </w:p>
    <w:p w14:paraId="603867A9" w14:textId="4F76DE2E" w:rsidR="00AA7F3D" w:rsidRPr="00F32790" w:rsidRDefault="00AA7F3D" w:rsidP="001734FE">
      <w:pPr>
        <w:spacing w:after="0" w:line="240" w:lineRule="auto"/>
        <w:rPr>
          <w:rFonts w:cs="Times New Roman"/>
          <w:color w:val="FF0000"/>
          <w:szCs w:val="24"/>
        </w:rPr>
      </w:pPr>
    </w:p>
    <w:p w14:paraId="7E786615" w14:textId="0CAA29AE" w:rsidR="000A046B" w:rsidRPr="00F32790" w:rsidRDefault="000A046B" w:rsidP="001734FE">
      <w:pPr>
        <w:spacing w:after="0" w:line="240" w:lineRule="auto"/>
        <w:rPr>
          <w:rFonts w:cs="Times New Roman"/>
          <w:szCs w:val="24"/>
        </w:rPr>
      </w:pPr>
      <w:r w:rsidRPr="00F32790">
        <w:rPr>
          <w:rFonts w:cs="Times New Roman"/>
          <w:szCs w:val="24"/>
        </w:rPr>
        <w:t xml:space="preserve">V nadväznosti na dohodu lídrov na marcovej </w:t>
      </w:r>
      <w:r w:rsidR="003876B0">
        <w:rPr>
          <w:rFonts w:cs="Times New Roman"/>
          <w:szCs w:val="24"/>
        </w:rPr>
        <w:t>ER</w:t>
      </w:r>
      <w:r w:rsidRPr="00F32790">
        <w:rPr>
          <w:rFonts w:cs="Times New Roman"/>
          <w:szCs w:val="24"/>
        </w:rPr>
        <w:t xml:space="preserve"> na čo najskoršom ukončení závislosti od dovozu ruských fosílnych palív zverejnila EK v máji 2022 </w:t>
      </w:r>
      <w:r w:rsidRPr="00F32790">
        <w:rPr>
          <w:rFonts w:cs="Times New Roman"/>
          <w:b/>
          <w:szCs w:val="24"/>
        </w:rPr>
        <w:t xml:space="preserve">balík dokumentov </w:t>
      </w:r>
      <w:proofErr w:type="spellStart"/>
      <w:r w:rsidRPr="0047302D">
        <w:rPr>
          <w:rFonts w:cs="Times New Roman"/>
          <w:b/>
          <w:szCs w:val="24"/>
        </w:rPr>
        <w:t>R</w:t>
      </w:r>
      <w:r w:rsidR="00343CCF" w:rsidRPr="0047302D">
        <w:rPr>
          <w:rFonts w:cs="Times New Roman"/>
          <w:b/>
          <w:szCs w:val="24"/>
        </w:rPr>
        <w:t>E</w:t>
      </w:r>
      <w:r w:rsidRPr="0047302D">
        <w:rPr>
          <w:rFonts w:cs="Times New Roman"/>
          <w:b/>
          <w:szCs w:val="24"/>
        </w:rPr>
        <w:t>PowerEU</w:t>
      </w:r>
      <w:proofErr w:type="spellEnd"/>
      <w:r w:rsidRPr="0047302D">
        <w:rPr>
          <w:rFonts w:cs="Times New Roman"/>
          <w:b/>
          <w:szCs w:val="24"/>
        </w:rPr>
        <w:t xml:space="preserve"> </w:t>
      </w:r>
      <w:proofErr w:type="spellStart"/>
      <w:r w:rsidRPr="0047302D">
        <w:rPr>
          <w:rFonts w:cs="Times New Roman"/>
          <w:b/>
          <w:szCs w:val="24"/>
        </w:rPr>
        <w:t>Plan</w:t>
      </w:r>
      <w:proofErr w:type="spellEnd"/>
      <w:r w:rsidR="0047302D">
        <w:rPr>
          <w:rStyle w:val="Odkaznapoznmkupodiarou"/>
          <w:b/>
          <w:szCs w:val="24"/>
        </w:rPr>
        <w:footnoteReference w:id="21"/>
      </w:r>
      <w:r w:rsidRPr="00F32790">
        <w:rPr>
          <w:rFonts w:cs="Times New Roman"/>
          <w:szCs w:val="24"/>
        </w:rPr>
        <w:t xml:space="preserve">, prostredníctvom akcelerácie energetickej transformácie a posilnenia odolnosti energetického systému cez jeho diverzifikáciu a dobudovanie prepojení. </w:t>
      </w:r>
      <w:proofErr w:type="spellStart"/>
      <w:r w:rsidRPr="00F32790">
        <w:rPr>
          <w:rFonts w:cs="Times New Roman"/>
          <w:szCs w:val="24"/>
        </w:rPr>
        <w:t>R</w:t>
      </w:r>
      <w:r w:rsidR="00343CCF">
        <w:rPr>
          <w:rFonts w:cs="Times New Roman"/>
          <w:szCs w:val="24"/>
        </w:rPr>
        <w:t>E</w:t>
      </w:r>
      <w:r w:rsidRPr="00F32790">
        <w:rPr>
          <w:rFonts w:cs="Times New Roman"/>
          <w:szCs w:val="24"/>
        </w:rPr>
        <w:t>PowerEU</w:t>
      </w:r>
      <w:proofErr w:type="spellEnd"/>
      <w:r w:rsidRPr="00F32790">
        <w:rPr>
          <w:rFonts w:cs="Times New Roman"/>
          <w:szCs w:val="24"/>
        </w:rPr>
        <w:t xml:space="preserve"> zahŕňa opatrenia v 4 oblastiach, ktoré majú v kombinácii s legislatívnym balíkom Fit </w:t>
      </w:r>
      <w:proofErr w:type="spellStart"/>
      <w:r w:rsidRPr="00F32790">
        <w:rPr>
          <w:rFonts w:cs="Times New Roman"/>
          <w:szCs w:val="24"/>
        </w:rPr>
        <w:t>for</w:t>
      </w:r>
      <w:proofErr w:type="spellEnd"/>
      <w:r w:rsidRPr="00F32790">
        <w:rPr>
          <w:rFonts w:cs="Times New Roman"/>
          <w:szCs w:val="24"/>
        </w:rPr>
        <w:t xml:space="preserve"> 55 štrukturálne zmeniť energetický systém EÚ. Štyri piliere </w:t>
      </w:r>
      <w:proofErr w:type="spellStart"/>
      <w:r w:rsidRPr="00F32790">
        <w:rPr>
          <w:rFonts w:cs="Times New Roman"/>
          <w:szCs w:val="24"/>
        </w:rPr>
        <w:t>R</w:t>
      </w:r>
      <w:r w:rsidR="00343CCF">
        <w:rPr>
          <w:rFonts w:cs="Times New Roman"/>
          <w:szCs w:val="24"/>
        </w:rPr>
        <w:t>E</w:t>
      </w:r>
      <w:r w:rsidRPr="00F32790">
        <w:rPr>
          <w:rFonts w:cs="Times New Roman"/>
          <w:szCs w:val="24"/>
        </w:rPr>
        <w:t>PowerEU</w:t>
      </w:r>
      <w:proofErr w:type="spellEnd"/>
      <w:r w:rsidRPr="00F32790">
        <w:rPr>
          <w:rFonts w:cs="Times New Roman"/>
          <w:szCs w:val="24"/>
        </w:rPr>
        <w:t xml:space="preserve"> predstavujú</w:t>
      </w:r>
      <w:r w:rsidRPr="00F32790">
        <w:rPr>
          <w:rFonts w:cs="Times New Roman"/>
          <w:b/>
          <w:szCs w:val="24"/>
        </w:rPr>
        <w:t xml:space="preserve"> úspory energie, diverzifikáci</w:t>
      </w:r>
      <w:r w:rsidR="002C4B04">
        <w:rPr>
          <w:rFonts w:cs="Times New Roman"/>
          <w:b/>
          <w:szCs w:val="24"/>
        </w:rPr>
        <w:t>u</w:t>
      </w:r>
      <w:r w:rsidRPr="00F32790">
        <w:rPr>
          <w:rFonts w:cs="Times New Roman"/>
          <w:b/>
          <w:szCs w:val="24"/>
        </w:rPr>
        <w:t xml:space="preserve"> dodávok, nahradenie fosílnych palív a urýchlenie prechodu Európy na čistú energiu a </w:t>
      </w:r>
      <w:proofErr w:type="spellStart"/>
      <w:r w:rsidRPr="00F32790">
        <w:rPr>
          <w:rFonts w:cs="Times New Roman"/>
          <w:b/>
          <w:szCs w:val="24"/>
        </w:rPr>
        <w:t>smart</w:t>
      </w:r>
      <w:proofErr w:type="spellEnd"/>
      <w:r w:rsidRPr="00F32790">
        <w:rPr>
          <w:rFonts w:cs="Times New Roman"/>
          <w:b/>
          <w:szCs w:val="24"/>
        </w:rPr>
        <w:t xml:space="preserve"> kombináci</w:t>
      </w:r>
      <w:r w:rsidR="002C4B04">
        <w:rPr>
          <w:rFonts w:cs="Times New Roman"/>
          <w:b/>
          <w:szCs w:val="24"/>
        </w:rPr>
        <w:t>e</w:t>
      </w:r>
      <w:r w:rsidRPr="00F32790">
        <w:rPr>
          <w:rFonts w:cs="Times New Roman"/>
          <w:b/>
          <w:szCs w:val="24"/>
        </w:rPr>
        <w:t xml:space="preserve"> investícií a reforiem</w:t>
      </w:r>
      <w:r w:rsidRPr="00F32790">
        <w:rPr>
          <w:rFonts w:cs="Times New Roman"/>
          <w:szCs w:val="24"/>
        </w:rPr>
        <w:t xml:space="preserve">. Opatrenia pre uvedené ciele budú implementované s podporou EÚ aj prostredníctvom národných plánov obnovy </w:t>
      </w:r>
      <w:r w:rsidR="00343CCF">
        <w:rPr>
          <w:rFonts w:cs="Times New Roman"/>
          <w:szCs w:val="24"/>
        </w:rPr>
        <w:t xml:space="preserve">a odolnosti </w:t>
      </w:r>
      <w:r w:rsidRPr="00F32790">
        <w:rPr>
          <w:rFonts w:cs="Times New Roman"/>
          <w:szCs w:val="24"/>
        </w:rPr>
        <w:t xml:space="preserve">na základe Nariadenia o kapitolách </w:t>
      </w:r>
      <w:proofErr w:type="spellStart"/>
      <w:r w:rsidRPr="00F32790">
        <w:rPr>
          <w:rFonts w:cs="Times New Roman"/>
          <w:szCs w:val="24"/>
        </w:rPr>
        <w:t>REPowerEU</w:t>
      </w:r>
      <w:proofErr w:type="spellEnd"/>
      <w:r w:rsidRPr="00F32790">
        <w:rPr>
          <w:rFonts w:cs="Times New Roman"/>
          <w:szCs w:val="24"/>
        </w:rPr>
        <w:t>.</w:t>
      </w:r>
    </w:p>
    <w:p w14:paraId="6BF121D9" w14:textId="77777777" w:rsidR="000A046B" w:rsidRPr="00F32790" w:rsidRDefault="000A046B" w:rsidP="001734FE">
      <w:pPr>
        <w:spacing w:after="0" w:line="240" w:lineRule="auto"/>
        <w:rPr>
          <w:rFonts w:cs="Times New Roman"/>
          <w:szCs w:val="24"/>
        </w:rPr>
      </w:pPr>
    </w:p>
    <w:p w14:paraId="1CAC632B" w14:textId="560C65CC" w:rsidR="000A046B" w:rsidRPr="00F32790" w:rsidRDefault="000A046B" w:rsidP="001734FE">
      <w:pPr>
        <w:spacing w:after="0" w:line="240" w:lineRule="auto"/>
        <w:rPr>
          <w:rFonts w:cs="Times New Roman"/>
          <w:szCs w:val="24"/>
        </w:rPr>
      </w:pPr>
      <w:r w:rsidRPr="00F32790">
        <w:rPr>
          <w:rFonts w:cs="Times New Roman"/>
          <w:color w:val="auto"/>
          <w:szCs w:val="24"/>
        </w:rPr>
        <w:t xml:space="preserve">Dňa 21. decembra 2022 došlo k schváleniu </w:t>
      </w:r>
      <w:r w:rsidRPr="00F32790">
        <w:rPr>
          <w:rFonts w:cs="Times New Roman"/>
          <w:bCs/>
          <w:szCs w:val="24"/>
        </w:rPr>
        <w:t>kompromisného textu</w:t>
      </w:r>
      <w:r w:rsidRPr="00F32790">
        <w:rPr>
          <w:rFonts w:cs="Times New Roman"/>
          <w:b/>
          <w:bCs/>
          <w:szCs w:val="24"/>
        </w:rPr>
        <w:t xml:space="preserve"> Nariadenia o kapitolách </w:t>
      </w:r>
      <w:proofErr w:type="spellStart"/>
      <w:r w:rsidRPr="00F32790">
        <w:rPr>
          <w:rFonts w:cs="Times New Roman"/>
          <w:b/>
          <w:bCs/>
          <w:szCs w:val="24"/>
        </w:rPr>
        <w:t>REPowerEU</w:t>
      </w:r>
      <w:proofErr w:type="spellEnd"/>
      <w:r w:rsidRPr="00F32790">
        <w:rPr>
          <w:rFonts w:cs="Times New Roman"/>
          <w:b/>
          <w:bCs/>
          <w:szCs w:val="24"/>
        </w:rPr>
        <w:t xml:space="preserve">. </w:t>
      </w:r>
      <w:r w:rsidRPr="00F32790">
        <w:rPr>
          <w:rFonts w:cs="Times New Roman"/>
          <w:bCs/>
          <w:szCs w:val="24"/>
        </w:rPr>
        <w:t>SK</w:t>
      </w:r>
      <w:r w:rsidRPr="00F32790">
        <w:rPr>
          <w:rFonts w:cs="Times New Roman"/>
          <w:szCs w:val="24"/>
        </w:rPr>
        <w:t xml:space="preserve"> ocenilo prácu na tomto návrhu, ktorý je výsledkom </w:t>
      </w:r>
      <w:r w:rsidR="005B1DCA" w:rsidRPr="00B5189F">
        <w:rPr>
          <w:rFonts w:cs="Times New Roman"/>
          <w:szCs w:val="24"/>
        </w:rPr>
        <w:t>náročných</w:t>
      </w:r>
      <w:r w:rsidR="005B1DCA" w:rsidRPr="005B1DCA">
        <w:rPr>
          <w:rFonts w:cs="Times New Roman"/>
          <w:szCs w:val="24"/>
        </w:rPr>
        <w:t xml:space="preserve"> </w:t>
      </w:r>
      <w:r w:rsidRPr="005B1DCA">
        <w:rPr>
          <w:rFonts w:cs="Times New Roman"/>
          <w:szCs w:val="24"/>
        </w:rPr>
        <w:t>kompromisov</w:t>
      </w:r>
      <w:r w:rsidRPr="00F32790">
        <w:rPr>
          <w:rFonts w:cs="Times New Roman"/>
          <w:szCs w:val="24"/>
        </w:rPr>
        <w:t xml:space="preserve"> v Rade a v následných </w:t>
      </w:r>
      <w:proofErr w:type="spellStart"/>
      <w:r w:rsidRPr="00F32790">
        <w:rPr>
          <w:rFonts w:cs="Times New Roman"/>
          <w:szCs w:val="24"/>
        </w:rPr>
        <w:t>trialógoch</w:t>
      </w:r>
      <w:proofErr w:type="spellEnd"/>
      <w:r w:rsidR="00020E5C">
        <w:rPr>
          <w:rFonts w:cs="Times New Roman"/>
          <w:szCs w:val="24"/>
        </w:rPr>
        <w:t>. Výsledný text nie je dokonalý</w:t>
      </w:r>
      <w:r w:rsidRPr="00F32790">
        <w:rPr>
          <w:rFonts w:cs="Times New Roman"/>
          <w:szCs w:val="24"/>
        </w:rPr>
        <w:t xml:space="preserve"> vzhľadom na dodatočnú administratívnu záťaž a kritériá, ktoré komplikujú prípravu kapitol </w:t>
      </w:r>
      <w:proofErr w:type="spellStart"/>
      <w:r w:rsidRPr="00F32790">
        <w:rPr>
          <w:rFonts w:cs="Times New Roman"/>
          <w:szCs w:val="24"/>
        </w:rPr>
        <w:t>REPowerEU</w:t>
      </w:r>
      <w:proofErr w:type="spellEnd"/>
      <w:r w:rsidRPr="00F32790">
        <w:rPr>
          <w:rFonts w:cs="Times New Roman"/>
          <w:szCs w:val="24"/>
        </w:rPr>
        <w:t xml:space="preserve">. Vzhľadom na urgentnú potrebu implementácie však SK </w:t>
      </w:r>
      <w:r w:rsidRPr="00F32790">
        <w:rPr>
          <w:rFonts w:cs="Times New Roman"/>
          <w:bCs/>
          <w:szCs w:val="24"/>
        </w:rPr>
        <w:t>text podporilo</w:t>
      </w:r>
      <w:r w:rsidRPr="00F32790">
        <w:rPr>
          <w:rFonts w:cs="Times New Roman"/>
          <w:szCs w:val="24"/>
        </w:rPr>
        <w:t xml:space="preserve"> a vyzvalo na rýchlu finalizáciu legislatívneho procesu.</w:t>
      </w:r>
    </w:p>
    <w:p w14:paraId="1E365EDC" w14:textId="77777777" w:rsidR="000A046B" w:rsidRPr="00F32790" w:rsidRDefault="000A046B" w:rsidP="001734FE">
      <w:pPr>
        <w:spacing w:after="0" w:line="240" w:lineRule="auto"/>
        <w:rPr>
          <w:rFonts w:cs="Times New Roman"/>
          <w:color w:val="FF0000"/>
          <w:szCs w:val="24"/>
        </w:rPr>
      </w:pPr>
    </w:p>
    <w:p w14:paraId="366EAB4B" w14:textId="00DFBD04" w:rsidR="00C841FF" w:rsidRPr="00F32790" w:rsidRDefault="002A2BD9" w:rsidP="001734FE">
      <w:pPr>
        <w:spacing w:after="0" w:line="240" w:lineRule="auto"/>
        <w:rPr>
          <w:rFonts w:cs="Times New Roman"/>
          <w:szCs w:val="24"/>
        </w:rPr>
      </w:pPr>
      <w:r w:rsidRPr="00F32790">
        <w:rPr>
          <w:rFonts w:cs="Times New Roman"/>
          <w:b/>
          <w:bCs/>
          <w:szCs w:val="24"/>
        </w:rPr>
        <w:t>Európsky semester</w:t>
      </w:r>
      <w:r w:rsidRPr="00F32790">
        <w:rPr>
          <w:rFonts w:cs="Times New Roman"/>
          <w:bCs/>
          <w:szCs w:val="24"/>
        </w:rPr>
        <w:t xml:space="preserve"> obnovil svoju rozsiahlu koordináciu hospodárskej politiky a politiky zamestnanosti v roku 2022, pričom sa vyvíja v súlade s implementáciou nástroja na obnovu a </w:t>
      </w:r>
      <w:proofErr w:type="spellStart"/>
      <w:r w:rsidRPr="00F32790">
        <w:rPr>
          <w:rFonts w:cs="Times New Roman"/>
          <w:bCs/>
          <w:szCs w:val="24"/>
        </w:rPr>
        <w:t>odolnosť.</w:t>
      </w:r>
      <w:r w:rsidR="008C1099">
        <w:rPr>
          <w:rFonts w:cs="Times New Roman"/>
          <w:bCs/>
          <w:szCs w:val="24"/>
        </w:rPr>
        <w:t>EK</w:t>
      </w:r>
      <w:proofErr w:type="spellEnd"/>
      <w:r w:rsidRPr="00F32790">
        <w:rPr>
          <w:rFonts w:cs="Times New Roman"/>
          <w:szCs w:val="24"/>
        </w:rPr>
        <w:t xml:space="preserve"> sa v jarnom balíku európskeho semestra 2022 po dvoch rokoch od prvých následkov pandémie COVID-19 a v čase prebiehajúcej ruskej invázie na Ukrajine obracia na členské štáty s podporou a usmerneniami.</w:t>
      </w:r>
      <w:r w:rsidRPr="00F32790">
        <w:rPr>
          <w:rFonts w:cs="Times New Roman"/>
          <w:b/>
          <w:szCs w:val="24"/>
        </w:rPr>
        <w:t xml:space="preserve"> </w:t>
      </w:r>
      <w:r w:rsidRPr="00F32790">
        <w:rPr>
          <w:rFonts w:cs="Times New Roman"/>
          <w:szCs w:val="24"/>
        </w:rPr>
        <w:t>V </w:t>
      </w:r>
      <w:r w:rsidRPr="00F32790">
        <w:rPr>
          <w:rFonts w:cs="Times New Roman"/>
          <w:b/>
          <w:szCs w:val="24"/>
        </w:rPr>
        <w:t>odporúčaniach pre jednotlivé krajiny (</w:t>
      </w:r>
      <w:proofErr w:type="spellStart"/>
      <w:r w:rsidRPr="00F32790">
        <w:rPr>
          <w:rFonts w:cs="Times New Roman"/>
          <w:b/>
          <w:szCs w:val="24"/>
        </w:rPr>
        <w:t>CSRs</w:t>
      </w:r>
      <w:proofErr w:type="spellEnd"/>
      <w:r w:rsidRPr="00F32790">
        <w:rPr>
          <w:rFonts w:cs="Times New Roman"/>
          <w:szCs w:val="24"/>
        </w:rPr>
        <w:t xml:space="preserve">) sa EK sústredila na odporúčania na zníženie závislosti od fosílnych palív prostredníctvom reforiem a investícií v súlade s prioritami </w:t>
      </w:r>
      <w:proofErr w:type="spellStart"/>
      <w:r w:rsidRPr="00F32790">
        <w:rPr>
          <w:rFonts w:cs="Times New Roman"/>
          <w:szCs w:val="24"/>
        </w:rPr>
        <w:t>REPowerEU</w:t>
      </w:r>
      <w:proofErr w:type="spellEnd"/>
      <w:r w:rsidRPr="00F32790">
        <w:rPr>
          <w:rFonts w:cs="Times New Roman"/>
          <w:szCs w:val="24"/>
        </w:rPr>
        <w:t xml:space="preserve"> a Európskou zelenou dohodou. Vzhľadom na zvýšenú neistotu a riziká plynúce z vojnového konfliktu na Ukrajine, vrátane bezprecedentného rastu cien energií a pokračujúce narušenia dodávateľských reťazcov sú podľa Komisie splnené podmienky pre predĺženie všeobecnej únikovej</w:t>
      </w:r>
      <w:r w:rsidR="00D27A4E">
        <w:rPr>
          <w:rFonts w:cs="Times New Roman"/>
          <w:szCs w:val="24"/>
        </w:rPr>
        <w:t xml:space="preserve"> doložky (GEC) aj na rok 2023. </w:t>
      </w:r>
    </w:p>
    <w:p w14:paraId="4C471A8F" w14:textId="77777777" w:rsidR="00C841FF" w:rsidRPr="00F32790" w:rsidRDefault="00C841FF" w:rsidP="001734FE">
      <w:pPr>
        <w:spacing w:after="0" w:line="240" w:lineRule="auto"/>
        <w:rPr>
          <w:rFonts w:cs="Times New Roman"/>
          <w:szCs w:val="24"/>
        </w:rPr>
      </w:pPr>
    </w:p>
    <w:p w14:paraId="149956AA" w14:textId="21FF754D" w:rsidR="00187B82" w:rsidRDefault="00C841FF" w:rsidP="001734FE">
      <w:pPr>
        <w:spacing w:after="0" w:line="240" w:lineRule="auto"/>
        <w:rPr>
          <w:rFonts w:cs="Times New Roman"/>
          <w:szCs w:val="24"/>
        </w:rPr>
      </w:pPr>
      <w:r w:rsidRPr="00F32790">
        <w:rPr>
          <w:rFonts w:cs="Times New Roman"/>
          <w:szCs w:val="24"/>
        </w:rPr>
        <w:t xml:space="preserve">V nadväznosti na preskúmanie rámca </w:t>
      </w:r>
      <w:r w:rsidRPr="00F32790">
        <w:rPr>
          <w:rFonts w:cs="Times New Roman"/>
          <w:b/>
          <w:szCs w:val="24"/>
        </w:rPr>
        <w:t>hospodárskeho riadenia EÚ</w:t>
      </w:r>
      <w:r w:rsidRPr="00F32790">
        <w:rPr>
          <w:rFonts w:cs="Times New Roman"/>
          <w:szCs w:val="24"/>
        </w:rPr>
        <w:t xml:space="preserve"> predložila </w:t>
      </w:r>
      <w:r w:rsidR="00020E5C" w:rsidRPr="00F32790">
        <w:rPr>
          <w:rFonts w:cs="Times New Roman"/>
          <w:szCs w:val="24"/>
        </w:rPr>
        <w:t xml:space="preserve">EK </w:t>
      </w:r>
      <w:r w:rsidR="006B2633" w:rsidRPr="00F32790">
        <w:rPr>
          <w:rFonts w:cs="Times New Roman"/>
          <w:szCs w:val="24"/>
        </w:rPr>
        <w:t xml:space="preserve">v novembri 2022 </w:t>
      </w:r>
      <w:r w:rsidRPr="00F32790">
        <w:rPr>
          <w:rFonts w:cs="Times New Roman"/>
          <w:szCs w:val="24"/>
        </w:rPr>
        <w:t xml:space="preserve">smerovania  pre jeho reformu s dvojitým cieľom </w:t>
      </w:r>
      <w:r w:rsidRPr="00F32790">
        <w:rPr>
          <w:rFonts w:cs="Times New Roman"/>
          <w:bCs/>
          <w:szCs w:val="24"/>
        </w:rPr>
        <w:t>posilniť dlhovú udržateľnosť</w:t>
      </w:r>
      <w:r w:rsidRPr="00F32790">
        <w:rPr>
          <w:rFonts w:cs="Times New Roman"/>
          <w:szCs w:val="24"/>
        </w:rPr>
        <w:t xml:space="preserve"> a </w:t>
      </w:r>
      <w:r w:rsidRPr="00F32790">
        <w:rPr>
          <w:rFonts w:cs="Times New Roman"/>
          <w:bCs/>
          <w:szCs w:val="24"/>
        </w:rPr>
        <w:t>podporiť udržateľný a </w:t>
      </w:r>
      <w:proofErr w:type="spellStart"/>
      <w:r w:rsidRPr="00F32790">
        <w:rPr>
          <w:rFonts w:cs="Times New Roman"/>
          <w:bCs/>
          <w:szCs w:val="24"/>
        </w:rPr>
        <w:t>inkluzívny</w:t>
      </w:r>
      <w:proofErr w:type="spellEnd"/>
      <w:r w:rsidRPr="00F32790">
        <w:rPr>
          <w:rFonts w:cs="Times New Roman"/>
          <w:bCs/>
          <w:szCs w:val="24"/>
        </w:rPr>
        <w:t xml:space="preserve"> rast</w:t>
      </w:r>
      <w:r w:rsidRPr="00F32790">
        <w:rPr>
          <w:rFonts w:cs="Times New Roman"/>
          <w:szCs w:val="24"/>
        </w:rPr>
        <w:t xml:space="preserve"> vo všetkých </w:t>
      </w:r>
      <w:r w:rsidR="00187B82" w:rsidRPr="00F32790">
        <w:rPr>
          <w:rFonts w:cs="Times New Roman"/>
          <w:szCs w:val="24"/>
        </w:rPr>
        <w:t>členských krajinách</w:t>
      </w:r>
      <w:r w:rsidRPr="00F32790">
        <w:rPr>
          <w:rFonts w:cs="Times New Roman"/>
          <w:szCs w:val="24"/>
        </w:rPr>
        <w:t xml:space="preserve">. Kľúčovými témami smerovania </w:t>
      </w:r>
      <w:r w:rsidRPr="00F32790">
        <w:rPr>
          <w:rFonts w:cs="Times New Roman"/>
          <w:szCs w:val="24"/>
        </w:rPr>
        <w:lastRenderedPageBreak/>
        <w:t xml:space="preserve">je </w:t>
      </w:r>
      <w:r w:rsidRPr="00F32790">
        <w:rPr>
          <w:rFonts w:cs="Times New Roman"/>
          <w:bCs/>
          <w:szCs w:val="24"/>
        </w:rPr>
        <w:t>zjednodušenie rámca</w:t>
      </w:r>
      <w:r w:rsidRPr="00F32790">
        <w:rPr>
          <w:rFonts w:cs="Times New Roman"/>
          <w:szCs w:val="24"/>
        </w:rPr>
        <w:t xml:space="preserve"> a </w:t>
      </w:r>
      <w:r w:rsidRPr="00F32790">
        <w:rPr>
          <w:rFonts w:cs="Times New Roman"/>
          <w:bCs/>
          <w:szCs w:val="24"/>
        </w:rPr>
        <w:t>posun smerom k strednodobému zameraniu</w:t>
      </w:r>
      <w:r w:rsidRPr="00F32790">
        <w:rPr>
          <w:rFonts w:cs="Times New Roman"/>
          <w:szCs w:val="24"/>
        </w:rPr>
        <w:t xml:space="preserve">, </w:t>
      </w:r>
      <w:r w:rsidRPr="00F32790">
        <w:rPr>
          <w:rFonts w:cs="Times New Roman"/>
          <w:bCs/>
          <w:szCs w:val="24"/>
        </w:rPr>
        <w:t>posilnenie národnej zodpovednosti</w:t>
      </w:r>
      <w:r w:rsidRPr="00F32790">
        <w:rPr>
          <w:rFonts w:cs="Times New Roman"/>
          <w:szCs w:val="24"/>
        </w:rPr>
        <w:t xml:space="preserve">  a </w:t>
      </w:r>
      <w:r w:rsidRPr="00F32790">
        <w:rPr>
          <w:rFonts w:cs="Times New Roman"/>
          <w:bCs/>
          <w:szCs w:val="24"/>
        </w:rPr>
        <w:t>uplatňovania</w:t>
      </w:r>
      <w:r w:rsidRPr="00F32790">
        <w:rPr>
          <w:rFonts w:cs="Times New Roman"/>
          <w:szCs w:val="24"/>
        </w:rPr>
        <w:t xml:space="preserve">. Nový rámec by mal stáť na troch pilieroch: </w:t>
      </w:r>
    </w:p>
    <w:p w14:paraId="6043D7D9" w14:textId="77777777" w:rsidR="0047302D" w:rsidRPr="00F32790" w:rsidRDefault="0047302D" w:rsidP="001734FE">
      <w:pPr>
        <w:spacing w:after="0" w:line="240" w:lineRule="auto"/>
        <w:rPr>
          <w:rFonts w:cs="Times New Roman"/>
          <w:szCs w:val="24"/>
        </w:rPr>
      </w:pPr>
    </w:p>
    <w:p w14:paraId="130B1366" w14:textId="77777777" w:rsidR="00187B82" w:rsidRPr="00F32790" w:rsidRDefault="00C841FF" w:rsidP="001734FE">
      <w:pPr>
        <w:pStyle w:val="Odsekzoznamu"/>
        <w:numPr>
          <w:ilvl w:val="0"/>
          <w:numId w:val="21"/>
        </w:numPr>
        <w:spacing w:after="0" w:line="240" w:lineRule="auto"/>
        <w:ind w:left="340"/>
        <w:rPr>
          <w:rFonts w:cs="Times New Roman"/>
          <w:szCs w:val="24"/>
        </w:rPr>
      </w:pPr>
      <w:r w:rsidRPr="00F32790">
        <w:rPr>
          <w:rFonts w:cs="Times New Roman"/>
          <w:b/>
          <w:bCs/>
          <w:szCs w:val="24"/>
        </w:rPr>
        <w:t>Fiškálna udržateľnosť</w:t>
      </w:r>
      <w:r w:rsidRPr="00F32790">
        <w:rPr>
          <w:rFonts w:cs="Times New Roman"/>
          <w:szCs w:val="24"/>
        </w:rPr>
        <w:t xml:space="preserve">: upravený fiškálny rámec EÚ založený na </w:t>
      </w:r>
      <w:r w:rsidRPr="00F32790">
        <w:rPr>
          <w:rFonts w:cs="Times New Roman"/>
          <w:bCs/>
          <w:szCs w:val="24"/>
        </w:rPr>
        <w:t>strednodobom cieli čistých výdavkov ukotvenom v dlhovej udržateľnosti</w:t>
      </w:r>
      <w:r w:rsidRPr="00F32790">
        <w:rPr>
          <w:rFonts w:cs="Times New Roman"/>
          <w:szCs w:val="24"/>
        </w:rPr>
        <w:t xml:space="preserve">; </w:t>
      </w:r>
    </w:p>
    <w:p w14:paraId="31CBC84C" w14:textId="77777777" w:rsidR="00187B82" w:rsidRPr="00F32790" w:rsidRDefault="00C841FF" w:rsidP="001734FE">
      <w:pPr>
        <w:pStyle w:val="Odsekzoznamu"/>
        <w:numPr>
          <w:ilvl w:val="0"/>
          <w:numId w:val="21"/>
        </w:numPr>
        <w:spacing w:after="0" w:line="240" w:lineRule="auto"/>
        <w:ind w:left="340"/>
        <w:rPr>
          <w:rFonts w:cs="Times New Roman"/>
          <w:szCs w:val="24"/>
        </w:rPr>
      </w:pPr>
      <w:r w:rsidRPr="00F32790">
        <w:rPr>
          <w:rFonts w:cs="Times New Roman"/>
          <w:b/>
          <w:bCs/>
          <w:szCs w:val="24"/>
        </w:rPr>
        <w:t>Reformy a investície</w:t>
      </w:r>
      <w:r w:rsidRPr="00F32790">
        <w:rPr>
          <w:rFonts w:cs="Times New Roman"/>
          <w:szCs w:val="24"/>
        </w:rPr>
        <w:t xml:space="preserve">: nový </w:t>
      </w:r>
      <w:r w:rsidRPr="00F32790">
        <w:rPr>
          <w:rFonts w:cs="Times New Roman"/>
          <w:bCs/>
          <w:szCs w:val="24"/>
        </w:rPr>
        <w:t>nástroj na presadzovanie reforiem a investícií</w:t>
      </w:r>
      <w:r w:rsidRPr="00F32790">
        <w:rPr>
          <w:rFonts w:cs="Times New Roman"/>
          <w:szCs w:val="24"/>
        </w:rPr>
        <w:t xml:space="preserve"> v súlade so stanovenými výdavkovými cieľmi; </w:t>
      </w:r>
    </w:p>
    <w:p w14:paraId="0AC37235" w14:textId="5328FB3D" w:rsidR="00187B82" w:rsidRPr="00F32790" w:rsidRDefault="00C841FF" w:rsidP="001734FE">
      <w:pPr>
        <w:pStyle w:val="Odsekzoznamu"/>
        <w:numPr>
          <w:ilvl w:val="0"/>
          <w:numId w:val="21"/>
        </w:numPr>
        <w:spacing w:after="0" w:line="240" w:lineRule="auto"/>
        <w:ind w:left="340"/>
        <w:rPr>
          <w:rFonts w:cs="Times New Roman"/>
          <w:szCs w:val="24"/>
        </w:rPr>
      </w:pPr>
      <w:r w:rsidRPr="00F32790">
        <w:rPr>
          <w:rFonts w:cs="Times New Roman"/>
          <w:b/>
          <w:bCs/>
          <w:szCs w:val="24"/>
        </w:rPr>
        <w:t>Makroekonomická rovnováha</w:t>
      </w:r>
      <w:r w:rsidRPr="00F32790">
        <w:rPr>
          <w:rFonts w:cs="Times New Roman"/>
          <w:szCs w:val="24"/>
        </w:rPr>
        <w:t xml:space="preserve">: upravený postup pri makroekonomických nerovnováhach </w:t>
      </w:r>
      <w:r w:rsidRPr="00F32790">
        <w:rPr>
          <w:rFonts w:cs="Times New Roman"/>
          <w:bCs/>
          <w:szCs w:val="24"/>
        </w:rPr>
        <w:t>(MIP) s posilneným výhľadovým zameraním</w:t>
      </w:r>
      <w:r w:rsidRPr="00F32790">
        <w:rPr>
          <w:rFonts w:cs="Times New Roman"/>
          <w:szCs w:val="24"/>
        </w:rPr>
        <w:t xml:space="preserve">. </w:t>
      </w:r>
      <w:r w:rsidRPr="00F32790">
        <w:rPr>
          <w:rFonts w:cs="Times New Roman"/>
          <w:bCs/>
          <w:szCs w:val="24"/>
        </w:rPr>
        <w:t>Centrálnym prvkom</w:t>
      </w:r>
      <w:r w:rsidRPr="00F32790">
        <w:rPr>
          <w:rFonts w:cs="Times New Roman"/>
          <w:szCs w:val="24"/>
        </w:rPr>
        <w:t xml:space="preserve"> nového rámca by mali byť </w:t>
      </w:r>
      <w:r w:rsidRPr="00F32790">
        <w:rPr>
          <w:rFonts w:cs="Times New Roman"/>
          <w:bCs/>
          <w:szCs w:val="24"/>
        </w:rPr>
        <w:t>národné strednodobé fiškálno-štrukturálne plány</w:t>
      </w:r>
      <w:r w:rsidRPr="00F32790">
        <w:rPr>
          <w:rFonts w:cs="Times New Roman"/>
          <w:szCs w:val="24"/>
        </w:rPr>
        <w:t xml:space="preserve">, v rámci ktorých bude stanovená osobitá strednodobá fiškálna trajektória v súlade s upravenými fiškálnymi pravidlami ako aj prioritné verejné investície a reformné záväzky v súlade so </w:t>
      </w:r>
      <w:proofErr w:type="spellStart"/>
      <w:r w:rsidRPr="00F32790">
        <w:rPr>
          <w:rFonts w:cs="Times New Roman"/>
          <w:szCs w:val="24"/>
        </w:rPr>
        <w:t>CSRs</w:t>
      </w:r>
      <w:proofErr w:type="spellEnd"/>
      <w:r w:rsidRPr="00F32790">
        <w:rPr>
          <w:rFonts w:cs="Times New Roman"/>
          <w:szCs w:val="24"/>
        </w:rPr>
        <w:t>.</w:t>
      </w:r>
    </w:p>
    <w:p w14:paraId="38B3A53C" w14:textId="77777777" w:rsidR="00187B82" w:rsidRPr="00F32790" w:rsidRDefault="00187B82" w:rsidP="001734FE">
      <w:pPr>
        <w:spacing w:after="0" w:line="240" w:lineRule="auto"/>
        <w:rPr>
          <w:rFonts w:cs="Times New Roman"/>
          <w:b/>
          <w:bCs/>
          <w:szCs w:val="24"/>
        </w:rPr>
      </w:pPr>
    </w:p>
    <w:p w14:paraId="71E9FBAF" w14:textId="478E12C1" w:rsidR="004F631C" w:rsidRPr="00F32790" w:rsidRDefault="004F631C" w:rsidP="00343CCF">
      <w:pPr>
        <w:spacing w:after="0" w:line="240" w:lineRule="auto"/>
        <w:rPr>
          <w:rFonts w:cs="Times New Roman"/>
          <w:szCs w:val="24"/>
        </w:rPr>
      </w:pPr>
      <w:r w:rsidRPr="00F32790">
        <w:rPr>
          <w:rFonts w:cs="Times New Roman"/>
          <w:b/>
          <w:szCs w:val="24"/>
        </w:rPr>
        <w:t>Rozpočet EÚ na rok 2022</w:t>
      </w:r>
      <w:r w:rsidRPr="00F32790">
        <w:rPr>
          <w:rFonts w:cs="Times New Roman"/>
          <w:szCs w:val="24"/>
        </w:rPr>
        <w:t>, ktorý bol prijatý 24.</w:t>
      </w:r>
      <w:r w:rsidR="006B2633" w:rsidRPr="00F32790">
        <w:rPr>
          <w:rFonts w:cs="Times New Roman"/>
          <w:szCs w:val="24"/>
        </w:rPr>
        <w:t xml:space="preserve"> </w:t>
      </w:r>
      <w:r w:rsidRPr="00F32790">
        <w:rPr>
          <w:rFonts w:cs="Times New Roman"/>
          <w:szCs w:val="24"/>
        </w:rPr>
        <w:t>11.</w:t>
      </w:r>
      <w:r w:rsidR="006B2633" w:rsidRPr="00F32790">
        <w:rPr>
          <w:rFonts w:cs="Times New Roman"/>
          <w:szCs w:val="24"/>
        </w:rPr>
        <w:t xml:space="preserve"> </w:t>
      </w:r>
      <w:r w:rsidRPr="00F32790">
        <w:rPr>
          <w:rFonts w:cs="Times New Roman"/>
          <w:szCs w:val="24"/>
        </w:rPr>
        <w:t>2021</w:t>
      </w:r>
      <w:r w:rsidR="006B2633" w:rsidRPr="00F32790">
        <w:rPr>
          <w:rFonts w:cs="Times New Roman"/>
          <w:szCs w:val="24"/>
        </w:rPr>
        <w:t xml:space="preserve">, </w:t>
      </w:r>
      <w:r w:rsidRPr="00F32790">
        <w:rPr>
          <w:rFonts w:cs="Times New Roman"/>
          <w:szCs w:val="24"/>
        </w:rPr>
        <w:t>je druhým rokom nového viacročného finančného rámca na obdobie 2021</w:t>
      </w:r>
      <w:r w:rsidR="002C4B04">
        <w:rPr>
          <w:rFonts w:cs="Times New Roman"/>
          <w:szCs w:val="24"/>
        </w:rPr>
        <w:t>-</w:t>
      </w:r>
      <w:r w:rsidRPr="00F32790">
        <w:rPr>
          <w:rFonts w:cs="Times New Roman"/>
          <w:szCs w:val="24"/>
        </w:rPr>
        <w:t>2027. SR je od vstupu do EÚ v pozícii čistého prijímateľa prostriedkov z rozpočtu EÚ. Do konca roka 2022 je alokovaná čiastka pre SR vo výške 4 450,0 mil. EUR (3 148 mil. EUR z rozpočtu EÚ a 1 302 mil. EUR z Plánu obnovy a odolnosti), z čoho vyplýva, že príjmy z EÚ pre SR prevýšia odvody do rozpočtu EÚ 202</w:t>
      </w:r>
      <w:r w:rsidR="00343CCF">
        <w:rPr>
          <w:rFonts w:cs="Times New Roman"/>
          <w:szCs w:val="24"/>
        </w:rPr>
        <w:t>2</w:t>
      </w:r>
      <w:r w:rsidRPr="00F32790">
        <w:rPr>
          <w:rFonts w:cs="Times New Roman"/>
          <w:szCs w:val="24"/>
        </w:rPr>
        <w:t xml:space="preserve"> </w:t>
      </w:r>
      <w:r w:rsidR="008E6BE5">
        <w:rPr>
          <w:rFonts w:cs="Times New Roman"/>
          <w:szCs w:val="24"/>
        </w:rPr>
        <w:br/>
      </w:r>
      <w:r w:rsidRPr="00F32790">
        <w:rPr>
          <w:rFonts w:cs="Times New Roman"/>
          <w:szCs w:val="24"/>
        </w:rPr>
        <w:t xml:space="preserve">o 3 414 mil. EUR. Celková čistá finančná pozícia SR voči EÚ za obdobie od vstupu do EÚ týmto dosiahla úroveň </w:t>
      </w:r>
      <w:r w:rsidR="00343CCF">
        <w:rPr>
          <w:rFonts w:cs="Times New Roman"/>
          <w:szCs w:val="24"/>
        </w:rPr>
        <w:t>21,5</w:t>
      </w:r>
      <w:r w:rsidRPr="00F32790">
        <w:rPr>
          <w:rFonts w:cs="Times New Roman"/>
          <w:szCs w:val="24"/>
        </w:rPr>
        <w:t xml:space="preserve"> mld. </w:t>
      </w:r>
      <w:r w:rsidR="002C4B04">
        <w:rPr>
          <w:rFonts w:cs="Times New Roman"/>
          <w:szCs w:val="24"/>
        </w:rPr>
        <w:t>EUR</w:t>
      </w:r>
      <w:r w:rsidRPr="00F32790">
        <w:rPr>
          <w:rFonts w:cs="Times New Roman"/>
          <w:szCs w:val="24"/>
        </w:rPr>
        <w:t>.</w:t>
      </w:r>
    </w:p>
    <w:p w14:paraId="7A32D2B3" w14:textId="6F8F3BCC" w:rsidR="00EA04F5" w:rsidRPr="00F32790" w:rsidRDefault="00EA04F5" w:rsidP="001734FE">
      <w:pPr>
        <w:spacing w:after="0" w:line="240" w:lineRule="auto"/>
        <w:rPr>
          <w:rFonts w:cs="Times New Roman"/>
          <w:szCs w:val="24"/>
        </w:rPr>
      </w:pPr>
    </w:p>
    <w:p w14:paraId="0A01B6B8" w14:textId="2263025E" w:rsidR="00EA04F5" w:rsidRPr="00F32790" w:rsidRDefault="00147C10" w:rsidP="001734FE">
      <w:pPr>
        <w:spacing w:after="0" w:line="240" w:lineRule="auto"/>
        <w:rPr>
          <w:rFonts w:cs="Times New Roman"/>
          <w:szCs w:val="24"/>
        </w:rPr>
      </w:pPr>
      <w:r>
        <w:rPr>
          <w:rFonts w:cs="Times New Roman"/>
          <w:szCs w:val="24"/>
        </w:rPr>
        <w:t>SR</w:t>
      </w:r>
      <w:r w:rsidR="00EA04F5" w:rsidRPr="00F32790">
        <w:rPr>
          <w:rFonts w:cs="Times New Roman"/>
          <w:szCs w:val="24"/>
        </w:rPr>
        <w:t xml:space="preserve"> v rámci </w:t>
      </w:r>
      <w:r w:rsidR="00EA04F5" w:rsidRPr="00F32790">
        <w:rPr>
          <w:rFonts w:cs="Times New Roman"/>
          <w:b/>
          <w:szCs w:val="24"/>
        </w:rPr>
        <w:t>Plánu obnovy a odolnosti SR</w:t>
      </w:r>
      <w:r w:rsidR="00EA04F5" w:rsidRPr="00F32790">
        <w:rPr>
          <w:rFonts w:cs="Times New Roman"/>
          <w:szCs w:val="24"/>
        </w:rPr>
        <w:t xml:space="preserve"> (</w:t>
      </w:r>
      <w:r w:rsidR="00343CCF">
        <w:rPr>
          <w:rFonts w:cs="Times New Roman"/>
          <w:szCs w:val="24"/>
        </w:rPr>
        <w:t>ďalej „</w:t>
      </w:r>
      <w:r w:rsidR="00EA04F5" w:rsidRPr="00F32790">
        <w:rPr>
          <w:rFonts w:cs="Times New Roman"/>
          <w:szCs w:val="24"/>
        </w:rPr>
        <w:t>POO</w:t>
      </w:r>
      <w:r w:rsidR="00343CCF">
        <w:rPr>
          <w:rFonts w:cs="Times New Roman"/>
          <w:szCs w:val="24"/>
        </w:rPr>
        <w:t>“</w:t>
      </w:r>
      <w:r w:rsidR="00EA04F5" w:rsidRPr="00F32790">
        <w:rPr>
          <w:rFonts w:cs="Times New Roman"/>
          <w:szCs w:val="24"/>
        </w:rPr>
        <w:t xml:space="preserve">) v roku 2022 </w:t>
      </w:r>
      <w:r w:rsidR="00020E5C">
        <w:rPr>
          <w:rFonts w:cs="Times New Roman"/>
          <w:szCs w:val="24"/>
        </w:rPr>
        <w:t xml:space="preserve">podala </w:t>
      </w:r>
      <w:r w:rsidR="00EA04F5" w:rsidRPr="00F32790">
        <w:rPr>
          <w:rFonts w:cs="Times New Roman"/>
          <w:szCs w:val="24"/>
        </w:rPr>
        <w:t xml:space="preserve">dve žiadosti </w:t>
      </w:r>
      <w:r w:rsidR="002C4B04">
        <w:rPr>
          <w:rFonts w:cs="Times New Roman"/>
          <w:szCs w:val="24"/>
        </w:rPr>
        <w:t xml:space="preserve">o platbu </w:t>
      </w:r>
      <w:r w:rsidR="00EA04F5" w:rsidRPr="00F32790">
        <w:rPr>
          <w:rFonts w:cs="Times New Roman"/>
          <w:szCs w:val="24"/>
        </w:rPr>
        <w:t>spolu v hodnote 1</w:t>
      </w:r>
      <w:r w:rsidR="00881DE8">
        <w:rPr>
          <w:rFonts w:cs="Times New Roman"/>
          <w:szCs w:val="24"/>
        </w:rPr>
        <w:t>,</w:t>
      </w:r>
      <w:r w:rsidR="00EA04F5" w:rsidRPr="00F32790">
        <w:rPr>
          <w:rFonts w:cs="Times New Roman"/>
          <w:szCs w:val="24"/>
        </w:rPr>
        <w:t>3 miliardy EUR (vrátane pred-financovania). Prvú žiadosť o platbu v hodnote 458 miliónov EUR</w:t>
      </w:r>
      <w:r>
        <w:rPr>
          <w:rFonts w:cs="Times New Roman"/>
          <w:szCs w:val="24"/>
        </w:rPr>
        <w:t xml:space="preserve"> </w:t>
      </w:r>
      <w:r w:rsidR="00EA04F5" w:rsidRPr="00F32790">
        <w:rPr>
          <w:rFonts w:cs="Times New Roman"/>
          <w:szCs w:val="24"/>
        </w:rPr>
        <w:t xml:space="preserve">zaslala </w:t>
      </w:r>
      <w:r>
        <w:rPr>
          <w:rFonts w:cs="Times New Roman"/>
          <w:szCs w:val="24"/>
        </w:rPr>
        <w:t>SR</w:t>
      </w:r>
      <w:r w:rsidRPr="00F32790">
        <w:rPr>
          <w:rFonts w:cs="Times New Roman"/>
          <w:szCs w:val="24"/>
        </w:rPr>
        <w:t xml:space="preserve"> </w:t>
      </w:r>
      <w:r w:rsidR="00EA04F5" w:rsidRPr="00F32790">
        <w:rPr>
          <w:rFonts w:cs="Times New Roman"/>
          <w:szCs w:val="24"/>
        </w:rPr>
        <w:t xml:space="preserve">na posúdenie Európskej komisii v apríli 2022. </w:t>
      </w:r>
      <w:r w:rsidR="008C1099">
        <w:rPr>
          <w:rFonts w:cs="Times New Roman"/>
          <w:szCs w:val="24"/>
        </w:rPr>
        <w:t>EK</w:t>
      </w:r>
      <w:r w:rsidR="00EA04F5" w:rsidRPr="00F32790">
        <w:rPr>
          <w:rFonts w:cs="Times New Roman"/>
          <w:szCs w:val="24"/>
        </w:rPr>
        <w:t xml:space="preserve"> ako aj Hospodársky a finančný výbor Rady EÚ </w:t>
      </w:r>
      <w:r w:rsidR="00A521A2">
        <w:rPr>
          <w:rFonts w:cs="Times New Roman"/>
          <w:szCs w:val="24"/>
        </w:rPr>
        <w:t xml:space="preserve">(ďalej „EFC“) </w:t>
      </w:r>
      <w:r w:rsidR="00EA04F5" w:rsidRPr="00F32790">
        <w:rPr>
          <w:rFonts w:cs="Times New Roman"/>
          <w:szCs w:val="24"/>
        </w:rPr>
        <w:t>pozitívne ohodnotili úspešné splnenie 14 míľnikov, čo umožnilo vyplatenie finančného príspevku. Tieto míľniky sa týkal</w:t>
      </w:r>
      <w:r w:rsidR="00020E5C">
        <w:rPr>
          <w:rFonts w:cs="Times New Roman"/>
          <w:szCs w:val="24"/>
        </w:rPr>
        <w:t>i mimoriadne dôležitých oblastí</w:t>
      </w:r>
      <w:r w:rsidR="00EA04F5" w:rsidRPr="00F32790">
        <w:rPr>
          <w:rFonts w:cs="Times New Roman"/>
          <w:szCs w:val="24"/>
        </w:rPr>
        <w:t xml:space="preserve"> ako sú: </w:t>
      </w:r>
    </w:p>
    <w:p w14:paraId="7ECB71F4" w14:textId="64FF738C" w:rsidR="00EA04F5" w:rsidRPr="00F32790" w:rsidRDefault="00EA04F5" w:rsidP="001734FE">
      <w:pPr>
        <w:pStyle w:val="Odsekzoznamu"/>
        <w:numPr>
          <w:ilvl w:val="1"/>
          <w:numId w:val="12"/>
        </w:numPr>
        <w:spacing w:after="0" w:line="240" w:lineRule="auto"/>
        <w:ind w:left="357" w:hanging="357"/>
        <w:rPr>
          <w:rFonts w:cs="Times New Roman"/>
          <w:szCs w:val="24"/>
        </w:rPr>
      </w:pPr>
      <w:r w:rsidRPr="00F32790">
        <w:rPr>
          <w:rFonts w:cs="Times New Roman"/>
          <w:b/>
          <w:bCs/>
          <w:szCs w:val="24"/>
        </w:rPr>
        <w:t>Justícia, verejná správa</w:t>
      </w:r>
      <w:r w:rsidRPr="00F32790">
        <w:rPr>
          <w:rFonts w:cs="Times New Roman"/>
          <w:szCs w:val="24"/>
        </w:rPr>
        <w:t xml:space="preserve">: reforma súdnej mapy, boj proti korupcii a posilňovanie integrity a nezávislosti súdnictva, modernizácia a budovanie odborných kapacít </w:t>
      </w:r>
      <w:r w:rsidR="00020E5C">
        <w:rPr>
          <w:rFonts w:cs="Times New Roman"/>
          <w:szCs w:val="24"/>
        </w:rPr>
        <w:t>p</w:t>
      </w:r>
      <w:r w:rsidRPr="00F32790">
        <w:rPr>
          <w:rFonts w:cs="Times New Roman"/>
          <w:szCs w:val="24"/>
        </w:rPr>
        <w:t>olicajného zboru</w:t>
      </w:r>
    </w:p>
    <w:p w14:paraId="5DDF97EC" w14:textId="77777777" w:rsidR="00EA04F5" w:rsidRPr="00F32790" w:rsidRDefault="00EA04F5" w:rsidP="001734FE">
      <w:pPr>
        <w:pStyle w:val="Odsekzoznamu"/>
        <w:numPr>
          <w:ilvl w:val="1"/>
          <w:numId w:val="12"/>
        </w:numPr>
        <w:spacing w:after="200" w:line="240" w:lineRule="auto"/>
        <w:ind w:left="357" w:hanging="357"/>
        <w:rPr>
          <w:rFonts w:cs="Times New Roman"/>
          <w:szCs w:val="24"/>
        </w:rPr>
      </w:pPr>
      <w:r w:rsidRPr="00F32790">
        <w:rPr>
          <w:rFonts w:cs="Times New Roman"/>
          <w:b/>
          <w:bCs/>
          <w:szCs w:val="24"/>
        </w:rPr>
        <w:t>Vzdelávanie</w:t>
      </w:r>
      <w:r w:rsidRPr="00F32790">
        <w:rPr>
          <w:rFonts w:cs="Times New Roman"/>
          <w:szCs w:val="24"/>
        </w:rPr>
        <w:t>: reforma riadenia vysokých škôl, cestovná mapa spájania vysokých škôl, reforma Slovenskej akadémie vied, stratégia internacionalizácie vysokých škôl</w:t>
      </w:r>
    </w:p>
    <w:p w14:paraId="65D4235B" w14:textId="7557F730" w:rsidR="00EA04F5" w:rsidRPr="00F32790" w:rsidRDefault="00EA04F5" w:rsidP="001734FE">
      <w:pPr>
        <w:pStyle w:val="Odsekzoznamu"/>
        <w:numPr>
          <w:ilvl w:val="1"/>
          <w:numId w:val="12"/>
        </w:numPr>
        <w:spacing w:after="0" w:line="240" w:lineRule="auto"/>
        <w:ind w:left="357" w:hanging="357"/>
        <w:rPr>
          <w:rFonts w:cs="Times New Roman"/>
          <w:szCs w:val="24"/>
        </w:rPr>
      </w:pPr>
      <w:r w:rsidRPr="00F32790">
        <w:rPr>
          <w:rFonts w:cs="Times New Roman"/>
          <w:b/>
          <w:bCs/>
          <w:szCs w:val="24"/>
        </w:rPr>
        <w:t>Zelená ekonomika</w:t>
      </w:r>
      <w:r w:rsidRPr="00F32790">
        <w:rPr>
          <w:rFonts w:cs="Times New Roman"/>
          <w:szCs w:val="24"/>
        </w:rPr>
        <w:t xml:space="preserve">: úprava právneho rámca v oblasti </w:t>
      </w:r>
      <w:proofErr w:type="spellStart"/>
      <w:r w:rsidRPr="00F32790">
        <w:rPr>
          <w:rFonts w:cs="Times New Roman"/>
          <w:szCs w:val="24"/>
        </w:rPr>
        <w:t>elektroenergetiky</w:t>
      </w:r>
      <w:proofErr w:type="spellEnd"/>
      <w:r w:rsidRPr="00F32790">
        <w:rPr>
          <w:rFonts w:cs="Times New Roman"/>
          <w:szCs w:val="24"/>
        </w:rPr>
        <w:t>, reforma prípravy investičných projektov v</w:t>
      </w:r>
      <w:r w:rsidR="00D27A4E">
        <w:rPr>
          <w:rFonts w:cs="Times New Roman"/>
          <w:szCs w:val="24"/>
        </w:rPr>
        <w:t> </w:t>
      </w:r>
      <w:r w:rsidRPr="00F32790">
        <w:rPr>
          <w:rFonts w:cs="Times New Roman"/>
          <w:szCs w:val="24"/>
        </w:rPr>
        <w:t>doprave</w:t>
      </w:r>
      <w:r w:rsidR="00D27A4E">
        <w:rPr>
          <w:rFonts w:cs="Times New Roman"/>
          <w:szCs w:val="24"/>
        </w:rPr>
        <w:t xml:space="preserve">. </w:t>
      </w:r>
    </w:p>
    <w:p w14:paraId="165D461C" w14:textId="070E233D" w:rsidR="00EA04F5" w:rsidRDefault="00EA04F5" w:rsidP="001734FE">
      <w:pPr>
        <w:spacing w:after="0" w:line="240" w:lineRule="auto"/>
        <w:rPr>
          <w:rFonts w:cs="Times New Roman"/>
          <w:szCs w:val="24"/>
        </w:rPr>
      </w:pPr>
    </w:p>
    <w:p w14:paraId="135750CE" w14:textId="09427344" w:rsidR="00EA04F5" w:rsidRPr="00F32790" w:rsidRDefault="00EA04F5" w:rsidP="001734FE">
      <w:pPr>
        <w:spacing w:after="0" w:line="240" w:lineRule="auto"/>
        <w:rPr>
          <w:rFonts w:cs="Times New Roman"/>
          <w:szCs w:val="24"/>
        </w:rPr>
      </w:pPr>
      <w:r w:rsidRPr="00F32790">
        <w:rPr>
          <w:rFonts w:cs="Times New Roman"/>
          <w:szCs w:val="24"/>
        </w:rPr>
        <w:t xml:space="preserve">Druhú žiadosť o platbu v hodnote 815 miliónov EUR podala </w:t>
      </w:r>
      <w:r w:rsidR="00147C10">
        <w:rPr>
          <w:rFonts w:cs="Times New Roman"/>
          <w:szCs w:val="24"/>
        </w:rPr>
        <w:t>SR</w:t>
      </w:r>
      <w:r w:rsidRPr="00F32790">
        <w:rPr>
          <w:rFonts w:cs="Times New Roman"/>
          <w:szCs w:val="24"/>
        </w:rPr>
        <w:t xml:space="preserve"> v októbri 2022. Táto žiadosť o platbu obsahuje 16 míľnikov, ktoré pokrývajú dôležité štrukturálne refo</w:t>
      </w:r>
      <w:r w:rsidR="00BB3668">
        <w:rPr>
          <w:rFonts w:cs="Times New Roman"/>
          <w:szCs w:val="24"/>
        </w:rPr>
        <w:t>rmy v oblastiach</w:t>
      </w:r>
      <w:r w:rsidRPr="00F32790">
        <w:rPr>
          <w:rFonts w:cs="Times New Roman"/>
          <w:szCs w:val="24"/>
        </w:rPr>
        <w:t xml:space="preserve">: </w:t>
      </w:r>
    </w:p>
    <w:p w14:paraId="17C39DE5" w14:textId="1CB516AB" w:rsidR="00EA04F5" w:rsidRPr="00F32790" w:rsidRDefault="00EA04F5" w:rsidP="001734FE">
      <w:pPr>
        <w:pStyle w:val="Odsekzoznamu"/>
        <w:numPr>
          <w:ilvl w:val="1"/>
          <w:numId w:val="13"/>
        </w:numPr>
        <w:spacing w:after="0" w:line="240" w:lineRule="auto"/>
        <w:ind w:left="357" w:hanging="357"/>
        <w:rPr>
          <w:rFonts w:cs="Times New Roman"/>
          <w:szCs w:val="24"/>
        </w:rPr>
      </w:pPr>
      <w:r w:rsidRPr="00F32790">
        <w:rPr>
          <w:rFonts w:cs="Times New Roman"/>
          <w:b/>
          <w:bCs/>
          <w:szCs w:val="24"/>
        </w:rPr>
        <w:t>Zdravotníctvo:</w:t>
      </w:r>
      <w:r w:rsidRPr="00F32790">
        <w:rPr>
          <w:rFonts w:cs="Times New Roman"/>
          <w:szCs w:val="24"/>
        </w:rPr>
        <w:t xml:space="preserve"> </w:t>
      </w:r>
      <w:r w:rsidR="00825F2B">
        <w:rPr>
          <w:rFonts w:cs="Times New Roman"/>
          <w:szCs w:val="24"/>
        </w:rPr>
        <w:t>optimalizácia siete nemocníc, r</w:t>
      </w:r>
      <w:r w:rsidRPr="00F32790">
        <w:rPr>
          <w:rFonts w:cs="Times New Roman"/>
          <w:szCs w:val="24"/>
        </w:rPr>
        <w:t>eforma dohľadu</w:t>
      </w:r>
      <w:r w:rsidR="002C4B04">
        <w:rPr>
          <w:rFonts w:cs="Times New Roman"/>
          <w:szCs w:val="24"/>
        </w:rPr>
        <w:t xml:space="preserve"> nad sociálnou starostlivosťou);</w:t>
      </w:r>
      <w:r w:rsidRPr="00F32790">
        <w:rPr>
          <w:rFonts w:cs="Times New Roman"/>
          <w:szCs w:val="24"/>
        </w:rPr>
        <w:t xml:space="preserve"> </w:t>
      </w:r>
    </w:p>
    <w:p w14:paraId="468D105D" w14:textId="055A6023" w:rsidR="00EA04F5" w:rsidRPr="00F32790" w:rsidRDefault="00EA04F5" w:rsidP="001734FE">
      <w:pPr>
        <w:pStyle w:val="Odsekzoznamu"/>
        <w:numPr>
          <w:ilvl w:val="1"/>
          <w:numId w:val="13"/>
        </w:numPr>
        <w:spacing w:after="200" w:line="240" w:lineRule="auto"/>
        <w:ind w:left="357" w:hanging="357"/>
        <w:rPr>
          <w:rFonts w:cs="Times New Roman"/>
          <w:szCs w:val="24"/>
        </w:rPr>
      </w:pPr>
      <w:r w:rsidRPr="00F32790">
        <w:rPr>
          <w:rFonts w:cs="Times New Roman"/>
          <w:b/>
          <w:bCs/>
          <w:szCs w:val="24"/>
        </w:rPr>
        <w:t>Zelená transformácia</w:t>
      </w:r>
      <w:r w:rsidRPr="00F32790">
        <w:rPr>
          <w:rFonts w:cs="Times New Roman"/>
          <w:szCs w:val="24"/>
        </w:rPr>
        <w:t>: novela zákona o odpadoch, zoznam vybraných projektov pre regióny Muránska Planina, Poloniny</w:t>
      </w:r>
      <w:r w:rsidR="002C4B04">
        <w:rPr>
          <w:rFonts w:cs="Times New Roman"/>
          <w:szCs w:val="24"/>
        </w:rPr>
        <w:t>;</w:t>
      </w:r>
    </w:p>
    <w:p w14:paraId="2CB9A624" w14:textId="69D1633D" w:rsidR="00EA04F5" w:rsidRPr="00F32790" w:rsidRDefault="00EA04F5" w:rsidP="001734FE">
      <w:pPr>
        <w:pStyle w:val="Odsekzoznamu"/>
        <w:numPr>
          <w:ilvl w:val="1"/>
          <w:numId w:val="13"/>
        </w:numPr>
        <w:spacing w:after="200" w:line="240" w:lineRule="auto"/>
        <w:ind w:left="357" w:hanging="357"/>
        <w:rPr>
          <w:rFonts w:cs="Times New Roman"/>
          <w:szCs w:val="24"/>
        </w:rPr>
      </w:pPr>
      <w:r w:rsidRPr="00F32790">
        <w:rPr>
          <w:rFonts w:cs="Times New Roman"/>
          <w:b/>
          <w:bCs/>
          <w:szCs w:val="24"/>
        </w:rPr>
        <w:t>Podnikateľské prostredie:</w:t>
      </w:r>
      <w:r w:rsidRPr="00F32790">
        <w:rPr>
          <w:rFonts w:cs="Times New Roman"/>
          <w:szCs w:val="24"/>
        </w:rPr>
        <w:t xml:space="preserve"> </w:t>
      </w:r>
      <w:r w:rsidR="00BB3668">
        <w:rPr>
          <w:rFonts w:cs="Times New Roman"/>
          <w:szCs w:val="24"/>
        </w:rPr>
        <w:t>novela zákona o </w:t>
      </w:r>
      <w:r w:rsidRPr="00F32790">
        <w:rPr>
          <w:rFonts w:cs="Times New Roman"/>
          <w:szCs w:val="24"/>
        </w:rPr>
        <w:t>verejn</w:t>
      </w:r>
      <w:r w:rsidR="00BB3668">
        <w:rPr>
          <w:rFonts w:cs="Times New Roman"/>
          <w:szCs w:val="24"/>
        </w:rPr>
        <w:t>om</w:t>
      </w:r>
      <w:r w:rsidRPr="00F32790">
        <w:rPr>
          <w:rFonts w:cs="Times New Roman"/>
          <w:szCs w:val="24"/>
        </w:rPr>
        <w:t xml:space="preserve"> obstarávan</w:t>
      </w:r>
      <w:r w:rsidR="00BB3668">
        <w:rPr>
          <w:rFonts w:cs="Times New Roman"/>
          <w:szCs w:val="24"/>
        </w:rPr>
        <w:t>í</w:t>
      </w:r>
      <w:r w:rsidR="00825F2B">
        <w:rPr>
          <w:rFonts w:cs="Times New Roman"/>
          <w:szCs w:val="24"/>
        </w:rPr>
        <w:t>.</w:t>
      </w:r>
    </w:p>
    <w:p w14:paraId="69276B32" w14:textId="0A530484" w:rsidR="00EA04F5" w:rsidRPr="00F32790" w:rsidRDefault="00EA04F5" w:rsidP="002C4B04">
      <w:pPr>
        <w:spacing w:after="0" w:line="240" w:lineRule="auto"/>
        <w:rPr>
          <w:rFonts w:cs="Times New Roman"/>
          <w:szCs w:val="24"/>
        </w:rPr>
      </w:pPr>
      <w:r w:rsidRPr="00F32790">
        <w:rPr>
          <w:rFonts w:cs="Times New Roman"/>
          <w:szCs w:val="24"/>
        </w:rPr>
        <w:t xml:space="preserve">Aj keď implementácia POO úspešne pokračuje podľa vopred nastaveného časového rámca, súčasná situácia spojená s inváziou Ruska na Ukrajinu spôsobila prudký nárast cien energií, stavebných materiálov, infláciu a narušenie dodávateľských reťazcov, čo má výrazný vplyv na schopnosť implementovať viaceré opatrenia a ich ciele z POO, tak ako boli pôvodne definované. Navyše, finálna alokácia určená pre </w:t>
      </w:r>
      <w:r w:rsidR="00147C10">
        <w:rPr>
          <w:rFonts w:cs="Times New Roman"/>
          <w:szCs w:val="24"/>
        </w:rPr>
        <w:t>SR</w:t>
      </w:r>
      <w:r w:rsidRPr="00F32790">
        <w:rPr>
          <w:rFonts w:cs="Times New Roman"/>
          <w:szCs w:val="24"/>
        </w:rPr>
        <w:t xml:space="preserve"> bola v súvislosti s aktualizáciou alokačného kľúča na základe reálnych dát HDP za roky 2020 a 2021 znížená o približne </w:t>
      </w:r>
      <w:r w:rsidR="008E6BE5">
        <w:rPr>
          <w:rFonts w:cs="Times New Roman"/>
          <w:szCs w:val="24"/>
        </w:rPr>
        <w:br/>
      </w:r>
      <w:r w:rsidRPr="00F32790">
        <w:rPr>
          <w:rFonts w:cs="Times New Roman"/>
          <w:szCs w:val="24"/>
        </w:rPr>
        <w:lastRenderedPageBreak/>
        <w:t xml:space="preserve">300 miliónov </w:t>
      </w:r>
      <w:r w:rsidR="008E6BE5" w:rsidRPr="00F32790">
        <w:rPr>
          <w:rFonts w:cs="Times New Roman"/>
          <w:szCs w:val="24"/>
        </w:rPr>
        <w:t>Eur</w:t>
      </w:r>
      <w:r w:rsidRPr="00F32790">
        <w:rPr>
          <w:rFonts w:cs="Times New Roman"/>
          <w:szCs w:val="24"/>
        </w:rPr>
        <w:t xml:space="preserve">. Z uvedených dôvodov bude musieť </w:t>
      </w:r>
      <w:r w:rsidR="00147C10">
        <w:rPr>
          <w:rFonts w:cs="Times New Roman"/>
          <w:szCs w:val="24"/>
        </w:rPr>
        <w:t>SR</w:t>
      </w:r>
      <w:r w:rsidRPr="00F32790">
        <w:rPr>
          <w:rFonts w:cs="Times New Roman"/>
          <w:szCs w:val="24"/>
        </w:rPr>
        <w:t xml:space="preserve"> pristúpiť k aktualizácii POO, ktorá bude reagovať na všetky výzvy, ktoré by mohli ohroziť jeho úspešnú implementáciu. </w:t>
      </w:r>
    </w:p>
    <w:p w14:paraId="6773C421" w14:textId="629EC4FE" w:rsidR="006548BD" w:rsidRPr="00F32790" w:rsidRDefault="004F631C" w:rsidP="00A521A2">
      <w:pPr>
        <w:widowControl w:val="0"/>
        <w:autoSpaceDN w:val="0"/>
        <w:spacing w:after="0" w:line="240" w:lineRule="auto"/>
        <w:rPr>
          <w:rFonts w:cs="Times New Roman"/>
          <w:szCs w:val="24"/>
        </w:rPr>
      </w:pPr>
      <w:r w:rsidRPr="00F32790">
        <w:rPr>
          <w:rFonts w:cs="Times New Roman"/>
          <w:szCs w:val="24"/>
        </w:rPr>
        <w:t xml:space="preserve">V priebehu roka 2022 sa v oblasti </w:t>
      </w:r>
      <w:r w:rsidRPr="00F32790">
        <w:rPr>
          <w:rFonts w:cs="Times New Roman"/>
          <w:b/>
          <w:szCs w:val="24"/>
        </w:rPr>
        <w:t>priamych daní</w:t>
      </w:r>
      <w:r w:rsidRPr="00F32790">
        <w:rPr>
          <w:rFonts w:cs="Times New Roman"/>
          <w:szCs w:val="24"/>
        </w:rPr>
        <w:t xml:space="preserve"> pokračovalo v prácach na viacerých kľúčových témach s cieľom zabezpečiť dôraznejší a koherentnejší prístup EÚ k daňovým únikom a vyhýbaniu sa daňovým povinnostiam, či už prostredníctvom </w:t>
      </w:r>
      <w:r w:rsidRPr="00F32790">
        <w:rPr>
          <w:rFonts w:cs="Times New Roman"/>
          <w:b/>
          <w:szCs w:val="24"/>
        </w:rPr>
        <w:t>boja proti zneužívaniu tzv. schránkových spoločností na daňové účely</w:t>
      </w:r>
      <w:r w:rsidRPr="00F32790">
        <w:rPr>
          <w:rFonts w:cs="Times New Roman"/>
          <w:szCs w:val="24"/>
        </w:rPr>
        <w:t xml:space="preserve">, alebo v záujme dosiahnutia spravodlivejšieho zdaňovania podnikov v rámci EÚ prostredníctvom opatrení na riešenie daňového zvýhodnenia dlhu voči vlastnému imaniu. </w:t>
      </w:r>
      <w:r w:rsidR="00A521A2" w:rsidRPr="00404791">
        <w:rPr>
          <w:rFonts w:cs="Times New Roman"/>
          <w:lang w:eastAsia="en-US"/>
        </w:rPr>
        <w:t xml:space="preserve">V oblasti zdaňovania právnických osôb bolo významným úspechom </w:t>
      </w:r>
      <w:r w:rsidR="00A521A2" w:rsidRPr="00A521A2">
        <w:rPr>
          <w:rFonts w:cs="Times New Roman"/>
          <w:lang w:eastAsia="en-US"/>
        </w:rPr>
        <w:t>schválenie revidovaného mandátu skupiny Kódex pre zdaňovanie podnikov</w:t>
      </w:r>
      <w:r w:rsidR="00A521A2">
        <w:rPr>
          <w:rFonts w:cs="Times New Roman"/>
          <w:lang w:eastAsia="en-US"/>
        </w:rPr>
        <w:t xml:space="preserve"> zohľadňujúceho</w:t>
      </w:r>
      <w:r w:rsidR="00A521A2" w:rsidRPr="00404791">
        <w:rPr>
          <w:rFonts w:cs="Times New Roman"/>
          <w:lang w:eastAsia="en-US"/>
        </w:rPr>
        <w:t xml:space="preserve"> najnovší vývoj v </w:t>
      </w:r>
      <w:r w:rsidR="00A521A2">
        <w:rPr>
          <w:rFonts w:cs="Times New Roman"/>
          <w:lang w:eastAsia="en-US"/>
        </w:rPr>
        <w:t>medzinárodnom zdaňovaní. P</w:t>
      </w:r>
      <w:r w:rsidR="00A521A2" w:rsidRPr="00404791">
        <w:rPr>
          <w:rFonts w:cs="Times New Roman"/>
          <w:lang w:eastAsia="en-US"/>
        </w:rPr>
        <w:t xml:space="preserve">rebehli tiež dve pravidelné </w:t>
      </w:r>
      <w:r w:rsidR="00A521A2" w:rsidRPr="00A521A2">
        <w:rPr>
          <w:rFonts w:cs="Times New Roman"/>
          <w:lang w:eastAsia="en-US"/>
        </w:rPr>
        <w:t>aktualizácie zoznamu EÚ nespolupracujúcich jurisdikcií na daňové účely.</w:t>
      </w:r>
      <w:r w:rsidR="00A521A2">
        <w:rPr>
          <w:rFonts w:ascii="Arial Narrow" w:hAnsi="Arial Narrow"/>
          <w:lang w:eastAsia="en-US"/>
        </w:rPr>
        <w:t xml:space="preserve"> </w:t>
      </w:r>
      <w:r w:rsidRPr="00F32790">
        <w:rPr>
          <w:rFonts w:cs="Times New Roman"/>
          <w:szCs w:val="24"/>
        </w:rPr>
        <w:t>Ďalším dôležitým medzníkom bolo schválenie Smernice o zabezpečení globálnej minimálnej úrovne zdanenia nadnárodných skupín podnikov a veľkých vnútroštátnych skupín v Únii v závere roka 2022.</w:t>
      </w:r>
    </w:p>
    <w:p w14:paraId="31E716C2" w14:textId="77777777" w:rsidR="006548BD" w:rsidRPr="00F32790" w:rsidRDefault="006548BD" w:rsidP="001734FE">
      <w:pPr>
        <w:widowControl w:val="0"/>
        <w:autoSpaceDN w:val="0"/>
        <w:spacing w:after="0" w:line="240" w:lineRule="auto"/>
        <w:rPr>
          <w:rFonts w:cs="Times New Roman"/>
          <w:szCs w:val="24"/>
        </w:rPr>
      </w:pPr>
    </w:p>
    <w:p w14:paraId="7FAB040F" w14:textId="09531019" w:rsidR="00A521A2" w:rsidRDefault="004F631C" w:rsidP="001E4490">
      <w:pPr>
        <w:widowControl w:val="0"/>
        <w:autoSpaceDN w:val="0"/>
        <w:spacing w:after="0" w:line="240" w:lineRule="auto"/>
        <w:rPr>
          <w:rFonts w:cs="Times New Roman"/>
          <w:szCs w:val="24"/>
        </w:rPr>
      </w:pPr>
      <w:r w:rsidRPr="00F32790">
        <w:rPr>
          <w:rFonts w:cs="Times New Roman"/>
          <w:szCs w:val="24"/>
        </w:rPr>
        <w:t xml:space="preserve">V rámci Európskej zelenej dohody (balík Fit </w:t>
      </w:r>
      <w:proofErr w:type="spellStart"/>
      <w:r w:rsidRPr="00F32790">
        <w:rPr>
          <w:rFonts w:cs="Times New Roman"/>
          <w:szCs w:val="24"/>
        </w:rPr>
        <w:t>for</w:t>
      </w:r>
      <w:proofErr w:type="spellEnd"/>
      <w:r w:rsidRPr="00F32790">
        <w:rPr>
          <w:rFonts w:cs="Times New Roman"/>
          <w:szCs w:val="24"/>
        </w:rPr>
        <w:t xml:space="preserve"> 55) sa začalo pracovať na revízii </w:t>
      </w:r>
      <w:r w:rsidRPr="00F32790">
        <w:rPr>
          <w:rFonts w:cs="Times New Roman"/>
          <w:b/>
          <w:szCs w:val="24"/>
        </w:rPr>
        <w:t xml:space="preserve">Smernice </w:t>
      </w:r>
      <w:r w:rsidR="008E6BE5">
        <w:rPr>
          <w:rFonts w:cs="Times New Roman"/>
          <w:b/>
          <w:szCs w:val="24"/>
        </w:rPr>
        <w:br/>
      </w:r>
      <w:r w:rsidRPr="00F32790">
        <w:rPr>
          <w:rFonts w:cs="Times New Roman"/>
          <w:b/>
          <w:szCs w:val="24"/>
        </w:rPr>
        <w:t>o zdaňovaní energie</w:t>
      </w:r>
      <w:r w:rsidRPr="00F32790">
        <w:rPr>
          <w:rFonts w:cs="Times New Roman"/>
          <w:szCs w:val="24"/>
        </w:rPr>
        <w:t xml:space="preserve"> (ETD) s cieľom zosúladiť zdaňovanie energetických produktov </w:t>
      </w:r>
      <w:r w:rsidR="008E6BE5">
        <w:rPr>
          <w:rFonts w:cs="Times New Roman"/>
          <w:szCs w:val="24"/>
        </w:rPr>
        <w:br/>
      </w:r>
      <w:r w:rsidRPr="00F32790">
        <w:rPr>
          <w:rFonts w:cs="Times New Roman"/>
          <w:szCs w:val="24"/>
        </w:rPr>
        <w:t xml:space="preserve">a elektriny s politikami EÚ v oblasti energetiky, životného prostredia a klímy, čím by sa prispelo k úsiliu EÚ o zníženie emisií, a to prostredníctvom aktualizácie rozsahu energetických produktov, štruktúry sadzieb a racionalizácie využívania daňových výnimiek a daňových úľav </w:t>
      </w:r>
      <w:r w:rsidR="006548BD" w:rsidRPr="00F32790">
        <w:rPr>
          <w:rFonts w:cs="Times New Roman"/>
          <w:szCs w:val="24"/>
        </w:rPr>
        <w:t>členských štátov</w:t>
      </w:r>
      <w:r w:rsidRPr="00F32790">
        <w:rPr>
          <w:rFonts w:cs="Times New Roman"/>
          <w:szCs w:val="24"/>
        </w:rPr>
        <w:t>.</w:t>
      </w:r>
    </w:p>
    <w:p w14:paraId="23A920B6" w14:textId="3DCF817D" w:rsidR="00402840" w:rsidRPr="00F32790" w:rsidRDefault="006548BD" w:rsidP="001E4490">
      <w:pPr>
        <w:widowControl w:val="0"/>
        <w:autoSpaceDN w:val="0"/>
        <w:spacing w:after="0" w:line="240" w:lineRule="auto"/>
        <w:rPr>
          <w:rFonts w:cs="Times New Roman"/>
          <w:szCs w:val="24"/>
        </w:rPr>
      </w:pPr>
      <w:r w:rsidRPr="00F32790">
        <w:rPr>
          <w:rFonts w:cs="Times New Roman"/>
          <w:szCs w:val="24"/>
        </w:rPr>
        <w:t xml:space="preserve">V prvom polroku 2022 sa viedli intenzívne rokovania k dobudovaniu </w:t>
      </w:r>
      <w:r w:rsidRPr="00F32790">
        <w:rPr>
          <w:rFonts w:cs="Times New Roman"/>
          <w:b/>
          <w:szCs w:val="24"/>
        </w:rPr>
        <w:t>Bankovej únie</w:t>
      </w:r>
      <w:r w:rsidRPr="00F32790">
        <w:rPr>
          <w:rFonts w:cs="Times New Roman"/>
          <w:szCs w:val="24"/>
        </w:rPr>
        <w:t xml:space="preserve">, ktorá pozostávala z dobudovania tretieho piliera Bankovej únie tzv. EDIS (Európskeho systému ochrany vkladov), cezhraničnej integrácie, posilnenia rámca krízového manažmentu a úpravy držby štátnych dlhopisov. Prvotným cieľom bolo prijať cestovnú mapu s konkrétnymi krokmi a míľnikmi. Napriek skutočnosti, že sa v predchádzajúcich rokoch podarilo dosiahnuť výrazný pokrok v oblasti jednotného súboru pravidiel EÚ, v oblasti európskej architektúry dohľadu </w:t>
      </w:r>
      <w:r w:rsidR="008E6BE5">
        <w:rPr>
          <w:rFonts w:cs="Times New Roman"/>
          <w:szCs w:val="24"/>
        </w:rPr>
        <w:br/>
      </w:r>
      <w:r w:rsidRPr="00F32790">
        <w:rPr>
          <w:rFonts w:cs="Times New Roman"/>
          <w:szCs w:val="24"/>
        </w:rPr>
        <w:t xml:space="preserve">a riešenia krízových situácií a v znižovaní rizík, čo prispelo k väčšej stabilite európskych bánk a väčšej dôvere podnikov, investorov a občanov v európsky finančný systém, v priebehu roku 2022 sa nepodarilo schváliť dohodu na pracovnom pláne o dobudovaní Bankovej únie. Napokon sa podarilo schváliť dohodu na spoločnom vyhlásení </w:t>
      </w:r>
      <w:proofErr w:type="spellStart"/>
      <w:r w:rsidRPr="00F32790">
        <w:rPr>
          <w:rFonts w:cs="Times New Roman"/>
          <w:szCs w:val="24"/>
        </w:rPr>
        <w:t>Euroskupiny</w:t>
      </w:r>
      <w:proofErr w:type="spellEnd"/>
      <w:r w:rsidRPr="00F32790">
        <w:rPr>
          <w:rFonts w:cs="Times New Roman"/>
          <w:szCs w:val="24"/>
        </w:rPr>
        <w:t xml:space="preserve"> so zameraním na rámec krízového manažmentu. Je možné očakávať, že sa diskusie k problematike dobudovania bankovej únie znovu obnovia počas nového politického cyklu </w:t>
      </w:r>
      <w:r w:rsidR="00A521A2">
        <w:rPr>
          <w:rFonts w:cs="Times New Roman"/>
          <w:szCs w:val="24"/>
        </w:rPr>
        <w:t>EK</w:t>
      </w:r>
      <w:r w:rsidRPr="00F32790">
        <w:rPr>
          <w:rFonts w:cs="Times New Roman"/>
          <w:szCs w:val="24"/>
        </w:rPr>
        <w:t>.</w:t>
      </w:r>
    </w:p>
    <w:p w14:paraId="58D2435A" w14:textId="77777777" w:rsidR="00402840" w:rsidRPr="00F32790" w:rsidRDefault="00402840" w:rsidP="001734FE">
      <w:pPr>
        <w:spacing w:after="0" w:line="240" w:lineRule="auto"/>
        <w:rPr>
          <w:rFonts w:cs="Times New Roman"/>
          <w:szCs w:val="24"/>
        </w:rPr>
      </w:pPr>
    </w:p>
    <w:p w14:paraId="6E0CC07B" w14:textId="00BF6873" w:rsidR="00A521A2" w:rsidRDefault="006548BD" w:rsidP="001734FE">
      <w:pPr>
        <w:spacing w:after="0" w:line="240" w:lineRule="auto"/>
        <w:rPr>
          <w:rFonts w:cs="Times New Roman"/>
          <w:szCs w:val="24"/>
        </w:rPr>
      </w:pPr>
      <w:r w:rsidRPr="00F32790">
        <w:rPr>
          <w:rFonts w:cs="Times New Roman"/>
          <w:szCs w:val="24"/>
        </w:rPr>
        <w:t xml:space="preserve">Významný pokrok bol v roku 2022 dosiahnutý v </w:t>
      </w:r>
      <w:r w:rsidRPr="00F32790">
        <w:rPr>
          <w:rFonts w:cs="Times New Roman"/>
          <w:b/>
          <w:szCs w:val="24"/>
        </w:rPr>
        <w:t>implementácii pravidiel</w:t>
      </w:r>
      <w:r w:rsidRPr="00F32790">
        <w:rPr>
          <w:rFonts w:cs="Times New Roman"/>
          <w:szCs w:val="24"/>
        </w:rPr>
        <w:t xml:space="preserve"> </w:t>
      </w:r>
      <w:proofErr w:type="spellStart"/>
      <w:r w:rsidRPr="00F32790">
        <w:rPr>
          <w:rFonts w:cs="Times New Roman"/>
          <w:b/>
          <w:szCs w:val="24"/>
        </w:rPr>
        <w:t>Basel</w:t>
      </w:r>
      <w:proofErr w:type="spellEnd"/>
      <w:r w:rsidRPr="00F32790">
        <w:rPr>
          <w:rFonts w:cs="Times New Roman"/>
          <w:b/>
          <w:szCs w:val="24"/>
        </w:rPr>
        <w:t xml:space="preserve"> III</w:t>
      </w:r>
      <w:r w:rsidRPr="00F32790">
        <w:rPr>
          <w:rFonts w:cs="Times New Roman"/>
          <w:szCs w:val="24"/>
        </w:rPr>
        <w:t xml:space="preserve">. Tieto legislatívne návrhy by mali prispieť k posilneniu odolnosti bankového sektora. Dosiahnuť dohodu o Všeobecnom smerovaní Rady EÚ sa podarilo aj k balíku legislatívnych návrhov zameraných na </w:t>
      </w:r>
      <w:r w:rsidRPr="00F32790">
        <w:rPr>
          <w:rFonts w:cs="Times New Roman"/>
          <w:b/>
          <w:szCs w:val="24"/>
        </w:rPr>
        <w:t>boj proti praniu špinavých peňazí a financovaniu terorizmu</w:t>
      </w:r>
      <w:r w:rsidRPr="00F32790">
        <w:rPr>
          <w:rFonts w:cs="Times New Roman"/>
          <w:szCs w:val="24"/>
        </w:rPr>
        <w:t xml:space="preserve"> (legislatívny AML/CFT balík), ktorého cieľom je zlepšiť odhaľovanie podozrivých transakcií a činností </w:t>
      </w:r>
      <w:r w:rsidR="008E6BE5">
        <w:rPr>
          <w:rFonts w:cs="Times New Roman"/>
          <w:szCs w:val="24"/>
        </w:rPr>
        <w:br/>
      </w:r>
      <w:r w:rsidRPr="00F32790">
        <w:rPr>
          <w:rFonts w:cs="Times New Roman"/>
          <w:szCs w:val="24"/>
        </w:rPr>
        <w:t xml:space="preserve">a odstrániť nedostatky, ktoré páchatelia používajú na legalizovanie svojich nezákonných príjmov a financovanie teroristických aktivít </w:t>
      </w:r>
      <w:r w:rsidR="00A521A2">
        <w:rPr>
          <w:rFonts w:cs="Times New Roman"/>
          <w:szCs w:val="24"/>
        </w:rPr>
        <w:t>a zaviesť dohľad</w:t>
      </w:r>
      <w:r w:rsidR="00A521A2" w:rsidRPr="00A16BDF">
        <w:rPr>
          <w:rFonts w:cs="Times New Roman"/>
          <w:szCs w:val="24"/>
        </w:rPr>
        <w:t xml:space="preserve"> nad AML/CFT na úrovni EÚ</w:t>
      </w:r>
      <w:r w:rsidR="00A521A2">
        <w:rPr>
          <w:rFonts w:cs="Times New Roman"/>
          <w:szCs w:val="24"/>
        </w:rPr>
        <w:t>.</w:t>
      </w:r>
      <w:r w:rsidR="00A521A2" w:rsidRPr="00980DF5" w:rsidDel="00982E84">
        <w:rPr>
          <w:rFonts w:cs="Times New Roman"/>
          <w:szCs w:val="24"/>
        </w:rPr>
        <w:t xml:space="preserve"> </w:t>
      </w:r>
    </w:p>
    <w:p w14:paraId="5743151E" w14:textId="77777777" w:rsidR="00A521A2" w:rsidRDefault="00A521A2" w:rsidP="001734FE">
      <w:pPr>
        <w:spacing w:after="0" w:line="240" w:lineRule="auto"/>
        <w:rPr>
          <w:rFonts w:cs="Times New Roman"/>
          <w:szCs w:val="24"/>
        </w:rPr>
      </w:pPr>
    </w:p>
    <w:p w14:paraId="45A0406C" w14:textId="53C45EAB" w:rsidR="00402840" w:rsidRPr="00F32790" w:rsidRDefault="006548BD" w:rsidP="001734FE">
      <w:pPr>
        <w:spacing w:after="0" w:line="240" w:lineRule="auto"/>
        <w:rPr>
          <w:rFonts w:cs="Times New Roman"/>
          <w:szCs w:val="24"/>
        </w:rPr>
      </w:pPr>
      <w:r w:rsidRPr="00F32790">
        <w:rPr>
          <w:rFonts w:cs="Times New Roman"/>
          <w:szCs w:val="24"/>
        </w:rPr>
        <w:t xml:space="preserve">V roku 2022 pokračovali diskusie k investigatívnej fáze </w:t>
      </w:r>
      <w:r w:rsidRPr="00F32790">
        <w:rPr>
          <w:rFonts w:cs="Times New Roman"/>
          <w:b/>
          <w:szCs w:val="24"/>
        </w:rPr>
        <w:t>zavedenia digitálneho eura</w:t>
      </w:r>
      <w:r w:rsidRPr="00F32790">
        <w:rPr>
          <w:rFonts w:cs="Times New Roman"/>
          <w:szCs w:val="24"/>
        </w:rPr>
        <w:t xml:space="preserve">. Napriek množstvu otvorených otázok, </w:t>
      </w:r>
      <w:r w:rsidR="00A521A2">
        <w:rPr>
          <w:rFonts w:cs="Times New Roman"/>
          <w:szCs w:val="24"/>
        </w:rPr>
        <w:t>Európska centrálna banka</w:t>
      </w:r>
      <w:r w:rsidRPr="00F32790">
        <w:rPr>
          <w:rFonts w:cs="Times New Roman"/>
          <w:szCs w:val="24"/>
        </w:rPr>
        <w:t xml:space="preserve"> deklaruje zámer ukončiť investigatívnu fázu projektu digitálneho eura v prvej polovici roku 2023 a následne </w:t>
      </w:r>
      <w:r w:rsidR="00A521A2">
        <w:rPr>
          <w:rFonts w:cs="Times New Roman"/>
          <w:szCs w:val="24"/>
        </w:rPr>
        <w:t xml:space="preserve">rozhodnúť o </w:t>
      </w:r>
      <w:r w:rsidRPr="00F32790">
        <w:rPr>
          <w:rFonts w:cs="Times New Roman"/>
          <w:szCs w:val="24"/>
        </w:rPr>
        <w:t>prikroč</w:t>
      </w:r>
      <w:r w:rsidR="00A521A2">
        <w:rPr>
          <w:rFonts w:cs="Times New Roman"/>
          <w:szCs w:val="24"/>
        </w:rPr>
        <w:t>ení</w:t>
      </w:r>
      <w:r w:rsidRPr="00F32790">
        <w:rPr>
          <w:rFonts w:cs="Times New Roman"/>
          <w:szCs w:val="24"/>
        </w:rPr>
        <w:t xml:space="preserve"> k jeho praktickému testovaniu. Zámerom tohto projektu je v konečnej fáze umiestniť do obehu v rámci eurosystému obmedzený objem digitálneho eura, ktoré bude fungovať ako alternatívny elektronický platobný prostriedok s cieľom posilnenia suverenity </w:t>
      </w:r>
      <w:r w:rsidRPr="00F32790">
        <w:rPr>
          <w:rFonts w:cs="Times New Roman"/>
          <w:szCs w:val="24"/>
        </w:rPr>
        <w:lastRenderedPageBreak/>
        <w:t>eurosystému v oblasti monetárnej politiky a zvýšenia konkurencieschopnosti a efektívnosti platieb v eurozóne/EÚ.</w:t>
      </w:r>
    </w:p>
    <w:p w14:paraId="5756FDD3" w14:textId="77777777" w:rsidR="00402840" w:rsidRPr="00F32790" w:rsidRDefault="00402840" w:rsidP="001734FE">
      <w:pPr>
        <w:spacing w:after="0" w:line="240" w:lineRule="auto"/>
        <w:rPr>
          <w:rFonts w:cs="Times New Roman"/>
          <w:szCs w:val="24"/>
        </w:rPr>
      </w:pPr>
    </w:p>
    <w:p w14:paraId="5DB35568" w14:textId="536122BC" w:rsidR="00402840" w:rsidRPr="00F32790" w:rsidRDefault="00402840" w:rsidP="001734FE">
      <w:pPr>
        <w:spacing w:after="0" w:line="240" w:lineRule="auto"/>
        <w:rPr>
          <w:rFonts w:cs="Times New Roman"/>
          <w:szCs w:val="24"/>
        </w:rPr>
      </w:pPr>
      <w:r w:rsidRPr="00F32790">
        <w:rPr>
          <w:rFonts w:cs="Times New Roman"/>
          <w:szCs w:val="24"/>
        </w:rPr>
        <w:t>V</w:t>
      </w:r>
      <w:r w:rsidR="006548BD" w:rsidRPr="00F32790">
        <w:rPr>
          <w:rFonts w:cs="Times New Roman"/>
          <w:szCs w:val="24"/>
        </w:rPr>
        <w:t xml:space="preserve"> prvej polovici roka 2022 </w:t>
      </w:r>
      <w:r w:rsidRPr="00F32790">
        <w:rPr>
          <w:rFonts w:cs="Times New Roman"/>
          <w:szCs w:val="24"/>
        </w:rPr>
        <w:t xml:space="preserve">sa podarilo </w:t>
      </w:r>
      <w:r w:rsidR="006548BD" w:rsidRPr="00F32790">
        <w:rPr>
          <w:rFonts w:cs="Times New Roman"/>
          <w:szCs w:val="24"/>
        </w:rPr>
        <w:t xml:space="preserve">dosiahnuť politickú dohodu k </w:t>
      </w:r>
      <w:r w:rsidR="006548BD" w:rsidRPr="00F32790">
        <w:rPr>
          <w:rFonts w:cs="Times New Roman"/>
          <w:b/>
          <w:szCs w:val="24"/>
        </w:rPr>
        <w:t>nariadeniu o digitálnej operatívnej odolnosti pre finančný sektor</w:t>
      </w:r>
      <w:r w:rsidR="006548BD" w:rsidRPr="00F32790">
        <w:rPr>
          <w:rFonts w:cs="Times New Roman"/>
          <w:szCs w:val="24"/>
        </w:rPr>
        <w:t xml:space="preserve"> (DORA)</w:t>
      </w:r>
      <w:r w:rsidR="005B1DCA">
        <w:rPr>
          <w:rStyle w:val="Odkaznapoznmkupodiarou"/>
          <w:szCs w:val="24"/>
        </w:rPr>
        <w:footnoteReference w:id="22"/>
      </w:r>
      <w:r w:rsidR="006548BD" w:rsidRPr="00F32790">
        <w:rPr>
          <w:rFonts w:cs="Times New Roman"/>
          <w:szCs w:val="24"/>
        </w:rPr>
        <w:t xml:space="preserve">, ktoré stanovuje požiadavky na bezpečnosť sieťových a informačných systémov spoločností pôsobiacich vo finančnom sektore. Na základe tohto nariadenia budú mať finančné inštitúcie povinnosť zabezpečiť odolnosť svojich systémov pred kybernetickými hrozbami a rizikami. </w:t>
      </w:r>
    </w:p>
    <w:p w14:paraId="19A0EF91" w14:textId="77777777" w:rsidR="00402840" w:rsidRPr="00F32790" w:rsidRDefault="00402840" w:rsidP="001734FE">
      <w:pPr>
        <w:spacing w:after="0" w:line="240" w:lineRule="auto"/>
        <w:rPr>
          <w:rFonts w:cs="Times New Roman"/>
          <w:szCs w:val="24"/>
        </w:rPr>
      </w:pPr>
    </w:p>
    <w:p w14:paraId="5227670F" w14:textId="43576C94" w:rsidR="00402840" w:rsidRPr="00F32790" w:rsidRDefault="006548BD" w:rsidP="001734FE">
      <w:pPr>
        <w:spacing w:after="0" w:line="240" w:lineRule="auto"/>
        <w:rPr>
          <w:rFonts w:cs="Times New Roman"/>
          <w:szCs w:val="24"/>
        </w:rPr>
      </w:pPr>
      <w:r w:rsidRPr="00F32790">
        <w:rPr>
          <w:rFonts w:cs="Times New Roman"/>
          <w:szCs w:val="24"/>
        </w:rPr>
        <w:t>V</w:t>
      </w:r>
      <w:r w:rsidR="00A521A2">
        <w:rPr>
          <w:rFonts w:cs="Times New Roman"/>
          <w:szCs w:val="24"/>
        </w:rPr>
        <w:t> prvej polovici</w:t>
      </w:r>
      <w:r w:rsidRPr="00F32790">
        <w:rPr>
          <w:rFonts w:cs="Times New Roman"/>
          <w:szCs w:val="24"/>
        </w:rPr>
        <w:t xml:space="preserve"> roka</w:t>
      </w:r>
      <w:r w:rsidR="000A046B" w:rsidRPr="00F32790">
        <w:rPr>
          <w:rFonts w:cs="Times New Roman"/>
          <w:szCs w:val="24"/>
        </w:rPr>
        <w:t xml:space="preserve"> 2022</w:t>
      </w:r>
      <w:r w:rsidRPr="00F32790">
        <w:rPr>
          <w:rFonts w:cs="Times New Roman"/>
          <w:szCs w:val="24"/>
        </w:rPr>
        <w:t xml:space="preserve"> sa </w:t>
      </w:r>
      <w:r w:rsidR="00A521A2">
        <w:rPr>
          <w:rFonts w:cs="Times New Roman"/>
          <w:szCs w:val="24"/>
        </w:rPr>
        <w:t>tiež</w:t>
      </w:r>
      <w:r w:rsidRPr="00F32790">
        <w:rPr>
          <w:rFonts w:cs="Times New Roman"/>
          <w:szCs w:val="24"/>
        </w:rPr>
        <w:t xml:space="preserve"> podarilo dosiahnuť </w:t>
      </w:r>
      <w:r w:rsidRPr="00B5189F">
        <w:rPr>
          <w:rFonts w:cs="Times New Roman"/>
          <w:b/>
          <w:szCs w:val="24"/>
        </w:rPr>
        <w:t xml:space="preserve">politickú dohodu k legislatívnemu návrhu </w:t>
      </w:r>
      <w:proofErr w:type="spellStart"/>
      <w:r w:rsidRPr="00B5189F">
        <w:rPr>
          <w:rFonts w:cs="Times New Roman"/>
          <w:b/>
          <w:szCs w:val="24"/>
        </w:rPr>
        <w:t>MiCA</w:t>
      </w:r>
      <w:proofErr w:type="spellEnd"/>
      <w:r w:rsidR="00B5189F">
        <w:rPr>
          <w:rStyle w:val="Odkaznapoznmkupodiarou"/>
          <w:b/>
          <w:szCs w:val="24"/>
        </w:rPr>
        <w:footnoteReference w:id="23"/>
      </w:r>
      <w:r w:rsidRPr="00F32790">
        <w:rPr>
          <w:rFonts w:cs="Times New Roman"/>
          <w:szCs w:val="24"/>
        </w:rPr>
        <w:t xml:space="preserve"> (nariadenie o trhoch s </w:t>
      </w:r>
      <w:proofErr w:type="spellStart"/>
      <w:r w:rsidRPr="00F32790">
        <w:rPr>
          <w:rFonts w:cs="Times New Roman"/>
          <w:szCs w:val="24"/>
        </w:rPr>
        <w:t>kryptoaktívami</w:t>
      </w:r>
      <w:proofErr w:type="spellEnd"/>
      <w:r w:rsidRPr="00F32790">
        <w:rPr>
          <w:rFonts w:cs="Times New Roman"/>
          <w:szCs w:val="24"/>
        </w:rPr>
        <w:t xml:space="preserve">), ktoré sa považuje za priekopnícku reguláciu </w:t>
      </w:r>
      <w:proofErr w:type="spellStart"/>
      <w:r w:rsidRPr="00F32790">
        <w:rPr>
          <w:rFonts w:cs="Times New Roman"/>
          <w:szCs w:val="24"/>
        </w:rPr>
        <w:t>kryptoaktív</w:t>
      </w:r>
      <w:proofErr w:type="spellEnd"/>
      <w:r w:rsidRPr="00F32790">
        <w:rPr>
          <w:rFonts w:cs="Times New Roman"/>
          <w:szCs w:val="24"/>
        </w:rPr>
        <w:t xml:space="preserve"> s cieľom harmonizovať ochranu investorov, posilniť finančnú stabilitu a podporiť inovácie a atraktívnosť sektora </w:t>
      </w:r>
      <w:proofErr w:type="spellStart"/>
      <w:r w:rsidRPr="00F32790">
        <w:rPr>
          <w:rFonts w:cs="Times New Roman"/>
          <w:szCs w:val="24"/>
        </w:rPr>
        <w:t>kryptoaktív</w:t>
      </w:r>
      <w:proofErr w:type="spellEnd"/>
      <w:r w:rsidRPr="00F32790">
        <w:rPr>
          <w:rFonts w:cs="Times New Roman"/>
          <w:szCs w:val="24"/>
        </w:rPr>
        <w:t xml:space="preserve">. Dôležitou súčasťou bol aj legislatívny návrh nariadenia o informáciách sprevádzajúcich prevod finančných prostriedkov a vybraných </w:t>
      </w:r>
      <w:proofErr w:type="spellStart"/>
      <w:r w:rsidRPr="00F32790">
        <w:rPr>
          <w:rFonts w:cs="Times New Roman"/>
          <w:szCs w:val="24"/>
        </w:rPr>
        <w:t>kryptoaktív</w:t>
      </w:r>
      <w:proofErr w:type="spellEnd"/>
      <w:r w:rsidRPr="00F32790">
        <w:rPr>
          <w:rFonts w:cs="Times New Roman"/>
          <w:szCs w:val="24"/>
        </w:rPr>
        <w:t xml:space="preserve"> (súčasť legislatívneho AML/CFT balíka)</w:t>
      </w:r>
      <w:r w:rsidR="00BB3668">
        <w:rPr>
          <w:rFonts w:cs="Times New Roman"/>
          <w:szCs w:val="24"/>
        </w:rPr>
        <w:t>,</w:t>
      </w:r>
      <w:r w:rsidRPr="00F32790">
        <w:rPr>
          <w:rFonts w:cs="Times New Roman"/>
          <w:szCs w:val="24"/>
        </w:rPr>
        <w:t xml:space="preserve"> ku kto</w:t>
      </w:r>
      <w:r w:rsidR="00687BC4">
        <w:rPr>
          <w:rFonts w:cs="Times New Roman"/>
          <w:szCs w:val="24"/>
        </w:rPr>
        <w:t xml:space="preserve">rému bola </w:t>
      </w:r>
      <w:r w:rsidR="00A521A2">
        <w:rPr>
          <w:rFonts w:cs="Times New Roman"/>
          <w:szCs w:val="24"/>
        </w:rPr>
        <w:t xml:space="preserve">v prvom </w:t>
      </w:r>
      <w:r w:rsidRPr="00F32790">
        <w:rPr>
          <w:rFonts w:cs="Times New Roman"/>
          <w:szCs w:val="24"/>
        </w:rPr>
        <w:t>polroku 2022 dosiahnutá politická dohoda.</w:t>
      </w:r>
    </w:p>
    <w:p w14:paraId="19C3FE26" w14:textId="77777777" w:rsidR="00402840" w:rsidRPr="00F32790" w:rsidRDefault="00402840" w:rsidP="001734FE">
      <w:pPr>
        <w:spacing w:after="0" w:line="240" w:lineRule="auto"/>
        <w:rPr>
          <w:rFonts w:cs="Times New Roman"/>
          <w:szCs w:val="24"/>
        </w:rPr>
      </w:pPr>
    </w:p>
    <w:p w14:paraId="7219FDE5" w14:textId="529D3718" w:rsidR="00EA04F5" w:rsidRDefault="006548BD" w:rsidP="001734FE">
      <w:pPr>
        <w:spacing w:after="0" w:line="240" w:lineRule="auto"/>
        <w:rPr>
          <w:rFonts w:cs="Times New Roman"/>
          <w:szCs w:val="24"/>
        </w:rPr>
      </w:pPr>
      <w:r w:rsidRPr="00F32790">
        <w:rPr>
          <w:rFonts w:cs="Times New Roman"/>
          <w:szCs w:val="24"/>
        </w:rPr>
        <w:t xml:space="preserve">V </w:t>
      </w:r>
      <w:r w:rsidRPr="00F32790">
        <w:rPr>
          <w:rFonts w:cs="Times New Roman"/>
          <w:b/>
          <w:szCs w:val="24"/>
        </w:rPr>
        <w:t>sektore kapitálového trhu</w:t>
      </w:r>
      <w:r w:rsidRPr="00F32790">
        <w:rPr>
          <w:rFonts w:cs="Times New Roman"/>
          <w:szCs w:val="24"/>
        </w:rPr>
        <w:t xml:space="preserve"> v roku 2022 pokračovali diskusie k prijímaniu opatrení na zatraktívnenie a zefektívnenie </w:t>
      </w:r>
      <w:r w:rsidR="00687BC4">
        <w:rPr>
          <w:rFonts w:cs="Times New Roman"/>
          <w:szCs w:val="24"/>
        </w:rPr>
        <w:t xml:space="preserve">kapitálových trhov EÚ v súlade s </w:t>
      </w:r>
      <w:r w:rsidRPr="00F32790">
        <w:rPr>
          <w:rFonts w:cs="Times New Roman"/>
          <w:szCs w:val="24"/>
        </w:rPr>
        <w:t>akčn</w:t>
      </w:r>
      <w:r w:rsidR="00687BC4">
        <w:rPr>
          <w:rFonts w:cs="Times New Roman"/>
          <w:szCs w:val="24"/>
        </w:rPr>
        <w:t>ým</w:t>
      </w:r>
      <w:r w:rsidRPr="00F32790">
        <w:rPr>
          <w:rFonts w:cs="Times New Roman"/>
          <w:szCs w:val="24"/>
        </w:rPr>
        <w:t xml:space="preserve"> plán</w:t>
      </w:r>
      <w:r w:rsidR="00687BC4">
        <w:rPr>
          <w:rFonts w:cs="Times New Roman"/>
          <w:szCs w:val="24"/>
        </w:rPr>
        <w:t>om</w:t>
      </w:r>
      <w:r w:rsidRPr="00F32790">
        <w:rPr>
          <w:rFonts w:cs="Times New Roman"/>
          <w:szCs w:val="24"/>
        </w:rPr>
        <w:t xml:space="preserve"> „Únia kapitálových trhov pre ľudí a podniky – nový akčný plán“ zo septembra 2020 s cieľom zlepšenia možností financovania pre malé a stredné podniky, ktoré tvoria základný pilier ekonomík členských štátov EÚ. V decembri 2022 </w:t>
      </w:r>
      <w:r w:rsidR="008C1099">
        <w:rPr>
          <w:rFonts w:cs="Times New Roman"/>
          <w:szCs w:val="24"/>
        </w:rPr>
        <w:t>EK</w:t>
      </w:r>
      <w:r w:rsidR="008C1099" w:rsidRPr="00F32790">
        <w:rPr>
          <w:rFonts w:cs="Times New Roman"/>
          <w:szCs w:val="24"/>
        </w:rPr>
        <w:t xml:space="preserve"> </w:t>
      </w:r>
      <w:r w:rsidRPr="00F32790">
        <w:rPr>
          <w:rFonts w:cs="Times New Roman"/>
          <w:szCs w:val="24"/>
        </w:rPr>
        <w:t>zverejnila ďalší balík legislatívnych opatrení Únie kapitálových trhov predstavujúci ďalší krok k implementácii predmetného akčného plánu. Balík opatrení sleduje tri hlavné ciele -  posilnenie zúčtovacieho systému EÚ, zatraktívnenie kapitálových trhov EÚ a odstránenie jednej z kľúčových prekážok voľného pohybu kapitálu, ktorou je nedostatočná harmonizácia konkurzného práva.“</w:t>
      </w:r>
    </w:p>
    <w:p w14:paraId="4A53B75C" w14:textId="4C25FD42" w:rsidR="00687BC4" w:rsidRDefault="00687BC4" w:rsidP="001734FE">
      <w:pPr>
        <w:spacing w:after="0" w:line="240" w:lineRule="auto"/>
        <w:rPr>
          <w:rFonts w:cs="Times New Roman"/>
          <w:szCs w:val="24"/>
        </w:rPr>
      </w:pPr>
    </w:p>
    <w:p w14:paraId="07F02622" w14:textId="0CF179DD" w:rsidR="00687BC4" w:rsidRDefault="00687BC4" w:rsidP="00687BC4">
      <w:pPr>
        <w:spacing w:after="0" w:line="240" w:lineRule="auto"/>
        <w:rPr>
          <w:rFonts w:cs="Times New Roman"/>
          <w:szCs w:val="24"/>
        </w:rPr>
      </w:pPr>
      <w:r>
        <w:rPr>
          <w:rFonts w:cs="Times New Roman"/>
          <w:szCs w:val="24"/>
        </w:rPr>
        <w:t>V </w:t>
      </w:r>
      <w:r w:rsidRPr="009B32F0">
        <w:rPr>
          <w:rFonts w:cs="Times New Roman"/>
          <w:b/>
          <w:szCs w:val="24"/>
        </w:rPr>
        <w:t>sektore poisťovníctva</w:t>
      </w:r>
      <w:r>
        <w:rPr>
          <w:rFonts w:cs="Times New Roman"/>
          <w:szCs w:val="24"/>
        </w:rPr>
        <w:t xml:space="preserve"> sa v priebehu roka 2022 podarilo dosiahnuť </w:t>
      </w:r>
      <w:r w:rsidRPr="00687BC4">
        <w:rPr>
          <w:rFonts w:cs="Times New Roman"/>
          <w:szCs w:val="24"/>
        </w:rPr>
        <w:t>politickú dohodu</w:t>
      </w:r>
      <w:r>
        <w:rPr>
          <w:rFonts w:cs="Times New Roman"/>
          <w:b/>
          <w:szCs w:val="24"/>
        </w:rPr>
        <w:t xml:space="preserve"> k návrhu smernice </w:t>
      </w:r>
      <w:r w:rsidRPr="009B32F0">
        <w:rPr>
          <w:rFonts w:cs="Times New Roman"/>
          <w:b/>
          <w:szCs w:val="24"/>
        </w:rPr>
        <w:t>novelizujúcej smernicu Solventnosť II</w:t>
      </w:r>
      <w:r>
        <w:rPr>
          <w:rFonts w:cs="Times New Roman"/>
          <w:szCs w:val="24"/>
        </w:rPr>
        <w:t xml:space="preserve"> </w:t>
      </w:r>
      <w:r w:rsidRPr="009B32F0">
        <w:rPr>
          <w:rFonts w:cs="Times New Roman"/>
          <w:szCs w:val="24"/>
        </w:rPr>
        <w:t>(rámcová smernica upravujúca sektor poisťovníctva)</w:t>
      </w:r>
      <w:r>
        <w:rPr>
          <w:rFonts w:cs="Times New Roman"/>
          <w:szCs w:val="24"/>
        </w:rPr>
        <w:t xml:space="preserve"> ako aj k </w:t>
      </w:r>
      <w:r w:rsidRPr="00687BC4">
        <w:rPr>
          <w:rFonts w:cs="Times New Roman"/>
          <w:szCs w:val="24"/>
        </w:rPr>
        <w:t>návrhu smernice</w:t>
      </w:r>
      <w:r w:rsidRPr="009B32F0">
        <w:rPr>
          <w:rFonts w:cs="Times New Roman"/>
          <w:szCs w:val="24"/>
        </w:rPr>
        <w:t xml:space="preserve">, ktorou sa stanovuje </w:t>
      </w:r>
      <w:r w:rsidRPr="00687BC4">
        <w:rPr>
          <w:rFonts w:cs="Times New Roman"/>
          <w:szCs w:val="24"/>
        </w:rPr>
        <w:t xml:space="preserve">rámec pre ozdravenie </w:t>
      </w:r>
      <w:r w:rsidR="008E6BE5">
        <w:rPr>
          <w:rFonts w:cs="Times New Roman"/>
          <w:szCs w:val="24"/>
        </w:rPr>
        <w:br/>
      </w:r>
      <w:r w:rsidRPr="00687BC4">
        <w:rPr>
          <w:rFonts w:cs="Times New Roman"/>
          <w:szCs w:val="24"/>
        </w:rPr>
        <w:t>a riešenie krízových situácií poisťovní</w:t>
      </w:r>
      <w:r w:rsidRPr="009B32F0">
        <w:rPr>
          <w:rFonts w:cs="Times New Roman"/>
          <w:szCs w:val="24"/>
        </w:rPr>
        <w:t xml:space="preserve"> a zaisťovní (</w:t>
      </w:r>
      <w:r>
        <w:rPr>
          <w:rFonts w:cs="Times New Roman"/>
          <w:szCs w:val="24"/>
        </w:rPr>
        <w:t>ďalej „</w:t>
      </w:r>
      <w:r w:rsidRPr="009B32F0">
        <w:rPr>
          <w:rFonts w:cs="Times New Roman"/>
          <w:szCs w:val="24"/>
        </w:rPr>
        <w:t>IRRD</w:t>
      </w:r>
      <w:r>
        <w:rPr>
          <w:rFonts w:cs="Times New Roman"/>
          <w:szCs w:val="24"/>
        </w:rPr>
        <w:t>“</w:t>
      </w:r>
      <w:r w:rsidRPr="009B32F0">
        <w:rPr>
          <w:rFonts w:cs="Times New Roman"/>
          <w:szCs w:val="24"/>
        </w:rPr>
        <w:t>). Cieľom</w:t>
      </w:r>
      <w:r>
        <w:rPr>
          <w:rFonts w:cs="Times New Roman"/>
          <w:szCs w:val="24"/>
        </w:rPr>
        <w:t xml:space="preserve"> predmetného</w:t>
      </w:r>
      <w:r w:rsidRPr="009B32F0">
        <w:rPr>
          <w:rFonts w:cs="Times New Roman"/>
          <w:szCs w:val="24"/>
        </w:rPr>
        <w:t xml:space="preserve"> návrhu je zavedenie komplexného rámca pre ozdravenie a riešenie krízových situácií poisťovní a zaisťovní obdobne ako je tomu v bankovom sektore (</w:t>
      </w:r>
      <w:r>
        <w:rPr>
          <w:rFonts w:cs="Times New Roman"/>
          <w:szCs w:val="24"/>
        </w:rPr>
        <w:t>ďalej „</w:t>
      </w:r>
      <w:r w:rsidRPr="009B32F0">
        <w:rPr>
          <w:rFonts w:cs="Times New Roman"/>
          <w:szCs w:val="24"/>
        </w:rPr>
        <w:t>BRRD</w:t>
      </w:r>
      <w:r>
        <w:rPr>
          <w:rFonts w:cs="Times New Roman"/>
          <w:szCs w:val="24"/>
        </w:rPr>
        <w:t>“</w:t>
      </w:r>
      <w:r w:rsidRPr="009B32F0">
        <w:rPr>
          <w:rFonts w:cs="Times New Roman"/>
          <w:szCs w:val="24"/>
        </w:rPr>
        <w:t>).</w:t>
      </w:r>
    </w:p>
    <w:p w14:paraId="22F39F73" w14:textId="77777777" w:rsidR="00687BC4" w:rsidRDefault="00687BC4" w:rsidP="00687BC4">
      <w:pPr>
        <w:spacing w:after="0" w:line="240" w:lineRule="auto"/>
        <w:rPr>
          <w:rFonts w:cs="Times New Roman"/>
          <w:szCs w:val="24"/>
        </w:rPr>
      </w:pPr>
    </w:p>
    <w:p w14:paraId="5614B1B8" w14:textId="142B1373" w:rsidR="007F0039" w:rsidRPr="00F32790" w:rsidRDefault="001D04F6" w:rsidP="001734FE">
      <w:pPr>
        <w:spacing w:after="0" w:line="240" w:lineRule="auto"/>
        <w:rPr>
          <w:rFonts w:cs="Times New Roman"/>
          <w:szCs w:val="24"/>
        </w:rPr>
      </w:pPr>
      <w:r w:rsidRPr="00F32790">
        <w:rPr>
          <w:rFonts w:cs="Times New Roman"/>
          <w:szCs w:val="24"/>
        </w:rPr>
        <w:t xml:space="preserve">Rok 2022 priniesol </w:t>
      </w:r>
      <w:r w:rsidRPr="00F32790">
        <w:rPr>
          <w:rFonts w:cs="Times New Roman"/>
          <w:b/>
          <w:szCs w:val="24"/>
        </w:rPr>
        <w:t>pre sektor energetiky a energetickú politiku EÚ</w:t>
      </w:r>
      <w:r w:rsidRPr="00F32790">
        <w:rPr>
          <w:rFonts w:cs="Times New Roman"/>
          <w:szCs w:val="24"/>
        </w:rPr>
        <w:t xml:space="preserve"> bezprecedentné výzvy z pohľadu bezpečnosti dodávok, keď sa Ruská federácia rozhodla využívať dodávky energetických surovín a najmä plynu ako geopolitickú zbraň, ako aj z pohľadu cenovej dostupnosti energie, keď podniky a domácnosti v EÚ boli a naďalej sú vystavené </w:t>
      </w:r>
      <w:r w:rsidRPr="00B36548">
        <w:rPr>
          <w:rFonts w:cs="Times New Roman"/>
          <w:szCs w:val="24"/>
        </w:rPr>
        <w:t>historicky vysokým cenám elektriny a plynu</w:t>
      </w:r>
      <w:r w:rsidRPr="00F32790">
        <w:rPr>
          <w:rFonts w:cs="Times New Roman"/>
          <w:szCs w:val="24"/>
        </w:rPr>
        <w:t xml:space="preserve">. EÚ </w:t>
      </w:r>
      <w:r w:rsidR="00881DE8">
        <w:rPr>
          <w:rFonts w:cs="Times New Roman"/>
          <w:szCs w:val="24"/>
        </w:rPr>
        <w:t>bola</w:t>
      </w:r>
      <w:r w:rsidRPr="00F32790">
        <w:rPr>
          <w:rFonts w:cs="Times New Roman"/>
          <w:szCs w:val="24"/>
        </w:rPr>
        <w:t xml:space="preserve"> postavená pred výzvu ako skĺbiť politiky zamerané na energetickú transformáciu smerom ku klimatickej neutralite a zároveň zabezpečiť dodávky energie za dostupné ceny. </w:t>
      </w:r>
    </w:p>
    <w:p w14:paraId="3F407C00" w14:textId="77777777" w:rsidR="007F0039" w:rsidRPr="00F32790" w:rsidRDefault="007F0039" w:rsidP="001734FE">
      <w:pPr>
        <w:spacing w:after="0" w:line="240" w:lineRule="auto"/>
        <w:rPr>
          <w:rFonts w:cs="Times New Roman"/>
          <w:szCs w:val="24"/>
        </w:rPr>
      </w:pPr>
    </w:p>
    <w:p w14:paraId="5B1DB4B7" w14:textId="5A3FE591" w:rsidR="007F0039" w:rsidRPr="00F32790" w:rsidRDefault="000E5178" w:rsidP="00881DE8">
      <w:pPr>
        <w:spacing w:after="0" w:line="240" w:lineRule="auto"/>
        <w:rPr>
          <w:rFonts w:cs="Times New Roman"/>
          <w:szCs w:val="24"/>
        </w:rPr>
      </w:pPr>
      <w:r w:rsidRPr="00F32790">
        <w:rPr>
          <w:rFonts w:cs="Times New Roman"/>
          <w:szCs w:val="24"/>
        </w:rPr>
        <w:t xml:space="preserve">Na </w:t>
      </w:r>
      <w:r w:rsidRPr="00F32790">
        <w:rPr>
          <w:rFonts w:cs="Times New Roman"/>
          <w:color w:val="050505"/>
          <w:szCs w:val="24"/>
        </w:rPr>
        <w:t>zasadnutí Rady</w:t>
      </w:r>
      <w:r w:rsidR="00006427">
        <w:rPr>
          <w:rFonts w:cs="Times New Roman"/>
          <w:color w:val="050505"/>
          <w:szCs w:val="24"/>
        </w:rPr>
        <w:t xml:space="preserve"> EÚ</w:t>
      </w:r>
      <w:r w:rsidRPr="00F32790">
        <w:rPr>
          <w:rFonts w:cs="Times New Roman"/>
          <w:color w:val="050505"/>
          <w:szCs w:val="24"/>
        </w:rPr>
        <w:t xml:space="preserve"> pre dopravu, telekomunikácie a energetiku dňa 19.12.</w:t>
      </w:r>
      <w:r w:rsidR="00881DE8">
        <w:rPr>
          <w:rFonts w:cs="Times New Roman"/>
          <w:color w:val="050505"/>
          <w:szCs w:val="24"/>
        </w:rPr>
        <w:t xml:space="preserve">2022 </w:t>
      </w:r>
      <w:r w:rsidRPr="00F32790">
        <w:rPr>
          <w:rFonts w:cs="Times New Roman"/>
          <w:color w:val="050505"/>
          <w:szCs w:val="24"/>
        </w:rPr>
        <w:t>sa podarilo dospieť k dohode o </w:t>
      </w:r>
      <w:proofErr w:type="spellStart"/>
      <w:r w:rsidRPr="00F32790">
        <w:rPr>
          <w:rFonts w:cs="Times New Roman"/>
          <w:b/>
          <w:color w:val="050505"/>
          <w:szCs w:val="24"/>
        </w:rPr>
        <w:t>zastropovaní</w:t>
      </w:r>
      <w:proofErr w:type="spellEnd"/>
      <w:r w:rsidRPr="00F32790">
        <w:rPr>
          <w:rFonts w:cs="Times New Roman"/>
          <w:b/>
          <w:color w:val="050505"/>
          <w:szCs w:val="24"/>
        </w:rPr>
        <w:t xml:space="preserve"> cien plynu</w:t>
      </w:r>
      <w:r w:rsidRPr="00F32790">
        <w:rPr>
          <w:rFonts w:cs="Times New Roman"/>
          <w:color w:val="050505"/>
          <w:szCs w:val="24"/>
        </w:rPr>
        <w:t xml:space="preserve">, ktoré SK dlhodobo presadzovalo. Ministri </w:t>
      </w:r>
      <w:r w:rsidRPr="00F32790">
        <w:rPr>
          <w:rFonts w:cs="Times New Roman"/>
          <w:color w:val="050505"/>
          <w:szCs w:val="24"/>
        </w:rPr>
        <w:lastRenderedPageBreak/>
        <w:t xml:space="preserve">členských štátov pre energetiku sa dohodli na vytvorení tzv. </w:t>
      </w:r>
      <w:r w:rsidRPr="00F32790">
        <w:rPr>
          <w:rFonts w:cs="Times New Roman"/>
          <w:b/>
          <w:color w:val="050505"/>
          <w:szCs w:val="24"/>
        </w:rPr>
        <w:t>trhového korekčného mechanizmu</w:t>
      </w:r>
      <w:r w:rsidRPr="00F32790">
        <w:rPr>
          <w:rFonts w:cs="Times New Roman"/>
          <w:color w:val="050505"/>
          <w:szCs w:val="24"/>
        </w:rPr>
        <w:t xml:space="preserve"> na ochranu občanov a hospodárstva pred nadmerne vysokými cenami, ktoré </w:t>
      </w:r>
      <w:r w:rsidR="00147C10">
        <w:rPr>
          <w:rFonts w:cs="Times New Roman"/>
          <w:color w:val="050505"/>
          <w:szCs w:val="24"/>
        </w:rPr>
        <w:t>SR</w:t>
      </w:r>
      <w:r w:rsidRPr="00F32790">
        <w:rPr>
          <w:rFonts w:cs="Times New Roman"/>
          <w:color w:val="050505"/>
          <w:szCs w:val="24"/>
        </w:rPr>
        <w:t xml:space="preserve"> od začiatku intenzívne presadzoval</w:t>
      </w:r>
      <w:r w:rsidR="00147C10">
        <w:rPr>
          <w:rFonts w:cs="Times New Roman"/>
          <w:color w:val="050505"/>
          <w:szCs w:val="24"/>
        </w:rPr>
        <w:t>a</w:t>
      </w:r>
      <w:r w:rsidRPr="00F32790">
        <w:rPr>
          <w:rFonts w:cs="Times New Roman"/>
          <w:color w:val="050505"/>
          <w:szCs w:val="24"/>
        </w:rPr>
        <w:t xml:space="preserve">. Dynamický cenový strop sa automaticky aktivuje, ak cena plynu prekročí 180 EUR za MWh na virtuálnom trhu TTF tri dni po sebe a zároveň rozdiel oproti priemernej svetovej cene LNG bude najmenej 35 EUR. Dynamický strop začne fungovať od 15.2.2023. Schválenie dohody k trhovému korekčnému mechanizmu zároveň viedlo k prijatiu zvyšných </w:t>
      </w:r>
      <w:r w:rsidRPr="00F32790">
        <w:rPr>
          <w:rFonts w:cs="Times New Roman"/>
          <w:b/>
          <w:color w:val="050505"/>
          <w:szCs w:val="24"/>
        </w:rPr>
        <w:t>2 návrhov núdzových nariadení</w:t>
      </w:r>
      <w:r w:rsidRPr="00F32790">
        <w:rPr>
          <w:rFonts w:cs="Times New Roman"/>
          <w:color w:val="050505"/>
          <w:szCs w:val="24"/>
        </w:rPr>
        <w:t xml:space="preserve">, ku ktorým bola prijatá politická dohoda na mimoriadnej Rade ministrov pre energetiku 24.11.2022. Ide o </w:t>
      </w:r>
      <w:r w:rsidRPr="00F32790">
        <w:rPr>
          <w:rFonts w:cs="Times New Roman"/>
          <w:b/>
          <w:color w:val="050505"/>
          <w:szCs w:val="24"/>
        </w:rPr>
        <w:t>Nariadenie o solidarite</w:t>
      </w:r>
      <w:r w:rsidRPr="00F32790">
        <w:rPr>
          <w:rFonts w:cs="Times New Roman"/>
          <w:color w:val="050505"/>
          <w:szCs w:val="24"/>
        </w:rPr>
        <w:t>, ktoré okrem iného rieši solidaritu medzi členskými štátmi EÚ pri dodávkach plynu v prípade núdzovej situácie s nedostatkom plynu v zimnom období a tiež spoločné nákupy plynu vo vykurovacej sezóne 2023/24 v minimálnom objeme 15 % objemu z cieľa naplnenia zásobníkov. Vďaka tomu, že bude EÚ nakupovať plyn spoločne</w:t>
      </w:r>
      <w:r w:rsidR="00BB3668">
        <w:rPr>
          <w:rFonts w:cs="Times New Roman"/>
          <w:color w:val="050505"/>
          <w:szCs w:val="24"/>
        </w:rPr>
        <w:t>,</w:t>
      </w:r>
      <w:r w:rsidRPr="00F32790">
        <w:rPr>
          <w:rFonts w:cs="Times New Roman"/>
          <w:color w:val="050505"/>
          <w:szCs w:val="24"/>
        </w:rPr>
        <w:t xml:space="preserve"> bude mať silnejšiu vyjednávaciu pozíciu, čo by malo prispieť k zvýšeniu efektivity a zabrániť ďalšiemu zvyšovaniu cien.</w:t>
      </w:r>
    </w:p>
    <w:p w14:paraId="618F23AF" w14:textId="77777777" w:rsidR="007F0039" w:rsidRPr="00F32790" w:rsidRDefault="007F0039" w:rsidP="001734FE">
      <w:pPr>
        <w:spacing w:after="0" w:line="240" w:lineRule="auto"/>
        <w:rPr>
          <w:rFonts w:cs="Times New Roman"/>
          <w:szCs w:val="24"/>
        </w:rPr>
      </w:pPr>
    </w:p>
    <w:p w14:paraId="3D08B35A" w14:textId="485AA774" w:rsidR="007F0039" w:rsidRPr="00F815CB" w:rsidRDefault="00F815CB" w:rsidP="00F815CB">
      <w:pPr>
        <w:spacing w:after="0" w:line="240" w:lineRule="auto"/>
        <w:rPr>
          <w:rFonts w:cs="Times New Roman"/>
          <w:szCs w:val="24"/>
        </w:rPr>
      </w:pPr>
      <w:r w:rsidRPr="00F815CB">
        <w:rPr>
          <w:rFonts w:cs="Times New Roman"/>
          <w:szCs w:val="24"/>
        </w:rPr>
        <w:t xml:space="preserve">Z pohľadu jadrovej energetiky, ale aj plynárenstva, bolo kľúčové schválenie doplňujúceho </w:t>
      </w:r>
      <w:r w:rsidRPr="00F815CB">
        <w:rPr>
          <w:rFonts w:cs="Times New Roman"/>
          <w:b/>
          <w:szCs w:val="24"/>
        </w:rPr>
        <w:t>delegovaného aktu k taxonómii</w:t>
      </w:r>
      <w:r w:rsidRPr="00F815CB">
        <w:rPr>
          <w:rFonts w:cs="Times New Roman"/>
          <w:szCs w:val="24"/>
        </w:rPr>
        <w:t xml:space="preserve"> počas júlového plenárneho zasadnutia Európskeho parlamentu, ktorý medzi udržateľné aktivity zaradil aj ekonomické činnosti súvisiace s jadrovou energetikou a využitím zemného plynu na výrobu elektriny a tepla, ktoré spĺňajú prísne technické kritériá. Okrem pokračujúcej diskusie k plynárenskému balíku bude v</w:t>
      </w:r>
      <w:r>
        <w:rPr>
          <w:rFonts w:cs="Times New Roman"/>
          <w:szCs w:val="24"/>
        </w:rPr>
        <w:t> </w:t>
      </w:r>
      <w:r w:rsidRPr="00F815CB">
        <w:rPr>
          <w:rFonts w:cs="Times New Roman"/>
          <w:szCs w:val="24"/>
        </w:rPr>
        <w:t>Rade</w:t>
      </w:r>
      <w:r>
        <w:rPr>
          <w:rFonts w:cs="Times New Roman"/>
          <w:szCs w:val="24"/>
        </w:rPr>
        <w:t xml:space="preserve"> EÚ</w:t>
      </w:r>
      <w:r w:rsidRPr="00F815CB">
        <w:rPr>
          <w:rFonts w:cs="Times New Roman"/>
          <w:szCs w:val="24"/>
        </w:rPr>
        <w:t xml:space="preserve"> dominovať diskusia o dlhodobej reforme trhu s elektrinou, ktorá by podľa SR mala priniesť benefity </w:t>
      </w:r>
      <w:proofErr w:type="spellStart"/>
      <w:r w:rsidRPr="00F815CB">
        <w:rPr>
          <w:rFonts w:cs="Times New Roman"/>
          <w:szCs w:val="24"/>
        </w:rPr>
        <w:t>nízkouhlíkového</w:t>
      </w:r>
      <w:proofErr w:type="spellEnd"/>
      <w:r w:rsidRPr="00F815CB">
        <w:rPr>
          <w:rFonts w:cs="Times New Roman"/>
          <w:szCs w:val="24"/>
        </w:rPr>
        <w:t xml:space="preserve"> mixu pre občanov SR a to aj cez oddelenie cien plynu a elektriny. </w:t>
      </w:r>
    </w:p>
    <w:p w14:paraId="21657F59" w14:textId="77777777" w:rsidR="00F815CB" w:rsidRPr="00F815CB" w:rsidRDefault="00F815CB" w:rsidP="00F815CB">
      <w:pPr>
        <w:spacing w:after="0" w:line="240" w:lineRule="auto"/>
        <w:rPr>
          <w:rFonts w:cs="Times New Roman"/>
          <w:szCs w:val="24"/>
        </w:rPr>
      </w:pPr>
    </w:p>
    <w:p w14:paraId="6AD50941" w14:textId="77777777" w:rsidR="001677AC" w:rsidRDefault="001D04F6" w:rsidP="001677AC">
      <w:pPr>
        <w:spacing w:after="0" w:line="240" w:lineRule="auto"/>
        <w:rPr>
          <w:rFonts w:cs="Times New Roman"/>
          <w:color w:val="auto"/>
          <w:szCs w:val="24"/>
        </w:rPr>
      </w:pPr>
      <w:r w:rsidRPr="00F32790">
        <w:rPr>
          <w:rFonts w:cs="Times New Roman"/>
          <w:color w:val="auto"/>
          <w:szCs w:val="24"/>
        </w:rPr>
        <w:t xml:space="preserve">SR pokračuje aj v presadzovaní </w:t>
      </w:r>
      <w:r w:rsidRPr="00F32790">
        <w:rPr>
          <w:rFonts w:cs="Times New Roman"/>
          <w:b/>
          <w:color w:val="auto"/>
          <w:szCs w:val="24"/>
        </w:rPr>
        <w:t>infraštruktúrnych projektov spoločného záujmu EÚ</w:t>
      </w:r>
      <w:r w:rsidRPr="00683C0C">
        <w:rPr>
          <w:rFonts w:cs="Times New Roman"/>
          <w:color w:val="auto"/>
          <w:szCs w:val="24"/>
        </w:rPr>
        <w:t xml:space="preserve"> (</w:t>
      </w:r>
      <w:r w:rsidR="00683C0C" w:rsidRPr="00683C0C">
        <w:rPr>
          <w:rFonts w:cs="Times New Roman"/>
          <w:color w:val="auto"/>
          <w:szCs w:val="24"/>
        </w:rPr>
        <w:t>ďalej „</w:t>
      </w:r>
      <w:r w:rsidRPr="00683C0C">
        <w:rPr>
          <w:rFonts w:cs="Times New Roman"/>
          <w:color w:val="auto"/>
          <w:szCs w:val="24"/>
        </w:rPr>
        <w:t>PCI</w:t>
      </w:r>
      <w:r w:rsidR="00683C0C" w:rsidRPr="00683C0C">
        <w:rPr>
          <w:rFonts w:cs="Times New Roman"/>
          <w:color w:val="auto"/>
          <w:szCs w:val="24"/>
        </w:rPr>
        <w:t>“</w:t>
      </w:r>
      <w:r w:rsidRPr="00683C0C">
        <w:rPr>
          <w:rFonts w:cs="Times New Roman"/>
          <w:color w:val="auto"/>
          <w:szCs w:val="24"/>
        </w:rPr>
        <w:t>)</w:t>
      </w:r>
      <w:r w:rsidRPr="00F32790">
        <w:rPr>
          <w:rFonts w:cs="Times New Roman"/>
          <w:color w:val="auto"/>
          <w:szCs w:val="24"/>
        </w:rPr>
        <w:t xml:space="preserve">, kde medzi PCI figurujú dva slovenské </w:t>
      </w:r>
      <w:proofErr w:type="spellStart"/>
      <w:r w:rsidRPr="00F32790">
        <w:rPr>
          <w:rFonts w:cs="Times New Roman"/>
          <w:color w:val="auto"/>
          <w:szCs w:val="24"/>
        </w:rPr>
        <w:t>smart-grid</w:t>
      </w:r>
      <w:proofErr w:type="spellEnd"/>
      <w:r w:rsidRPr="00F32790">
        <w:rPr>
          <w:rFonts w:cs="Times New Roman"/>
          <w:color w:val="auto"/>
          <w:szCs w:val="24"/>
        </w:rPr>
        <w:t xml:space="preserve"> projekty a posilnenie plynárenského prepojenia s HU. V novembri </w:t>
      </w:r>
      <w:r w:rsidR="00243E5E" w:rsidRPr="00F32790">
        <w:rPr>
          <w:rFonts w:cs="Times New Roman"/>
          <w:color w:val="auto"/>
          <w:szCs w:val="24"/>
        </w:rPr>
        <w:t xml:space="preserve">2022 </w:t>
      </w:r>
      <w:r w:rsidRPr="00F32790">
        <w:rPr>
          <w:rFonts w:cs="Times New Roman"/>
          <w:color w:val="auto"/>
          <w:szCs w:val="24"/>
        </w:rPr>
        <w:t>bolo do komerčnej prevádzky uvedené prepojenie prepravných plynárenských sietí s P</w:t>
      </w:r>
      <w:r w:rsidR="001677AC">
        <w:rPr>
          <w:rFonts w:cs="Times New Roman"/>
          <w:color w:val="auto"/>
          <w:szCs w:val="24"/>
        </w:rPr>
        <w:t>oľskom</w:t>
      </w:r>
      <w:r w:rsidRPr="00F32790">
        <w:rPr>
          <w:rFonts w:cs="Times New Roman"/>
          <w:color w:val="auto"/>
          <w:szCs w:val="24"/>
        </w:rPr>
        <w:t>, č</w:t>
      </w:r>
      <w:r w:rsidR="001677AC">
        <w:rPr>
          <w:rFonts w:cs="Times New Roman"/>
          <w:color w:val="auto"/>
          <w:szCs w:val="24"/>
        </w:rPr>
        <w:t>í</w:t>
      </w:r>
      <w:r w:rsidRPr="00F32790">
        <w:rPr>
          <w:rFonts w:cs="Times New Roman"/>
          <w:color w:val="auto"/>
          <w:szCs w:val="24"/>
        </w:rPr>
        <w:t xml:space="preserve">m </w:t>
      </w:r>
      <w:r w:rsidR="001677AC">
        <w:rPr>
          <w:rFonts w:cs="Times New Roman"/>
          <w:color w:val="auto"/>
          <w:szCs w:val="24"/>
        </w:rPr>
        <w:t xml:space="preserve">sa </w:t>
      </w:r>
      <w:r w:rsidRPr="00F32790">
        <w:rPr>
          <w:rFonts w:cs="Times New Roman"/>
          <w:color w:val="auto"/>
          <w:szCs w:val="24"/>
        </w:rPr>
        <w:t xml:space="preserve">SR </w:t>
      </w:r>
      <w:r w:rsidR="001677AC">
        <w:rPr>
          <w:rFonts w:cs="Times New Roman"/>
          <w:color w:val="auto"/>
          <w:szCs w:val="24"/>
        </w:rPr>
        <w:t xml:space="preserve">stala </w:t>
      </w:r>
      <w:r w:rsidRPr="00F32790">
        <w:rPr>
          <w:rFonts w:cs="Times New Roman"/>
          <w:color w:val="auto"/>
          <w:szCs w:val="24"/>
        </w:rPr>
        <w:t xml:space="preserve">prepojená so všetkými susednými štátmi. SR plní zásobníky plynu podľa požiadaviek EÚ a dodávatelia postupne </w:t>
      </w:r>
      <w:proofErr w:type="spellStart"/>
      <w:r w:rsidRPr="00F32790">
        <w:rPr>
          <w:rFonts w:cs="Times New Roman"/>
          <w:color w:val="auto"/>
          <w:szCs w:val="24"/>
        </w:rPr>
        <w:t>diverzifikujú</w:t>
      </w:r>
      <w:proofErr w:type="spellEnd"/>
      <w:r w:rsidRPr="00F32790">
        <w:rPr>
          <w:rFonts w:cs="Times New Roman"/>
          <w:color w:val="auto"/>
          <w:szCs w:val="24"/>
        </w:rPr>
        <w:t xml:space="preserve"> zdroje. Výzvou do budúcnosti zostáva zabezpečenie diverzifikovaných zdrojov plynu na globálnom trhu, kde je možné nadviazať na úspešnú náhradu dodávok ruského plynu do SR dovozmi  LNG z rôznych zdrojov a smerov a tiež nórskym potrubným plynom. EÚ v priebehu roku 2022 znížila podiel ruského </w:t>
      </w:r>
      <w:r w:rsidR="001677AC">
        <w:rPr>
          <w:rFonts w:cs="Times New Roman"/>
          <w:color w:val="auto"/>
          <w:szCs w:val="24"/>
        </w:rPr>
        <w:t xml:space="preserve">potrebného </w:t>
      </w:r>
      <w:r w:rsidRPr="00F32790">
        <w:rPr>
          <w:rFonts w:cs="Times New Roman"/>
          <w:color w:val="auto"/>
          <w:szCs w:val="24"/>
        </w:rPr>
        <w:t>plynu na dodávkach do EÚ z</w:t>
      </w:r>
      <w:r w:rsidR="00BB3668">
        <w:rPr>
          <w:rFonts w:cs="Times New Roman"/>
          <w:color w:val="auto"/>
          <w:szCs w:val="24"/>
        </w:rPr>
        <w:t>o</w:t>
      </w:r>
      <w:r w:rsidRPr="00F32790">
        <w:rPr>
          <w:rFonts w:cs="Times New Roman"/>
          <w:color w:val="auto"/>
          <w:szCs w:val="24"/>
        </w:rPr>
        <w:t> 40% na 9% a k ďalšej diverzifikácii by mali prispieť spoločné nákupy plynu cez EÚ energetickú platformu, kde sa bude SR aktívne angažovať</w:t>
      </w:r>
      <w:r w:rsidR="001677AC">
        <w:rPr>
          <w:rFonts w:cs="Times New Roman"/>
          <w:color w:val="auto"/>
          <w:szCs w:val="24"/>
        </w:rPr>
        <w:t>.</w:t>
      </w:r>
    </w:p>
    <w:p w14:paraId="3F50AE23" w14:textId="77777777" w:rsidR="001677AC" w:rsidRDefault="001677AC" w:rsidP="00683C0C">
      <w:pPr>
        <w:spacing w:after="0" w:line="240" w:lineRule="auto"/>
        <w:rPr>
          <w:rFonts w:cs="Times New Roman"/>
          <w:color w:val="auto"/>
          <w:szCs w:val="24"/>
        </w:rPr>
      </w:pPr>
    </w:p>
    <w:p w14:paraId="4F103AA4" w14:textId="486E154C" w:rsidR="003A425F" w:rsidRPr="00F32790" w:rsidRDefault="00CC5C20" w:rsidP="001677AC">
      <w:pPr>
        <w:spacing w:after="0" w:line="240" w:lineRule="auto"/>
        <w:rPr>
          <w:rFonts w:cs="Times New Roman"/>
          <w:color w:val="000000" w:themeColor="text1"/>
          <w:szCs w:val="24"/>
          <w:shd w:val="clear" w:color="auto" w:fill="FFFFFF"/>
        </w:rPr>
      </w:pPr>
      <w:r w:rsidRPr="00F32790">
        <w:rPr>
          <w:rFonts w:cs="Times New Roman"/>
          <w:szCs w:val="24"/>
        </w:rPr>
        <w:t>Z</w:t>
      </w:r>
      <w:r w:rsidR="003A425F" w:rsidRPr="00F32790">
        <w:rPr>
          <w:rFonts w:cs="Times New Roman"/>
          <w:szCs w:val="24"/>
        </w:rPr>
        <w:t xml:space="preserve"> pohľadu </w:t>
      </w:r>
      <w:r w:rsidR="003A425F" w:rsidRPr="00F32790">
        <w:rPr>
          <w:rFonts w:cs="Times New Roman"/>
          <w:b/>
          <w:szCs w:val="24"/>
        </w:rPr>
        <w:t>jadrovej bezpečnosti</w:t>
      </w:r>
      <w:r w:rsidR="003A425F" w:rsidRPr="00F32790">
        <w:rPr>
          <w:rFonts w:cs="Times New Roman"/>
          <w:szCs w:val="24"/>
        </w:rPr>
        <w:t xml:space="preserve"> </w:t>
      </w:r>
      <w:r w:rsidRPr="00F32790">
        <w:rPr>
          <w:rFonts w:cs="Times New Roman"/>
          <w:szCs w:val="24"/>
        </w:rPr>
        <w:t>boli aktivity pracovnej</w:t>
      </w:r>
      <w:r w:rsidR="003A425F" w:rsidRPr="00F32790">
        <w:rPr>
          <w:rFonts w:cs="Times New Roman"/>
          <w:szCs w:val="24"/>
        </w:rPr>
        <w:t xml:space="preserve"> skupin</w:t>
      </w:r>
      <w:r w:rsidRPr="00F32790">
        <w:rPr>
          <w:rFonts w:cs="Times New Roman"/>
          <w:szCs w:val="24"/>
        </w:rPr>
        <w:t>y</w:t>
      </w:r>
      <w:r w:rsidR="003A425F" w:rsidRPr="00F32790">
        <w:rPr>
          <w:rFonts w:cs="Times New Roman"/>
          <w:szCs w:val="24"/>
        </w:rPr>
        <w:t xml:space="preserve"> pre atómové otázky </w:t>
      </w:r>
      <w:r w:rsidR="003A425F" w:rsidRPr="00F32790">
        <w:rPr>
          <w:rFonts w:cs="Times New Roman"/>
          <w:bCs/>
          <w:iCs/>
          <w:szCs w:val="24"/>
        </w:rPr>
        <w:t xml:space="preserve">poznačené </w:t>
      </w:r>
      <w:r w:rsidR="003A425F" w:rsidRPr="001677AC">
        <w:rPr>
          <w:rFonts w:cs="Times New Roman"/>
          <w:szCs w:val="24"/>
        </w:rPr>
        <w:t>ozbrojeným konfliktom na Ukrajine</w:t>
      </w:r>
      <w:r w:rsidR="003A425F" w:rsidRPr="00F32790">
        <w:rPr>
          <w:rFonts w:cs="Times New Roman"/>
          <w:szCs w:val="24"/>
        </w:rPr>
        <w:t>.</w:t>
      </w:r>
      <w:r w:rsidR="003A425F" w:rsidRPr="00F32790">
        <w:rPr>
          <w:rFonts w:cs="Times New Roman"/>
          <w:bCs/>
          <w:iCs/>
          <w:szCs w:val="24"/>
        </w:rPr>
        <w:t xml:space="preserve"> </w:t>
      </w:r>
      <w:r w:rsidR="003A425F" w:rsidRPr="00F32790">
        <w:rPr>
          <w:rFonts w:cs="Times New Roman"/>
          <w:szCs w:val="24"/>
        </w:rPr>
        <w:t>S cieľom vyhodnotiť riziko vyplývajúce z vojensk</w:t>
      </w:r>
      <w:r w:rsidR="00BB3668">
        <w:rPr>
          <w:rFonts w:cs="Times New Roman"/>
          <w:szCs w:val="24"/>
        </w:rPr>
        <w:t>ej</w:t>
      </w:r>
      <w:r w:rsidR="003A425F" w:rsidRPr="00F32790">
        <w:rPr>
          <w:rFonts w:cs="Times New Roman"/>
          <w:szCs w:val="24"/>
        </w:rPr>
        <w:t xml:space="preserve"> agresie Ruska na miestach a v blízkosti jadrových zariadení na Ukrajine, sa od februára 2022 priebežne konali mimoriadne</w:t>
      </w:r>
      <w:r w:rsidR="00683C0C">
        <w:rPr>
          <w:rFonts w:cs="Times New Roman"/>
          <w:szCs w:val="24"/>
        </w:rPr>
        <w:t xml:space="preserve"> </w:t>
      </w:r>
      <w:r w:rsidR="003A425F" w:rsidRPr="00F32790">
        <w:rPr>
          <w:rFonts w:cs="Times New Roman"/>
          <w:szCs w:val="24"/>
        </w:rPr>
        <w:t xml:space="preserve">zasadnutia </w:t>
      </w:r>
      <w:r w:rsidR="003A425F" w:rsidRPr="00F32790">
        <w:rPr>
          <w:rFonts w:cs="Times New Roman"/>
          <w:b/>
          <w:color w:val="0B0C0C"/>
          <w:szCs w:val="24"/>
        </w:rPr>
        <w:t xml:space="preserve">Európskej skupiny dozorov pre jadrovú bezpečnosť </w:t>
      </w:r>
      <w:r w:rsidR="003A425F" w:rsidRPr="00683C0C">
        <w:rPr>
          <w:rFonts w:cs="Times New Roman"/>
          <w:color w:val="0B0C0C"/>
          <w:szCs w:val="24"/>
        </w:rPr>
        <w:t>(</w:t>
      </w:r>
      <w:r w:rsidR="00683C0C" w:rsidRPr="00683C0C">
        <w:rPr>
          <w:rFonts w:cs="Times New Roman"/>
          <w:color w:val="0B0C0C"/>
          <w:szCs w:val="24"/>
        </w:rPr>
        <w:t>ďalej „</w:t>
      </w:r>
      <w:r w:rsidR="003A425F" w:rsidRPr="00683C0C">
        <w:rPr>
          <w:rFonts w:cs="Times New Roman"/>
          <w:color w:val="0B0C0C"/>
          <w:szCs w:val="24"/>
        </w:rPr>
        <w:t>ENSREG</w:t>
      </w:r>
      <w:r w:rsidR="00683C0C" w:rsidRPr="00683C0C">
        <w:rPr>
          <w:rFonts w:cs="Times New Roman"/>
          <w:color w:val="0B0C0C"/>
          <w:szCs w:val="24"/>
        </w:rPr>
        <w:t>“</w:t>
      </w:r>
      <w:r w:rsidR="003A425F" w:rsidRPr="00683C0C">
        <w:rPr>
          <w:rFonts w:cs="Times New Roman"/>
          <w:color w:val="0B0C0C"/>
          <w:szCs w:val="24"/>
        </w:rPr>
        <w:t>)</w:t>
      </w:r>
      <w:r w:rsidR="00F43B61">
        <w:rPr>
          <w:rFonts w:cs="Times New Roman"/>
          <w:szCs w:val="24"/>
        </w:rPr>
        <w:t>.</w:t>
      </w:r>
      <w:r w:rsidR="003A425F" w:rsidRPr="00F32790">
        <w:rPr>
          <w:rFonts w:cs="Times New Roman"/>
          <w:b/>
          <w:szCs w:val="24"/>
        </w:rPr>
        <w:t xml:space="preserve"> </w:t>
      </w:r>
      <w:r w:rsidR="003A425F" w:rsidRPr="00F32790">
        <w:rPr>
          <w:rFonts w:cs="Times New Roman"/>
          <w:szCs w:val="24"/>
        </w:rPr>
        <w:t xml:space="preserve">ENSREG zverejnil viaceré vyhlásenia o bezpečnosti jadrových zariadení na Ukrajine a vytvoril stálu technickú skupinu </w:t>
      </w:r>
      <w:bookmarkStart w:id="5" w:name="_Hlk121407662"/>
      <w:r w:rsidR="003A425F" w:rsidRPr="00F32790">
        <w:rPr>
          <w:rFonts w:cs="Times New Roman"/>
          <w:szCs w:val="24"/>
        </w:rPr>
        <w:t>na kontinuálne posudzovanie vývoja v danej veci</w:t>
      </w:r>
      <w:bookmarkEnd w:id="5"/>
      <w:r w:rsidR="003A425F" w:rsidRPr="00F32790">
        <w:rPr>
          <w:rFonts w:cs="Times New Roman"/>
          <w:szCs w:val="24"/>
        </w:rPr>
        <w:t>. Priebežne sa v</w:t>
      </w:r>
      <w:r w:rsidR="003A425F" w:rsidRPr="00F32790">
        <w:rPr>
          <w:rFonts w:cs="Times New Roman"/>
          <w:color w:val="0B0C0C"/>
          <w:szCs w:val="24"/>
          <w:shd w:val="clear" w:color="auto" w:fill="FFFFFF"/>
        </w:rPr>
        <w:t xml:space="preserve">yhodnocovala jadrová bezpečnosť v ukrajinských jadrových zariadeniach, najmä možné </w:t>
      </w:r>
      <w:r w:rsidR="003A425F" w:rsidRPr="00F32790">
        <w:rPr>
          <w:rFonts w:cs="Times New Roman"/>
          <w:color w:val="000000" w:themeColor="text1"/>
          <w:szCs w:val="24"/>
          <w:shd w:val="clear" w:color="auto" w:fill="FFFFFF"/>
        </w:rPr>
        <w:t>následky ostreľovania Záporožskej jadrovej elektrárne</w:t>
      </w:r>
      <w:r w:rsidR="003A425F" w:rsidRPr="00F32790">
        <w:rPr>
          <w:rFonts w:cs="Times New Roman"/>
          <w:b/>
          <w:color w:val="000000" w:themeColor="text1"/>
          <w:szCs w:val="24"/>
          <w:shd w:val="clear" w:color="auto" w:fill="FFFFFF"/>
        </w:rPr>
        <w:t>.</w:t>
      </w:r>
      <w:r w:rsidR="003A425F" w:rsidRPr="00F32790">
        <w:rPr>
          <w:rFonts w:cs="Times New Roman"/>
          <w:color w:val="000000" w:themeColor="text1"/>
          <w:szCs w:val="24"/>
          <w:shd w:val="clear" w:color="auto" w:fill="FFFFFF"/>
        </w:rPr>
        <w:t xml:space="preserve"> V novembri </w:t>
      </w:r>
      <w:r w:rsidR="00683C0C">
        <w:rPr>
          <w:rFonts w:cs="Times New Roman"/>
          <w:color w:val="000000" w:themeColor="text1"/>
          <w:szCs w:val="24"/>
          <w:shd w:val="clear" w:color="auto" w:fill="FFFFFF"/>
        </w:rPr>
        <w:t xml:space="preserve">2022 </w:t>
      </w:r>
      <w:r w:rsidR="003A425F" w:rsidRPr="00F32790">
        <w:rPr>
          <w:rFonts w:cs="Times New Roman"/>
          <w:color w:val="000000" w:themeColor="text1"/>
          <w:szCs w:val="24"/>
          <w:shd w:val="clear" w:color="auto" w:fill="FFFFFF"/>
        </w:rPr>
        <w:t>na plenárnom zasadnutí ENSREG</w:t>
      </w:r>
      <w:r w:rsidR="003A425F" w:rsidRPr="00F32790">
        <w:rPr>
          <w:rFonts w:cs="Times New Roman"/>
          <w:b/>
          <w:color w:val="000000" w:themeColor="text1"/>
          <w:szCs w:val="24"/>
          <w:shd w:val="clear" w:color="auto" w:fill="FFFFFF"/>
        </w:rPr>
        <w:t xml:space="preserve"> </w:t>
      </w:r>
      <w:hyperlink r:id="rId9" w:tgtFrame="_blank" w:history="1">
        <w:r w:rsidR="003A425F" w:rsidRPr="00F32790">
          <w:rPr>
            <w:rStyle w:val="Hypertextovprepojenie"/>
            <w:bCs/>
            <w:color w:val="000000" w:themeColor="text1"/>
            <w:szCs w:val="24"/>
            <w:u w:val="none"/>
          </w:rPr>
          <w:t>prijal</w:t>
        </w:r>
        <w:r w:rsidR="003A425F" w:rsidRPr="00F32790">
          <w:rPr>
            <w:rStyle w:val="Hypertextovprepojenie"/>
            <w:b/>
            <w:bCs/>
            <w:color w:val="000000" w:themeColor="text1"/>
            <w:szCs w:val="24"/>
            <w:u w:val="none"/>
          </w:rPr>
          <w:t xml:space="preserve"> Vyhlásenie k bezpečnosti ukrajinských jadrových elektrární</w:t>
        </w:r>
      </w:hyperlink>
      <w:r w:rsidR="003A425F" w:rsidRPr="00F32790">
        <w:rPr>
          <w:rFonts w:cs="Times New Roman"/>
          <w:b/>
          <w:color w:val="000000" w:themeColor="text1"/>
          <w:szCs w:val="24"/>
          <w:shd w:val="clear" w:color="auto" w:fill="FFFFFF"/>
        </w:rPr>
        <w:t> </w:t>
      </w:r>
      <w:r w:rsidR="003A425F" w:rsidRPr="00F32790">
        <w:rPr>
          <w:rFonts w:cs="Times New Roman"/>
          <w:color w:val="000000" w:themeColor="text1"/>
          <w:szCs w:val="24"/>
          <w:shd w:val="clear" w:color="auto" w:fill="FFFFFF"/>
        </w:rPr>
        <w:t>po úmyselných rozsiahlych útokoch na ukrajinskú energetickú infraštruktúru.</w:t>
      </w:r>
    </w:p>
    <w:p w14:paraId="3CA67ED1" w14:textId="77777777" w:rsidR="003A425F" w:rsidRPr="00F32790" w:rsidRDefault="003A425F" w:rsidP="001734FE">
      <w:pPr>
        <w:pStyle w:val="Zkladntext"/>
        <w:spacing w:after="0"/>
        <w:ind w:right="281"/>
        <w:rPr>
          <w:rFonts w:ascii="Times New Roman" w:hAnsi="Times New Roman" w:cs="Times New Roman"/>
          <w:szCs w:val="24"/>
        </w:rPr>
      </w:pPr>
    </w:p>
    <w:p w14:paraId="2408DD9B" w14:textId="77777777" w:rsidR="0081621C" w:rsidRDefault="001D04F6" w:rsidP="0081621C">
      <w:pPr>
        <w:spacing w:after="0" w:line="240" w:lineRule="auto"/>
        <w:rPr>
          <w:rFonts w:cs="Times New Roman"/>
          <w:color w:val="auto"/>
          <w:szCs w:val="24"/>
          <w:lang w:eastAsia="en-US"/>
        </w:rPr>
      </w:pPr>
      <w:r w:rsidRPr="00F32790">
        <w:rPr>
          <w:rFonts w:cs="Times New Roman"/>
          <w:bCs/>
          <w:color w:val="auto"/>
          <w:szCs w:val="24"/>
        </w:rPr>
        <w:t xml:space="preserve">V roku 2022 pokračovala ďalšia konsolidácia činnosti </w:t>
      </w:r>
      <w:r w:rsidRPr="00F32790">
        <w:rPr>
          <w:rFonts w:cs="Times New Roman"/>
          <w:b/>
          <w:bCs/>
          <w:color w:val="auto"/>
          <w:szCs w:val="24"/>
        </w:rPr>
        <w:t xml:space="preserve">Európskeho orgánu práce </w:t>
      </w:r>
      <w:r w:rsidRPr="00683C0C">
        <w:rPr>
          <w:rFonts w:cs="Times New Roman"/>
          <w:bCs/>
          <w:color w:val="auto"/>
          <w:szCs w:val="24"/>
        </w:rPr>
        <w:t>(</w:t>
      </w:r>
      <w:r w:rsidR="00683C0C" w:rsidRPr="00683C0C">
        <w:rPr>
          <w:rFonts w:cs="Times New Roman"/>
          <w:bCs/>
          <w:color w:val="auto"/>
          <w:szCs w:val="24"/>
        </w:rPr>
        <w:t>ďalej „</w:t>
      </w:r>
      <w:r w:rsidRPr="00683C0C">
        <w:rPr>
          <w:rFonts w:cs="Times New Roman"/>
          <w:bCs/>
          <w:color w:val="auto"/>
          <w:szCs w:val="24"/>
        </w:rPr>
        <w:t>ELA</w:t>
      </w:r>
      <w:r w:rsidR="00683C0C" w:rsidRPr="00683C0C">
        <w:rPr>
          <w:rFonts w:cs="Times New Roman"/>
          <w:bCs/>
          <w:color w:val="auto"/>
          <w:szCs w:val="24"/>
        </w:rPr>
        <w:t>“</w:t>
      </w:r>
      <w:r w:rsidRPr="00683C0C">
        <w:rPr>
          <w:rFonts w:cs="Times New Roman"/>
          <w:bCs/>
          <w:color w:val="auto"/>
          <w:szCs w:val="24"/>
        </w:rPr>
        <w:t xml:space="preserve">) </w:t>
      </w:r>
      <w:r w:rsidRPr="00F32790">
        <w:rPr>
          <w:rFonts w:cs="Times New Roman"/>
          <w:bCs/>
          <w:color w:val="auto"/>
          <w:szCs w:val="24"/>
        </w:rPr>
        <w:t xml:space="preserve">po ukončení usídlenia sa v Bratislave v roku 2021 ako historicky prvého orgánu EÚ zriadeného na území SR. Kľúčovým prierezovým aspektom jeho činnosti </w:t>
      </w:r>
      <w:r w:rsidR="00AC7619" w:rsidRPr="00F32790">
        <w:rPr>
          <w:rFonts w:cs="Times New Roman"/>
          <w:bCs/>
          <w:color w:val="auto"/>
          <w:szCs w:val="24"/>
        </w:rPr>
        <w:t xml:space="preserve">v roku 2022 </w:t>
      </w:r>
      <w:r w:rsidRPr="00F32790">
        <w:rPr>
          <w:rFonts w:cs="Times New Roman"/>
          <w:bCs/>
          <w:color w:val="auto"/>
          <w:szCs w:val="24"/>
        </w:rPr>
        <w:t xml:space="preserve">bola </w:t>
      </w:r>
      <w:r w:rsidRPr="00F32790">
        <w:rPr>
          <w:rFonts w:cs="Times New Roman"/>
          <w:b/>
          <w:bCs/>
          <w:color w:val="auto"/>
          <w:szCs w:val="24"/>
        </w:rPr>
        <w:t>oblasť medzinárodnej cestnej dopravy</w:t>
      </w:r>
      <w:r w:rsidRPr="00F32790">
        <w:rPr>
          <w:rFonts w:cs="Times New Roman"/>
          <w:bCs/>
          <w:color w:val="auto"/>
          <w:szCs w:val="24"/>
        </w:rPr>
        <w:t xml:space="preserve">, a to z pohľadu vysielania vodičov, ako aj sociálnej </w:t>
      </w:r>
      <w:r w:rsidRPr="00F32790">
        <w:rPr>
          <w:rFonts w:cs="Times New Roman"/>
          <w:bCs/>
          <w:color w:val="auto"/>
          <w:szCs w:val="24"/>
        </w:rPr>
        <w:lastRenderedPageBreak/>
        <w:t>legislatívy v cestnej doprave (doby jazdy a odpočinku, tachograf). Na túto oblasť bola zameraná celoeurópska informačná kampaň koordinovaná zo strany ELA, ktorá prebehla od októbra do decembra</w:t>
      </w:r>
      <w:r w:rsidR="00683C0C">
        <w:rPr>
          <w:rFonts w:cs="Times New Roman"/>
          <w:bCs/>
          <w:color w:val="auto"/>
          <w:szCs w:val="24"/>
        </w:rPr>
        <w:t xml:space="preserve"> 2022</w:t>
      </w:r>
      <w:r w:rsidRPr="00F32790">
        <w:rPr>
          <w:rFonts w:cs="Times New Roman"/>
          <w:bCs/>
          <w:color w:val="auto"/>
          <w:szCs w:val="24"/>
        </w:rPr>
        <w:t xml:space="preserve">, ako aj väčšina početných spoločných a zosúladených inšpekcií so zapojením </w:t>
      </w:r>
      <w:r w:rsidR="0081621C">
        <w:rPr>
          <w:rFonts w:cs="Times New Roman"/>
          <w:bCs/>
          <w:color w:val="auto"/>
          <w:szCs w:val="24"/>
        </w:rPr>
        <w:t xml:space="preserve"> niekoľkých členských štátov EÚ (</w:t>
      </w:r>
      <w:r w:rsidR="0081621C">
        <w:rPr>
          <w:rFonts w:ascii="Calibri" w:hAnsi="Calibri"/>
          <w:color w:val="1F497D"/>
          <w:sz w:val="22"/>
          <w:lang w:eastAsia="en-US"/>
        </w:rPr>
        <w:t xml:space="preserve">7 </w:t>
      </w:r>
      <w:r w:rsidR="0081621C" w:rsidRPr="0081621C">
        <w:rPr>
          <w:rFonts w:cs="Times New Roman"/>
          <w:color w:val="auto"/>
          <w:szCs w:val="24"/>
          <w:lang w:eastAsia="en-US"/>
        </w:rPr>
        <w:t>členských štátov, na ktorých území prebehli inšpekcie</w:t>
      </w:r>
      <w:r w:rsidR="0081621C">
        <w:rPr>
          <w:rFonts w:cs="Times New Roman"/>
          <w:color w:val="auto"/>
          <w:szCs w:val="24"/>
          <w:lang w:eastAsia="en-US"/>
        </w:rPr>
        <w:t xml:space="preserve"> - </w:t>
      </w:r>
      <w:r w:rsidR="0081621C" w:rsidRPr="0081621C">
        <w:rPr>
          <w:rFonts w:cs="Times New Roman"/>
          <w:color w:val="auto"/>
          <w:szCs w:val="24"/>
          <w:lang w:eastAsia="en-US"/>
        </w:rPr>
        <w:t>Belgicko, Bulharsko, Dánsko, Fínsko, Francúzsko, Rumunsko a</w:t>
      </w:r>
      <w:r w:rsidR="0081621C">
        <w:rPr>
          <w:rFonts w:cs="Times New Roman"/>
          <w:color w:val="auto"/>
          <w:szCs w:val="24"/>
          <w:lang w:eastAsia="en-US"/>
        </w:rPr>
        <w:t> </w:t>
      </w:r>
      <w:r w:rsidR="0081621C" w:rsidRPr="0081621C">
        <w:rPr>
          <w:rFonts w:cs="Times New Roman"/>
          <w:color w:val="auto"/>
          <w:szCs w:val="24"/>
          <w:lang w:eastAsia="en-US"/>
        </w:rPr>
        <w:t>Slovensko</w:t>
      </w:r>
      <w:r w:rsidR="0081621C">
        <w:rPr>
          <w:rFonts w:cs="Times New Roman"/>
          <w:color w:val="auto"/>
          <w:szCs w:val="24"/>
          <w:lang w:eastAsia="en-US"/>
        </w:rPr>
        <w:t xml:space="preserve"> a</w:t>
      </w:r>
      <w:r w:rsidR="0081621C" w:rsidRPr="0081621C">
        <w:rPr>
          <w:rFonts w:cs="Times New Roman"/>
          <w:color w:val="auto"/>
          <w:szCs w:val="24"/>
          <w:lang w:eastAsia="en-US"/>
        </w:rPr>
        <w:t xml:space="preserve"> 8 členských štátov sa </w:t>
      </w:r>
      <w:r w:rsidR="0081621C">
        <w:rPr>
          <w:rFonts w:cs="Times New Roman"/>
          <w:color w:val="auto"/>
          <w:szCs w:val="24"/>
          <w:lang w:eastAsia="en-US"/>
        </w:rPr>
        <w:t xml:space="preserve">zapojilo v úlohe pozorovateľov - </w:t>
      </w:r>
      <w:r w:rsidR="0081621C" w:rsidRPr="0081621C">
        <w:rPr>
          <w:rFonts w:cs="Times New Roman"/>
          <w:color w:val="auto"/>
          <w:szCs w:val="24"/>
          <w:lang w:eastAsia="en-US"/>
        </w:rPr>
        <w:t xml:space="preserve">Česko, Chorvátsko, Írsko, Taliansko, Poľsko, Portugalsko, Španielsko, Švédsko). </w:t>
      </w:r>
    </w:p>
    <w:p w14:paraId="17874DEE" w14:textId="77777777" w:rsidR="0081621C" w:rsidRDefault="0081621C" w:rsidP="0081621C">
      <w:pPr>
        <w:spacing w:after="0" w:line="240" w:lineRule="auto"/>
        <w:rPr>
          <w:rFonts w:cs="Times New Roman"/>
          <w:bCs/>
          <w:color w:val="auto"/>
          <w:szCs w:val="24"/>
        </w:rPr>
      </w:pPr>
    </w:p>
    <w:p w14:paraId="2869BADD" w14:textId="307870AC" w:rsidR="007F0039" w:rsidRPr="0081621C" w:rsidRDefault="001D04F6" w:rsidP="0081621C">
      <w:pPr>
        <w:spacing w:after="0" w:line="240" w:lineRule="auto"/>
        <w:rPr>
          <w:rFonts w:cs="Times New Roman"/>
          <w:color w:val="auto"/>
          <w:szCs w:val="24"/>
          <w:lang w:eastAsia="en-US"/>
        </w:rPr>
      </w:pPr>
      <w:r w:rsidRPr="00F32790">
        <w:rPr>
          <w:rFonts w:cs="Times New Roman"/>
          <w:bCs/>
          <w:color w:val="auto"/>
          <w:szCs w:val="24"/>
        </w:rPr>
        <w:t xml:space="preserve">Ďalšou významnou oblasťou bola analytická práca zameraná na mapovanie uplatňovania </w:t>
      </w:r>
      <w:r w:rsidRPr="00F32790">
        <w:rPr>
          <w:rFonts w:cs="Times New Roman"/>
          <w:b/>
          <w:bCs/>
          <w:color w:val="auto"/>
          <w:szCs w:val="24"/>
        </w:rPr>
        <w:t xml:space="preserve">smernice o dočasnej ochrane naprieč členskými štátmi v súvislosti s utečeneckou krízou spôsobenou vojnou na Ukrajine </w:t>
      </w:r>
      <w:r w:rsidRPr="00F32790">
        <w:rPr>
          <w:rFonts w:cs="Times New Roman"/>
          <w:bCs/>
          <w:color w:val="auto"/>
          <w:szCs w:val="24"/>
        </w:rPr>
        <w:t>a sprostredkovanie výmeny informácií, ako aj spustenie pilotného projektu Okruh talentov EÚ koordinovaného Európskou komisiou a ELA, do ktorého majú prístup osoby s dočasným útočiskom. V neposlednom rade bola spustená mediačná úloha ELA.</w:t>
      </w:r>
    </w:p>
    <w:p w14:paraId="46436316" w14:textId="77777777" w:rsidR="007F0039" w:rsidRPr="00F32790" w:rsidRDefault="007F0039" w:rsidP="001734FE">
      <w:pPr>
        <w:spacing w:after="0" w:line="240" w:lineRule="auto"/>
        <w:rPr>
          <w:rFonts w:cs="Times New Roman"/>
          <w:b/>
          <w:szCs w:val="24"/>
        </w:rPr>
      </w:pPr>
    </w:p>
    <w:p w14:paraId="26FF6D89" w14:textId="2EDFF654" w:rsidR="007F0039" w:rsidRPr="00F32790" w:rsidRDefault="001D04F6" w:rsidP="001734FE">
      <w:pPr>
        <w:spacing w:after="0" w:line="240" w:lineRule="auto"/>
        <w:rPr>
          <w:rFonts w:cs="Times New Roman"/>
          <w:b/>
          <w:szCs w:val="24"/>
        </w:rPr>
      </w:pPr>
      <w:r w:rsidRPr="00F32790">
        <w:rPr>
          <w:rFonts w:cs="Times New Roman"/>
          <w:color w:val="auto"/>
          <w:szCs w:val="24"/>
        </w:rPr>
        <w:t>Vo formáci</w:t>
      </w:r>
      <w:r w:rsidR="00BB3668">
        <w:rPr>
          <w:rFonts w:cs="Times New Roman"/>
          <w:color w:val="auto"/>
          <w:szCs w:val="24"/>
        </w:rPr>
        <w:t>i</w:t>
      </w:r>
      <w:r w:rsidRPr="00F32790">
        <w:rPr>
          <w:rFonts w:cs="Times New Roman"/>
          <w:color w:val="auto"/>
          <w:szCs w:val="24"/>
        </w:rPr>
        <w:t xml:space="preserve"> </w:t>
      </w:r>
      <w:r w:rsidRPr="00F32790">
        <w:rPr>
          <w:rFonts w:cs="Times New Roman"/>
          <w:b/>
          <w:color w:val="auto"/>
          <w:szCs w:val="24"/>
        </w:rPr>
        <w:t xml:space="preserve">Rady </w:t>
      </w:r>
      <w:r w:rsidR="003169FA">
        <w:rPr>
          <w:rFonts w:cs="Times New Roman"/>
          <w:b/>
          <w:color w:val="auto"/>
          <w:szCs w:val="24"/>
        </w:rPr>
        <w:t xml:space="preserve">EÚ </w:t>
      </w:r>
      <w:r w:rsidRPr="00F32790">
        <w:rPr>
          <w:rFonts w:cs="Times New Roman"/>
          <w:b/>
          <w:color w:val="auto"/>
          <w:szCs w:val="24"/>
        </w:rPr>
        <w:t>pre zamestnanosť, sociálnu politiku, zdravie a spotrebiteľské záležitosti</w:t>
      </w:r>
      <w:r w:rsidRPr="00F32790">
        <w:rPr>
          <w:rFonts w:cs="Times New Roman"/>
          <w:color w:val="auto"/>
          <w:szCs w:val="24"/>
        </w:rPr>
        <w:t xml:space="preserve"> (</w:t>
      </w:r>
      <w:r w:rsidR="003169FA">
        <w:rPr>
          <w:rFonts w:cs="Times New Roman"/>
          <w:color w:val="auto"/>
          <w:szCs w:val="24"/>
        </w:rPr>
        <w:t>ďalej „</w:t>
      </w:r>
      <w:r w:rsidRPr="00F32790">
        <w:rPr>
          <w:rFonts w:cs="Times New Roman"/>
          <w:color w:val="auto"/>
          <w:szCs w:val="24"/>
        </w:rPr>
        <w:t>Rada EPSCO</w:t>
      </w:r>
      <w:r w:rsidR="003169FA">
        <w:rPr>
          <w:rFonts w:cs="Times New Roman"/>
          <w:color w:val="auto"/>
          <w:szCs w:val="24"/>
        </w:rPr>
        <w:t>“</w:t>
      </w:r>
      <w:r w:rsidRPr="00F32790">
        <w:rPr>
          <w:rFonts w:cs="Times New Roman"/>
          <w:color w:val="auto"/>
          <w:szCs w:val="24"/>
        </w:rPr>
        <w:t xml:space="preserve">), riešenia prístupu utečencov na slovenský trh práce, umiestňovania </w:t>
      </w:r>
      <w:r w:rsidRPr="00F32790">
        <w:rPr>
          <w:rFonts w:eastAsia="Calibri" w:cs="Times New Roman"/>
          <w:color w:val="auto"/>
          <w:szCs w:val="24"/>
        </w:rPr>
        <w:t>tisícov detí do škôl</w:t>
      </w:r>
      <w:r w:rsidR="00A35265">
        <w:rPr>
          <w:rFonts w:eastAsia="Calibri" w:cs="Times New Roman"/>
          <w:color w:val="auto"/>
          <w:szCs w:val="24"/>
        </w:rPr>
        <w:t xml:space="preserve"> </w:t>
      </w:r>
      <w:r w:rsidRPr="00F32790">
        <w:rPr>
          <w:rFonts w:eastAsia="Calibri" w:cs="Times New Roman"/>
          <w:color w:val="auto"/>
          <w:szCs w:val="24"/>
        </w:rPr>
        <w:t>a predškolských zariadení</w:t>
      </w:r>
      <w:r w:rsidRPr="00F32790">
        <w:rPr>
          <w:rFonts w:cs="Times New Roman"/>
          <w:color w:val="auto"/>
          <w:szCs w:val="24"/>
        </w:rPr>
        <w:t xml:space="preserve">, prístup utečencov k dávkam sociálnej pomoci, opatrovníctvo maloletých bez sprievodu a pod. Pokiaľ ide </w:t>
      </w:r>
      <w:r w:rsidRPr="00F32790">
        <w:rPr>
          <w:rFonts w:cs="Times New Roman"/>
          <w:b/>
          <w:color w:val="auto"/>
          <w:szCs w:val="24"/>
        </w:rPr>
        <w:t>o začleňovanie utečencov na trh práce</w:t>
      </w:r>
      <w:r w:rsidRPr="00F32790">
        <w:rPr>
          <w:rFonts w:cs="Times New Roman"/>
          <w:color w:val="auto"/>
          <w:szCs w:val="24"/>
        </w:rPr>
        <w:t>, SR prijal</w:t>
      </w:r>
      <w:r w:rsidR="00825F2B">
        <w:rPr>
          <w:rFonts w:cs="Times New Roman"/>
          <w:color w:val="auto"/>
          <w:szCs w:val="24"/>
        </w:rPr>
        <w:t>a</w:t>
      </w:r>
      <w:r w:rsidRPr="00F32790">
        <w:rPr>
          <w:rFonts w:cs="Times New Roman"/>
          <w:color w:val="auto"/>
          <w:szCs w:val="24"/>
        </w:rPr>
        <w:t xml:space="preserve"> viaceré dôležité opatrenia, ktoré zjednodušili i</w:t>
      </w:r>
      <w:r w:rsidR="00825F2B">
        <w:rPr>
          <w:rFonts w:cs="Times New Roman"/>
          <w:color w:val="auto"/>
          <w:szCs w:val="24"/>
        </w:rPr>
        <w:t>ntegráciu ukrajinských utečenco</w:t>
      </w:r>
      <w:r w:rsidR="008F015D">
        <w:rPr>
          <w:rFonts w:cs="Times New Roman"/>
          <w:color w:val="auto"/>
          <w:szCs w:val="24"/>
        </w:rPr>
        <w:t>v</w:t>
      </w:r>
      <w:r w:rsidRPr="00F32790">
        <w:rPr>
          <w:rFonts w:cs="Times New Roman"/>
          <w:color w:val="auto"/>
          <w:szCs w:val="24"/>
        </w:rPr>
        <w:t xml:space="preserve">. Zamestnávanie štátnych príslušníkov Ukrajiny sa </w:t>
      </w:r>
      <w:r w:rsidR="00147C10">
        <w:rPr>
          <w:rFonts w:cs="Times New Roman"/>
          <w:color w:val="auto"/>
          <w:szCs w:val="24"/>
        </w:rPr>
        <w:t>v</w:t>
      </w:r>
      <w:r w:rsidRPr="00F32790">
        <w:rPr>
          <w:rFonts w:cs="Times New Roman"/>
          <w:color w:val="auto"/>
          <w:szCs w:val="24"/>
        </w:rPr>
        <w:t xml:space="preserve"> </w:t>
      </w:r>
      <w:r w:rsidR="00147C10">
        <w:rPr>
          <w:rFonts w:cs="Times New Roman"/>
          <w:color w:val="auto"/>
          <w:szCs w:val="24"/>
        </w:rPr>
        <w:t>SR</w:t>
      </w:r>
      <w:r w:rsidRPr="00F32790">
        <w:rPr>
          <w:rFonts w:cs="Times New Roman"/>
          <w:color w:val="auto"/>
          <w:szCs w:val="24"/>
        </w:rPr>
        <w:t xml:space="preserve"> zjednodušilo aj vďaka možnosti </w:t>
      </w:r>
      <w:r w:rsidRPr="00F32790">
        <w:rPr>
          <w:rFonts w:cs="Times New Roman"/>
          <w:b/>
          <w:color w:val="auto"/>
          <w:szCs w:val="24"/>
        </w:rPr>
        <w:t>zamestnať sa na základe potvrdenia o tolerovanom pobyte</w:t>
      </w:r>
      <w:r w:rsidRPr="00F32790">
        <w:rPr>
          <w:rFonts w:cs="Times New Roman"/>
          <w:color w:val="auto"/>
          <w:szCs w:val="24"/>
        </w:rPr>
        <w:t xml:space="preserve"> </w:t>
      </w:r>
      <w:r w:rsidRPr="00F32790">
        <w:rPr>
          <w:rFonts w:cs="Times New Roman"/>
          <w:color w:val="auto"/>
          <w:szCs w:val="24"/>
          <w:shd w:val="clear" w:color="auto" w:fill="FFFFFF"/>
        </w:rPr>
        <w:t>(potvrdenie o poskytnutí dočasného útočiska) </w:t>
      </w:r>
      <w:r w:rsidRPr="00F32790">
        <w:rPr>
          <w:rFonts w:cs="Times New Roman"/>
          <w:color w:val="auto"/>
          <w:szCs w:val="24"/>
        </w:rPr>
        <w:t xml:space="preserve"> na území SR a </w:t>
      </w:r>
      <w:r w:rsidRPr="00F32790">
        <w:rPr>
          <w:rFonts w:cs="Times New Roman"/>
          <w:b/>
          <w:color w:val="auto"/>
          <w:szCs w:val="24"/>
        </w:rPr>
        <w:t>uzatvorenej pracovnej zmluvy</w:t>
      </w:r>
      <w:r w:rsidRPr="00F32790">
        <w:rPr>
          <w:rFonts w:cs="Times New Roman"/>
          <w:color w:val="auto"/>
          <w:szCs w:val="24"/>
        </w:rPr>
        <w:t xml:space="preserve"> (resp. dohody o prácach vykonávaných mimo pracovného pomeru). </w:t>
      </w:r>
    </w:p>
    <w:p w14:paraId="3C35C200" w14:textId="77777777" w:rsidR="007F0039" w:rsidRPr="00F32790" w:rsidRDefault="007F0039" w:rsidP="001734FE">
      <w:pPr>
        <w:spacing w:after="0" w:line="240" w:lineRule="auto"/>
        <w:rPr>
          <w:rFonts w:cs="Times New Roman"/>
          <w:b/>
          <w:szCs w:val="24"/>
        </w:rPr>
      </w:pPr>
    </w:p>
    <w:p w14:paraId="3815F24A" w14:textId="3FAB0C44" w:rsidR="007F0039" w:rsidRPr="00F32790" w:rsidRDefault="001D04F6" w:rsidP="001734FE">
      <w:pPr>
        <w:spacing w:after="0" w:line="240" w:lineRule="auto"/>
        <w:rPr>
          <w:rFonts w:cs="Times New Roman"/>
          <w:b/>
          <w:szCs w:val="24"/>
        </w:rPr>
      </w:pPr>
      <w:r w:rsidRPr="00F32790">
        <w:rPr>
          <w:rFonts w:cs="Times New Roman"/>
          <w:color w:val="auto"/>
          <w:szCs w:val="24"/>
        </w:rPr>
        <w:t xml:space="preserve">Hlavnou témou v oblasti zamestnanosti boli rokovania k návrhu </w:t>
      </w:r>
      <w:r w:rsidRPr="00F32790">
        <w:rPr>
          <w:rFonts w:cs="Times New Roman"/>
          <w:b/>
          <w:color w:val="auto"/>
          <w:szCs w:val="24"/>
        </w:rPr>
        <w:t>smernice o zlepšení pracovných podmienok v oblasti práce pre platformy</w:t>
      </w:r>
      <w:r w:rsidR="003169FA">
        <w:rPr>
          <w:rStyle w:val="Odkaznapoznmkupodiarou"/>
          <w:b/>
          <w:color w:val="auto"/>
          <w:szCs w:val="24"/>
        </w:rPr>
        <w:footnoteReference w:id="24"/>
      </w:r>
      <w:r w:rsidRPr="00F32790">
        <w:rPr>
          <w:rFonts w:cs="Times New Roman"/>
          <w:color w:val="auto"/>
          <w:szCs w:val="24"/>
        </w:rPr>
        <w:t xml:space="preserve">. </w:t>
      </w:r>
      <w:r w:rsidRPr="00F32790">
        <w:rPr>
          <w:rFonts w:cs="Times New Roman"/>
          <w:color w:val="auto"/>
          <w:szCs w:val="24"/>
          <w:lang w:eastAsia="zh-CN"/>
        </w:rPr>
        <w:t>Tento dynamicky sa rozvíjajúci</w:t>
      </w:r>
      <w:r w:rsidRPr="00F32790">
        <w:rPr>
          <w:rFonts w:cs="Times New Roman"/>
          <w:b/>
          <w:bCs/>
          <w:color w:val="auto"/>
          <w:szCs w:val="24"/>
          <w:lang w:eastAsia="zh-CN"/>
        </w:rPr>
        <w:t xml:space="preserve"> </w:t>
      </w:r>
      <w:r w:rsidRPr="00F32790">
        <w:rPr>
          <w:rFonts w:cs="Times New Roman"/>
          <w:color w:val="auto"/>
          <w:szCs w:val="24"/>
          <w:lang w:eastAsia="zh-CN"/>
        </w:rPr>
        <w:t>segment ekonomiky (tzv. online ekonomika), kde zatiaľ absentuje minimálny európsky regulačný rámec,  si za uplynulé roky vyžiadal potrebu nastaviť správnu rovnováhu medzi ochranou pracovníkov a zachovaním flexibilných, inovatívnych aspektov fungovania pracovných platforiem. Napriek intenzívnej pr</w:t>
      </w:r>
      <w:r w:rsidR="00825F2B">
        <w:rPr>
          <w:rFonts w:cs="Times New Roman"/>
          <w:color w:val="auto"/>
          <w:szCs w:val="24"/>
          <w:lang w:eastAsia="zh-CN"/>
        </w:rPr>
        <w:t>áci na spise</w:t>
      </w:r>
      <w:r w:rsidRPr="00F32790">
        <w:rPr>
          <w:rFonts w:cs="Times New Roman"/>
          <w:color w:val="auto"/>
          <w:szCs w:val="24"/>
          <w:lang w:eastAsia="zh-CN"/>
        </w:rPr>
        <w:t xml:space="preserve"> sa zatiaľ nepodarilo nájsť kompr</w:t>
      </w:r>
      <w:r w:rsidR="00AC7619" w:rsidRPr="00F32790">
        <w:rPr>
          <w:rFonts w:cs="Times New Roman"/>
          <w:color w:val="auto"/>
          <w:szCs w:val="24"/>
          <w:lang w:eastAsia="zh-CN"/>
        </w:rPr>
        <w:t xml:space="preserve">omisnú dohodu členských štátov. </w:t>
      </w:r>
      <w:r w:rsidRPr="00F32790">
        <w:rPr>
          <w:rFonts w:cs="Times New Roman"/>
          <w:bCs/>
          <w:color w:val="auto"/>
          <w:szCs w:val="24"/>
        </w:rPr>
        <w:t>SR podporuje návrh smernice a jej hlavný cieľ, tzn. zlepšenie pracovných podmienok platformových pracovníkov, a tým nastaviť spoločné minimálne štandardy na úrovni EÚ.</w:t>
      </w:r>
    </w:p>
    <w:p w14:paraId="10EFEAD4" w14:textId="77777777" w:rsidR="007F0039" w:rsidRPr="00F32790" w:rsidRDefault="007F0039" w:rsidP="001734FE">
      <w:pPr>
        <w:spacing w:after="0" w:line="240" w:lineRule="auto"/>
        <w:rPr>
          <w:rFonts w:cs="Times New Roman"/>
          <w:color w:val="auto"/>
          <w:szCs w:val="24"/>
        </w:rPr>
      </w:pPr>
    </w:p>
    <w:p w14:paraId="72165F6A" w14:textId="43D26C63" w:rsidR="007F0039" w:rsidRPr="00F32790" w:rsidRDefault="001677AC" w:rsidP="00B5189F">
      <w:pPr>
        <w:spacing w:after="0"/>
        <w:rPr>
          <w:rFonts w:cs="Times New Roman"/>
          <w:b/>
          <w:szCs w:val="24"/>
        </w:rPr>
      </w:pPr>
      <w:r w:rsidRPr="00AC7619">
        <w:rPr>
          <w:noProof/>
          <w:color w:val="auto"/>
          <w:shd w:val="clear" w:color="auto" w:fill="FFFFFF"/>
        </w:rPr>
        <w:t>Po dvojročnom úsilí rokovaní od zverejnenia návrhu smernice na jeseň v r</w:t>
      </w:r>
      <w:r w:rsidR="00F43B61">
        <w:rPr>
          <w:noProof/>
          <w:color w:val="auto"/>
          <w:shd w:val="clear" w:color="auto" w:fill="FFFFFF"/>
        </w:rPr>
        <w:t>oku</w:t>
      </w:r>
      <w:r w:rsidRPr="00AC7619">
        <w:rPr>
          <w:noProof/>
          <w:color w:val="auto"/>
          <w:shd w:val="clear" w:color="auto" w:fill="FFFFFF"/>
        </w:rPr>
        <w:t xml:space="preserve"> 2020 bola v októbri </w:t>
      </w:r>
      <w:r>
        <w:rPr>
          <w:noProof/>
          <w:color w:val="auto"/>
          <w:shd w:val="clear" w:color="auto" w:fill="FFFFFF"/>
        </w:rPr>
        <w:t xml:space="preserve">2022 </w:t>
      </w:r>
      <w:r w:rsidRPr="00AC7619">
        <w:rPr>
          <w:noProof/>
          <w:color w:val="auto"/>
          <w:shd w:val="clear" w:color="auto" w:fill="FFFFFF"/>
        </w:rPr>
        <w:t xml:space="preserve">prijatá a publikovaná </w:t>
      </w:r>
      <w:r w:rsidRPr="00AC7619">
        <w:rPr>
          <w:b/>
          <w:noProof/>
          <w:color w:val="auto"/>
          <w:shd w:val="clear" w:color="auto" w:fill="FFFFFF"/>
        </w:rPr>
        <w:t xml:space="preserve">smernica </w:t>
      </w:r>
      <w:r w:rsidRPr="00AC7619">
        <w:rPr>
          <w:b/>
          <w:bCs/>
          <w:color w:val="auto"/>
        </w:rPr>
        <w:t xml:space="preserve">o primeraných minimálnych mzdách v </w:t>
      </w:r>
      <w:r>
        <w:rPr>
          <w:b/>
          <w:bCs/>
          <w:color w:val="auto"/>
        </w:rPr>
        <w:t>EÚ</w:t>
      </w:r>
      <w:r w:rsidRPr="00AC7619">
        <w:rPr>
          <w:b/>
          <w:bCs/>
          <w:color w:val="auto"/>
        </w:rPr>
        <w:t xml:space="preserve">. </w:t>
      </w:r>
      <w:r w:rsidRPr="00AC7619">
        <w:rPr>
          <w:color w:val="auto"/>
        </w:rPr>
        <w:t>Cieľom smernice je zlepšiť pracovné podmienky tým, že sa zabezpečí, aby pracovníci v EÚ mali prístup k ochrane formou minimálnej mzdy poskytovanej primeranými zákonnými minimálnymi mzdami alebo kolektívnymi zmluvami, čo im umožní dôstojné živobytie bez ohľadu na to, kde pracujú.</w:t>
      </w:r>
      <w:r>
        <w:rPr>
          <w:color w:val="auto"/>
        </w:rPr>
        <w:t xml:space="preserve"> V oblasti nediskriminácie sa podarilo po 10 rokoch uzavrieť </w:t>
      </w:r>
      <w:proofErr w:type="spellStart"/>
      <w:r>
        <w:rPr>
          <w:color w:val="auto"/>
        </w:rPr>
        <w:t>trialógy</w:t>
      </w:r>
      <w:proofErr w:type="spellEnd"/>
      <w:r>
        <w:rPr>
          <w:color w:val="auto"/>
        </w:rPr>
        <w:t xml:space="preserve"> a prijať dohodu na smernici o zastúpení žien v dozorných radách kótovaných na burze. Na konci roka 2022 sa taktiež podarilo uzavrieť </w:t>
      </w:r>
      <w:proofErr w:type="spellStart"/>
      <w:r>
        <w:rPr>
          <w:color w:val="auto"/>
        </w:rPr>
        <w:t>trialógy</w:t>
      </w:r>
      <w:proofErr w:type="spellEnd"/>
      <w:r>
        <w:rPr>
          <w:color w:val="auto"/>
        </w:rPr>
        <w:t xml:space="preserve"> </w:t>
      </w:r>
      <w:r w:rsidRPr="001677AC">
        <w:rPr>
          <w:color w:val="auto"/>
        </w:rPr>
        <w:t>k </w:t>
      </w:r>
      <w:r w:rsidRPr="001677AC">
        <w:rPr>
          <w:bCs/>
          <w:color w:val="auto"/>
        </w:rPr>
        <w:t>smernici,</w:t>
      </w:r>
      <w:r>
        <w:rPr>
          <w:b/>
          <w:bCs/>
          <w:color w:val="auto"/>
        </w:rPr>
        <w:t xml:space="preserve"> </w:t>
      </w:r>
      <w:r>
        <w:rPr>
          <w:color w:val="auto"/>
        </w:rPr>
        <w:t>ktorou sa zavedú opatrenia na posilnenie</w:t>
      </w:r>
      <w:r w:rsidRPr="001677AC">
        <w:rPr>
          <w:b/>
          <w:bCs/>
          <w:color w:val="auto"/>
        </w:rPr>
        <w:t> transparentnosti v</w:t>
      </w:r>
      <w:r>
        <w:rPr>
          <w:b/>
          <w:bCs/>
          <w:color w:val="auto"/>
        </w:rPr>
        <w:t> </w:t>
      </w:r>
      <w:r w:rsidRPr="001677AC">
        <w:rPr>
          <w:b/>
          <w:bCs/>
          <w:color w:val="auto"/>
        </w:rPr>
        <w:t>odmeňovaní</w:t>
      </w:r>
      <w:r>
        <w:rPr>
          <w:b/>
          <w:bCs/>
          <w:color w:val="auto"/>
        </w:rPr>
        <w:t xml:space="preserve"> mužov a žien. </w:t>
      </w:r>
    </w:p>
    <w:p w14:paraId="79DCBAA3" w14:textId="77777777" w:rsidR="007F0039" w:rsidRPr="00F32790" w:rsidRDefault="007F0039" w:rsidP="001734FE">
      <w:pPr>
        <w:spacing w:after="0" w:line="240" w:lineRule="auto"/>
        <w:rPr>
          <w:rFonts w:cs="Times New Roman"/>
          <w:b/>
          <w:szCs w:val="24"/>
        </w:rPr>
      </w:pPr>
    </w:p>
    <w:p w14:paraId="7624D31C" w14:textId="1B4F5BB0" w:rsidR="007F0039" w:rsidRPr="00F32790" w:rsidRDefault="00AC7619" w:rsidP="001734FE">
      <w:pPr>
        <w:spacing w:after="0" w:line="240" w:lineRule="auto"/>
        <w:rPr>
          <w:rFonts w:cs="Times New Roman"/>
          <w:b/>
          <w:szCs w:val="24"/>
        </w:rPr>
      </w:pPr>
      <w:r w:rsidRPr="00F32790">
        <w:rPr>
          <w:rFonts w:eastAsia="Calibri" w:cs="Times New Roman"/>
          <w:szCs w:val="24"/>
        </w:rPr>
        <w:t xml:space="preserve">EK </w:t>
      </w:r>
      <w:r w:rsidRPr="00F32790">
        <w:rPr>
          <w:rFonts w:cs="Times New Roman"/>
          <w:szCs w:val="24"/>
        </w:rPr>
        <w:t>zverejnila v októbri 20</w:t>
      </w:r>
      <w:r w:rsidR="006547F0">
        <w:rPr>
          <w:rFonts w:cs="Times New Roman"/>
          <w:szCs w:val="24"/>
        </w:rPr>
        <w:t>2</w:t>
      </w:r>
      <w:r w:rsidRPr="00F32790">
        <w:rPr>
          <w:rFonts w:cs="Times New Roman"/>
          <w:szCs w:val="24"/>
        </w:rPr>
        <w:t>2 r</w:t>
      </w:r>
      <w:r w:rsidR="001D04F6" w:rsidRPr="00F32790">
        <w:rPr>
          <w:rFonts w:eastAsia="Calibri" w:cs="Times New Roman"/>
          <w:szCs w:val="24"/>
        </w:rPr>
        <w:t xml:space="preserve">ozhodnutie, ktorým plánuje vyhlásiť rok 2023 za </w:t>
      </w:r>
      <w:r w:rsidR="001D04F6" w:rsidRPr="00F32790">
        <w:rPr>
          <w:rFonts w:eastAsia="Calibri" w:cs="Times New Roman"/>
          <w:b/>
          <w:szCs w:val="24"/>
        </w:rPr>
        <w:t>Európsky rok zručností</w:t>
      </w:r>
      <w:r w:rsidRPr="00F32790">
        <w:rPr>
          <w:rFonts w:eastAsia="Calibri" w:cs="Times New Roman"/>
          <w:b/>
          <w:szCs w:val="24"/>
        </w:rPr>
        <w:t>.</w:t>
      </w:r>
      <w:r w:rsidR="001D04F6" w:rsidRPr="00F32790">
        <w:rPr>
          <w:rFonts w:eastAsia="Calibri" w:cs="Times New Roman"/>
          <w:szCs w:val="24"/>
        </w:rPr>
        <w:t xml:space="preserve"> Predmetná iniciatíva má poskytnúť ďalší impulz celoživotnému vzdelávaniu </w:t>
      </w:r>
      <w:r w:rsidR="008E6BE5">
        <w:rPr>
          <w:rFonts w:eastAsia="Calibri" w:cs="Times New Roman"/>
          <w:szCs w:val="24"/>
        </w:rPr>
        <w:br/>
      </w:r>
      <w:r w:rsidR="001D04F6" w:rsidRPr="00F32790">
        <w:rPr>
          <w:rFonts w:eastAsia="Calibri" w:cs="Times New Roman"/>
          <w:szCs w:val="24"/>
        </w:rPr>
        <w:t xml:space="preserve">a využitiu potenciálu európskej pracovnej sily, zosúladeniu zručností s potrebami trhu práce, podpore investícií a konkurencieschopnosti podnikov, pričom kladie dôraz aj na spoluprácu s tretími krajinami a prilákanie ľudí so zručnosťami požadovanými v EÚ. </w:t>
      </w:r>
    </w:p>
    <w:p w14:paraId="05AEA496" w14:textId="77777777" w:rsidR="007F0039" w:rsidRPr="00F32790" w:rsidRDefault="007F0039" w:rsidP="001734FE">
      <w:pPr>
        <w:spacing w:after="0" w:line="240" w:lineRule="auto"/>
        <w:rPr>
          <w:rFonts w:cs="Times New Roman"/>
          <w:b/>
          <w:szCs w:val="24"/>
        </w:rPr>
      </w:pPr>
    </w:p>
    <w:p w14:paraId="026894CB" w14:textId="77777777" w:rsidR="007F0039" w:rsidRPr="00F32790" w:rsidRDefault="001D04F6" w:rsidP="001734FE">
      <w:pPr>
        <w:spacing w:after="0" w:line="240" w:lineRule="auto"/>
        <w:rPr>
          <w:rFonts w:cs="Times New Roman"/>
          <w:color w:val="4F6228" w:themeColor="accent3" w:themeShade="80"/>
          <w:szCs w:val="24"/>
        </w:rPr>
      </w:pPr>
      <w:r w:rsidRPr="00F32790">
        <w:rPr>
          <w:rFonts w:eastAsia="Calibri" w:cs="Times New Roman"/>
          <w:szCs w:val="24"/>
        </w:rPr>
        <w:t xml:space="preserve">V </w:t>
      </w:r>
      <w:r w:rsidRPr="00F32790">
        <w:rPr>
          <w:rFonts w:cs="Times New Roman"/>
          <w:szCs w:val="24"/>
        </w:rPr>
        <w:t xml:space="preserve">návrhu spoločnej </w:t>
      </w:r>
      <w:r w:rsidRPr="00F32790">
        <w:rPr>
          <w:rFonts w:cs="Times New Roman"/>
          <w:b/>
          <w:szCs w:val="24"/>
        </w:rPr>
        <w:t>správy o zamestnanosti</w:t>
      </w:r>
      <w:r w:rsidRPr="00F32790">
        <w:rPr>
          <w:rFonts w:eastAsia="Calibri" w:cs="Times New Roman"/>
          <w:b/>
          <w:szCs w:val="24"/>
        </w:rPr>
        <w:t xml:space="preserve"> 2023</w:t>
      </w:r>
      <w:r w:rsidRPr="00F32790">
        <w:rPr>
          <w:rFonts w:eastAsia="Calibri" w:cs="Times New Roman"/>
          <w:szCs w:val="24"/>
        </w:rPr>
        <w:t xml:space="preserve">, ktorá bola vydaná v rámci jesenného balíka európskeho semestra, SR privítala </w:t>
      </w:r>
      <w:r w:rsidRPr="00F32790">
        <w:rPr>
          <w:rFonts w:cs="Times New Roman"/>
          <w:szCs w:val="24"/>
        </w:rPr>
        <w:t>uverejnenie národných cieľov do roku 2030. Národné ciele si vláda SR vymedzila podľa vzoru európskych cieľov, a to tak, že do roku 2030 zvýši mieru zamestnanosti obyvateľstva vo veku od 20 do 64 rokov na 76,5 %, zvýši mieru vzdelávania dospelých, a to tým, že na odbornej príprave by sa malo každoročne zúčastňovať aspoň 50 % dospelých. Takisto sa vláda SR zaviazala, že do roku 2030 zníži počet osôb v riziku chudoby alebo sociálneho vylúčenia o 70 tis. ľudí</w:t>
      </w:r>
      <w:r w:rsidRPr="00F32790">
        <w:rPr>
          <w:rFonts w:cs="Times New Roman"/>
          <w:color w:val="4F6228" w:themeColor="accent3" w:themeShade="80"/>
          <w:szCs w:val="24"/>
        </w:rPr>
        <w:t>.</w:t>
      </w:r>
    </w:p>
    <w:p w14:paraId="5B2771BD" w14:textId="77777777" w:rsidR="007F0039" w:rsidRPr="00F32790" w:rsidRDefault="007F0039" w:rsidP="001734FE">
      <w:pPr>
        <w:spacing w:after="0" w:line="240" w:lineRule="auto"/>
        <w:rPr>
          <w:rFonts w:cs="Times New Roman"/>
          <w:color w:val="4F6228" w:themeColor="accent3" w:themeShade="80"/>
          <w:szCs w:val="24"/>
        </w:rPr>
      </w:pPr>
    </w:p>
    <w:p w14:paraId="34F0B46A" w14:textId="7A94DF70" w:rsidR="007F0039" w:rsidRPr="00F32790" w:rsidRDefault="008C1099" w:rsidP="001734FE">
      <w:pPr>
        <w:spacing w:after="0" w:line="240" w:lineRule="auto"/>
        <w:rPr>
          <w:rFonts w:cs="Times New Roman"/>
          <w:b/>
          <w:szCs w:val="24"/>
        </w:rPr>
      </w:pPr>
      <w:r>
        <w:rPr>
          <w:rFonts w:cs="Times New Roman"/>
          <w:color w:val="auto"/>
          <w:szCs w:val="24"/>
        </w:rPr>
        <w:t>EK</w:t>
      </w:r>
      <w:r w:rsidR="00545FF6" w:rsidRPr="00F32790">
        <w:rPr>
          <w:rFonts w:cs="Times New Roman"/>
          <w:color w:val="auto"/>
          <w:szCs w:val="24"/>
        </w:rPr>
        <w:t xml:space="preserve"> schválila </w:t>
      </w:r>
      <w:r w:rsidR="003F6C62" w:rsidRPr="00F32790">
        <w:rPr>
          <w:rFonts w:cs="Times New Roman"/>
          <w:color w:val="auto"/>
          <w:szCs w:val="24"/>
        </w:rPr>
        <w:t>v novembri</w:t>
      </w:r>
      <w:r w:rsidR="00545FF6" w:rsidRPr="00F32790">
        <w:rPr>
          <w:rFonts w:cs="Times New Roman"/>
          <w:color w:val="auto"/>
          <w:szCs w:val="24"/>
        </w:rPr>
        <w:t xml:space="preserve"> 2022 </w:t>
      </w:r>
      <w:r w:rsidR="00545FF6" w:rsidRPr="00F32790">
        <w:rPr>
          <w:rFonts w:cs="Times New Roman"/>
          <w:b/>
          <w:color w:val="auto"/>
          <w:szCs w:val="24"/>
        </w:rPr>
        <w:t xml:space="preserve">Správu o pokroku na ceste k vytvoreniu Európskeho vzdelávacieho priestoru </w:t>
      </w:r>
      <w:r w:rsidR="00545FF6" w:rsidRPr="00683C0C">
        <w:rPr>
          <w:rFonts w:cs="Times New Roman"/>
          <w:color w:val="auto"/>
          <w:szCs w:val="24"/>
        </w:rPr>
        <w:t>(</w:t>
      </w:r>
      <w:r w:rsidR="00683C0C" w:rsidRPr="00683C0C">
        <w:rPr>
          <w:rFonts w:cs="Times New Roman"/>
          <w:color w:val="auto"/>
          <w:szCs w:val="24"/>
        </w:rPr>
        <w:t>ďalej „</w:t>
      </w:r>
      <w:r w:rsidR="00545FF6" w:rsidRPr="00683C0C">
        <w:rPr>
          <w:rFonts w:cs="Times New Roman"/>
          <w:color w:val="auto"/>
          <w:szCs w:val="24"/>
        </w:rPr>
        <w:t>EEA</w:t>
      </w:r>
      <w:r w:rsidR="00683C0C" w:rsidRPr="00683C0C">
        <w:rPr>
          <w:rFonts w:cs="Times New Roman"/>
          <w:color w:val="auto"/>
          <w:szCs w:val="24"/>
        </w:rPr>
        <w:t>“</w:t>
      </w:r>
      <w:r w:rsidR="00545FF6" w:rsidRPr="00683C0C">
        <w:rPr>
          <w:rFonts w:cs="Times New Roman"/>
          <w:color w:val="auto"/>
          <w:szCs w:val="24"/>
        </w:rPr>
        <w:t>),</w:t>
      </w:r>
      <w:r w:rsidR="00545FF6" w:rsidRPr="00F32790">
        <w:rPr>
          <w:rFonts w:cs="Times New Roman"/>
          <w:color w:val="auto"/>
          <w:szCs w:val="24"/>
        </w:rPr>
        <w:t xml:space="preserve"> v ktorej hodnotí prebiehajúce iniciatívy EÚ a úspešnosť pri dosahovaní spoločných európskych cieľov vo vzdelávaní a odbornej príprave. Zároveň stanovuje ďalšie úlohy, ktoré je potrebné splniť do roku 2025. V súčasnosti sa v EÚ realizuje 40 iniciatív zahŕňajúcich strategické politické opatrenia – od zmiešaného učenia až po vzdelávanie v záujme udržateľného rozvoja, či Európsku stratégiu pre univerzity, ako aj projekty financované EÚ, ako sú učiteľské akadémie, koalícia pre vzdelávanie v záujme klímy a centrá </w:t>
      </w:r>
      <w:proofErr w:type="spellStart"/>
      <w:r w:rsidR="00545FF6" w:rsidRPr="00F32790">
        <w:rPr>
          <w:rFonts w:cs="Times New Roman"/>
          <w:color w:val="auto"/>
          <w:szCs w:val="24"/>
        </w:rPr>
        <w:t>excelentnosti</w:t>
      </w:r>
      <w:proofErr w:type="spellEnd"/>
      <w:r w:rsidR="00545FF6" w:rsidRPr="00F32790">
        <w:rPr>
          <w:rFonts w:cs="Times New Roman"/>
          <w:color w:val="auto"/>
          <w:szCs w:val="24"/>
        </w:rPr>
        <w:t xml:space="preserve"> odborného vzdelávania a prípravy.</w:t>
      </w:r>
      <w:r w:rsidR="00545FF6" w:rsidRPr="00F32790">
        <w:rPr>
          <w:rFonts w:cs="Times New Roman"/>
          <w:b/>
          <w:bCs/>
          <w:color w:val="auto"/>
          <w:szCs w:val="24"/>
        </w:rPr>
        <w:t xml:space="preserve"> </w:t>
      </w:r>
    </w:p>
    <w:p w14:paraId="6766C4F2" w14:textId="77777777" w:rsidR="001677AC" w:rsidRDefault="001677AC" w:rsidP="001677AC">
      <w:pPr>
        <w:spacing w:after="0" w:line="240" w:lineRule="auto"/>
        <w:rPr>
          <w:rFonts w:cs="Times New Roman"/>
        </w:rPr>
      </w:pPr>
    </w:p>
    <w:p w14:paraId="77B3E475" w14:textId="1D753D1E" w:rsidR="007F0039" w:rsidRPr="001677AC" w:rsidRDefault="00545FF6" w:rsidP="001677AC">
      <w:pPr>
        <w:spacing w:after="0" w:line="240" w:lineRule="auto"/>
        <w:rPr>
          <w:rFonts w:cs="Times New Roman"/>
        </w:rPr>
      </w:pPr>
      <w:r w:rsidRPr="00F32790">
        <w:rPr>
          <w:rFonts w:cs="Times New Roman"/>
          <w:color w:val="auto"/>
          <w:szCs w:val="24"/>
        </w:rPr>
        <w:t>V roku 2022 úspešne prebiehal druhý rok realizácie programov EÚ Erasmus+ a Európsky zbor solidarity, ktoré sú implementované v rokoch 2021 – 2027</w:t>
      </w:r>
      <w:r w:rsidRPr="00F32790">
        <w:rPr>
          <w:rFonts w:cs="Times New Roman"/>
          <w:b/>
          <w:color w:val="auto"/>
          <w:szCs w:val="24"/>
        </w:rPr>
        <w:t xml:space="preserve">. </w:t>
      </w:r>
      <w:r w:rsidRPr="00F32790">
        <w:rPr>
          <w:rFonts w:cs="Times New Roman"/>
          <w:color w:val="auto"/>
          <w:szCs w:val="24"/>
        </w:rPr>
        <w:t xml:space="preserve">Rok 2022 bol zároveň rokom, v ktorom sa v Európe oslavovalo </w:t>
      </w:r>
      <w:r w:rsidRPr="00F32790">
        <w:rPr>
          <w:rFonts w:cs="Times New Roman"/>
          <w:b/>
          <w:color w:val="auto"/>
          <w:szCs w:val="24"/>
        </w:rPr>
        <w:t>35. výročie programu Erasmus+.</w:t>
      </w:r>
      <w:r w:rsidRPr="00F32790">
        <w:rPr>
          <w:rFonts w:cs="Times New Roman"/>
          <w:color w:val="auto"/>
          <w:szCs w:val="24"/>
        </w:rPr>
        <w:t xml:space="preserve"> </w:t>
      </w:r>
    </w:p>
    <w:p w14:paraId="6AAD0FBD" w14:textId="77777777" w:rsidR="007F0039" w:rsidRPr="00F32790" w:rsidRDefault="007F0039" w:rsidP="001734FE">
      <w:pPr>
        <w:spacing w:after="0" w:line="240" w:lineRule="auto"/>
        <w:rPr>
          <w:rFonts w:cs="Times New Roman"/>
          <w:b/>
          <w:szCs w:val="24"/>
        </w:rPr>
      </w:pPr>
    </w:p>
    <w:p w14:paraId="376EC76C" w14:textId="4B009256" w:rsidR="007F0039" w:rsidRPr="00F32790" w:rsidRDefault="00545FF6" w:rsidP="001734FE">
      <w:pPr>
        <w:spacing w:after="0" w:line="240" w:lineRule="auto"/>
        <w:rPr>
          <w:rFonts w:cs="Times New Roman"/>
          <w:b/>
          <w:szCs w:val="24"/>
        </w:rPr>
      </w:pPr>
      <w:r w:rsidRPr="00F32790">
        <w:rPr>
          <w:rFonts w:cs="Times New Roman"/>
          <w:b/>
          <w:color w:val="auto"/>
          <w:szCs w:val="24"/>
        </w:rPr>
        <w:t>Rok 2022 bol vyhlásený za Európsky rok mládeže,</w:t>
      </w:r>
      <w:r w:rsidR="003F6C62" w:rsidRPr="00F32790">
        <w:rPr>
          <w:rFonts w:cs="Times New Roman"/>
          <w:color w:val="auto"/>
          <w:szCs w:val="24"/>
        </w:rPr>
        <w:t xml:space="preserve"> pr</w:t>
      </w:r>
      <w:r w:rsidRPr="00F32790">
        <w:rPr>
          <w:rFonts w:cs="Times New Roman"/>
          <w:color w:val="auto"/>
          <w:szCs w:val="24"/>
        </w:rPr>
        <w:t>ičom táto iniciatíva bola zameraná na podporu mladých ľudí, osobitne  tých s nedostatkom príležitostí, zo znevýhodnených prostredí alebo skupín, aby mohli získať vhodné vedomosti a kompetencie a stať sa </w:t>
      </w:r>
      <w:r w:rsidRPr="00F32790">
        <w:rPr>
          <w:rFonts w:cs="Times New Roman"/>
          <w:bCs/>
          <w:color w:val="auto"/>
          <w:szCs w:val="24"/>
        </w:rPr>
        <w:t xml:space="preserve">aktívnymi </w:t>
      </w:r>
      <w:r w:rsidR="008E6BE5">
        <w:rPr>
          <w:rFonts w:cs="Times New Roman"/>
          <w:bCs/>
          <w:color w:val="auto"/>
          <w:szCs w:val="24"/>
        </w:rPr>
        <w:br/>
      </w:r>
      <w:r w:rsidRPr="00F32790">
        <w:rPr>
          <w:rFonts w:cs="Times New Roman"/>
          <w:bCs/>
          <w:color w:val="auto"/>
          <w:szCs w:val="24"/>
        </w:rPr>
        <w:t>a angažovanými občanmi</w:t>
      </w:r>
      <w:r w:rsidRPr="00F32790">
        <w:rPr>
          <w:rFonts w:cs="Times New Roman"/>
          <w:color w:val="auto"/>
          <w:szCs w:val="24"/>
        </w:rPr>
        <w:t> s pocitom európskej spolupatričnosti. V súlade so </w:t>
      </w:r>
      <w:r w:rsidRPr="00F32790">
        <w:rPr>
          <w:rFonts w:cs="Times New Roman"/>
          <w:b/>
          <w:color w:val="auto"/>
          <w:szCs w:val="24"/>
        </w:rPr>
        <w:t>stratégiou EÚ pre mládež na roky 2019</w:t>
      </w:r>
      <w:r w:rsidR="00683C0C">
        <w:rPr>
          <w:rFonts w:cs="Times New Roman"/>
          <w:b/>
          <w:color w:val="auto"/>
          <w:szCs w:val="24"/>
        </w:rPr>
        <w:t>-</w:t>
      </w:r>
      <w:r w:rsidRPr="00F32790">
        <w:rPr>
          <w:rFonts w:cs="Times New Roman"/>
          <w:b/>
          <w:color w:val="auto"/>
          <w:szCs w:val="24"/>
        </w:rPr>
        <w:t>2027</w:t>
      </w:r>
      <w:r w:rsidRPr="00F32790">
        <w:rPr>
          <w:rFonts w:cs="Times New Roman"/>
          <w:color w:val="auto"/>
          <w:szCs w:val="24"/>
        </w:rPr>
        <w:t> mala upozorniť na potrebu lepšie zohľadňovať názory mladých na všetkých úrovniach tvorby politík a zároveň ich upozorniť na príležitosti, ktoré im, ako aj celej spoločnosti ponúka </w:t>
      </w:r>
      <w:r w:rsidRPr="00F32790">
        <w:rPr>
          <w:rFonts w:cs="Times New Roman"/>
          <w:bCs/>
          <w:color w:val="auto"/>
          <w:szCs w:val="24"/>
        </w:rPr>
        <w:t>zelená a digitálna transformácia</w:t>
      </w:r>
      <w:r w:rsidRPr="00F32790">
        <w:rPr>
          <w:rFonts w:cs="Times New Roman"/>
          <w:color w:val="auto"/>
          <w:szCs w:val="24"/>
        </w:rPr>
        <w:t xml:space="preserve"> a iné politiky Únie. </w:t>
      </w:r>
    </w:p>
    <w:p w14:paraId="7D9A79F6" w14:textId="77777777" w:rsidR="007F0039" w:rsidRPr="00F32790" w:rsidRDefault="007F0039" w:rsidP="001734FE">
      <w:pPr>
        <w:spacing w:after="0" w:line="240" w:lineRule="auto"/>
        <w:rPr>
          <w:rFonts w:cs="Times New Roman"/>
          <w:b/>
          <w:szCs w:val="24"/>
        </w:rPr>
      </w:pPr>
    </w:p>
    <w:p w14:paraId="48BBC941" w14:textId="3C4CC4D9" w:rsidR="007F0039" w:rsidRPr="00F32790" w:rsidRDefault="008C1099" w:rsidP="001734FE">
      <w:pPr>
        <w:spacing w:after="0" w:line="240" w:lineRule="auto"/>
        <w:rPr>
          <w:rFonts w:cs="Times New Roman"/>
          <w:b/>
          <w:szCs w:val="24"/>
        </w:rPr>
      </w:pPr>
      <w:r>
        <w:rPr>
          <w:rFonts w:cs="Times New Roman"/>
          <w:color w:val="auto"/>
          <w:szCs w:val="24"/>
        </w:rPr>
        <w:t>EK</w:t>
      </w:r>
      <w:r w:rsidR="00545FF6" w:rsidRPr="00F32790">
        <w:rPr>
          <w:rFonts w:cs="Times New Roman"/>
          <w:color w:val="auto"/>
          <w:szCs w:val="24"/>
        </w:rPr>
        <w:t xml:space="preserve"> pripravila v spolupráci s členskými krajinami EÚ 20 návrhov politických akcií, ktorých cieľom je implementovať politickú agendu </w:t>
      </w:r>
      <w:r w:rsidR="00545FF6" w:rsidRPr="00F32790">
        <w:rPr>
          <w:rFonts w:cs="Times New Roman"/>
          <w:b/>
          <w:color w:val="auto"/>
          <w:szCs w:val="24"/>
        </w:rPr>
        <w:t xml:space="preserve">nového Európskeho výskumného priestoru </w:t>
      </w:r>
      <w:r w:rsidR="00545FF6" w:rsidRPr="00683C0C">
        <w:rPr>
          <w:rFonts w:cs="Times New Roman"/>
          <w:color w:val="auto"/>
          <w:szCs w:val="24"/>
        </w:rPr>
        <w:t>(</w:t>
      </w:r>
      <w:r w:rsidR="00683C0C" w:rsidRPr="00683C0C">
        <w:rPr>
          <w:rFonts w:cs="Times New Roman"/>
          <w:color w:val="auto"/>
          <w:szCs w:val="24"/>
        </w:rPr>
        <w:t>ďalej „</w:t>
      </w:r>
      <w:r w:rsidR="00545FF6" w:rsidRPr="00683C0C">
        <w:rPr>
          <w:rFonts w:cs="Times New Roman"/>
          <w:color w:val="auto"/>
          <w:szCs w:val="24"/>
        </w:rPr>
        <w:t>ERA</w:t>
      </w:r>
      <w:r w:rsidR="00683C0C" w:rsidRPr="00683C0C">
        <w:rPr>
          <w:rFonts w:cs="Times New Roman"/>
          <w:color w:val="auto"/>
          <w:szCs w:val="24"/>
        </w:rPr>
        <w:t>“</w:t>
      </w:r>
      <w:r w:rsidR="00545FF6" w:rsidRPr="00683C0C">
        <w:rPr>
          <w:rFonts w:cs="Times New Roman"/>
          <w:color w:val="auto"/>
          <w:szCs w:val="24"/>
        </w:rPr>
        <w:t>)</w:t>
      </w:r>
      <w:r w:rsidR="003F6C62" w:rsidRPr="00683C0C">
        <w:rPr>
          <w:rFonts w:cs="Times New Roman"/>
          <w:color w:val="auto"/>
          <w:szCs w:val="24"/>
        </w:rPr>
        <w:t>.</w:t>
      </w:r>
      <w:r w:rsidR="003F6C62" w:rsidRPr="00F32790">
        <w:rPr>
          <w:rFonts w:cs="Times New Roman"/>
          <w:b/>
          <w:color w:val="auto"/>
          <w:szCs w:val="24"/>
        </w:rPr>
        <w:t xml:space="preserve"> </w:t>
      </w:r>
      <w:r w:rsidR="00545FF6" w:rsidRPr="00F32790">
        <w:rPr>
          <w:rFonts w:cs="Times New Roman"/>
          <w:bCs/>
          <w:color w:val="auto"/>
          <w:szCs w:val="24"/>
        </w:rPr>
        <w:t xml:space="preserve">Cieľom je </w:t>
      </w:r>
      <w:proofErr w:type="spellStart"/>
      <w:r w:rsidR="00545FF6" w:rsidRPr="00F32790">
        <w:rPr>
          <w:rFonts w:cs="Times New Roman"/>
          <w:bCs/>
          <w:color w:val="auto"/>
          <w:szCs w:val="24"/>
        </w:rPr>
        <w:t>prioritizácia</w:t>
      </w:r>
      <w:proofErr w:type="spellEnd"/>
      <w:r w:rsidR="00545FF6" w:rsidRPr="00F32790">
        <w:rPr>
          <w:rFonts w:cs="Times New Roman"/>
          <w:bCs/>
          <w:color w:val="auto"/>
          <w:szCs w:val="24"/>
        </w:rPr>
        <w:t xml:space="preserve"> investícií a zlepšenie uplatnenia výsledkov výskumu a inovácií na trhu, posilnenie mobility výskumníkov a voľný prístup k vedomostiam a technológiám a zlepšenie prístupu ku kvalitnému výskumu a infraštruktúram pre výskumníkov v rámci celej EÚ.</w:t>
      </w:r>
    </w:p>
    <w:p w14:paraId="64172749" w14:textId="77777777" w:rsidR="007F0039" w:rsidRPr="00F32790" w:rsidRDefault="007F0039" w:rsidP="001734FE">
      <w:pPr>
        <w:spacing w:after="0" w:line="240" w:lineRule="auto"/>
        <w:rPr>
          <w:rFonts w:cs="Times New Roman"/>
          <w:b/>
          <w:szCs w:val="24"/>
        </w:rPr>
      </w:pPr>
    </w:p>
    <w:p w14:paraId="4E3D36C5" w14:textId="682887BB" w:rsidR="007F0039" w:rsidRPr="00F32790" w:rsidRDefault="00147C10" w:rsidP="001734FE">
      <w:pPr>
        <w:spacing w:after="0" w:line="240" w:lineRule="auto"/>
        <w:rPr>
          <w:rFonts w:cs="Times New Roman"/>
          <w:b/>
          <w:szCs w:val="24"/>
        </w:rPr>
      </w:pPr>
      <w:r>
        <w:rPr>
          <w:rFonts w:cs="Times New Roman"/>
          <w:color w:val="auto"/>
          <w:szCs w:val="24"/>
        </w:rPr>
        <w:t>SR</w:t>
      </w:r>
      <w:r w:rsidR="00545FF6" w:rsidRPr="00F32790">
        <w:rPr>
          <w:rFonts w:cs="Times New Roman"/>
          <w:color w:val="auto"/>
          <w:szCs w:val="24"/>
        </w:rPr>
        <w:t xml:space="preserve"> sa aktívne zapojil</w:t>
      </w:r>
      <w:r>
        <w:rPr>
          <w:rFonts w:cs="Times New Roman"/>
          <w:color w:val="auto"/>
          <w:szCs w:val="24"/>
        </w:rPr>
        <w:t>a</w:t>
      </w:r>
      <w:r w:rsidR="00545FF6" w:rsidRPr="00F32790">
        <w:rPr>
          <w:rFonts w:cs="Times New Roman"/>
          <w:color w:val="auto"/>
          <w:szCs w:val="24"/>
        </w:rPr>
        <w:t xml:space="preserve"> do prípravy ERA akcií prostredníctvom Fóra EK pre ERA a následne bol z našej strany potvrdený záväzok zapojiť sa do </w:t>
      </w:r>
      <w:r w:rsidR="00545FF6" w:rsidRPr="00F32790">
        <w:rPr>
          <w:rFonts w:cs="Times New Roman"/>
          <w:b/>
          <w:color w:val="auto"/>
          <w:szCs w:val="24"/>
        </w:rPr>
        <w:t>implementácie 1</w:t>
      </w:r>
      <w:r w:rsidR="001677AC">
        <w:rPr>
          <w:rFonts w:cs="Times New Roman"/>
          <w:b/>
          <w:color w:val="auto"/>
          <w:szCs w:val="24"/>
        </w:rPr>
        <w:t>1</w:t>
      </w:r>
      <w:r w:rsidR="00545FF6" w:rsidRPr="00F32790">
        <w:rPr>
          <w:rFonts w:cs="Times New Roman"/>
          <w:b/>
          <w:color w:val="auto"/>
          <w:szCs w:val="24"/>
        </w:rPr>
        <w:t xml:space="preserve"> ERA akcií</w:t>
      </w:r>
      <w:r w:rsidR="00545FF6" w:rsidRPr="00F32790">
        <w:rPr>
          <w:rFonts w:cs="Times New Roman"/>
          <w:color w:val="auto"/>
          <w:szCs w:val="24"/>
        </w:rPr>
        <w:t xml:space="preserve"> s účasťou viacerých rezortov, výskumných organizácií a slovenských univerzít. ERA akcie s našou účasťou pokrývajú širokú škálu oblastí od reforiem vysokoškolského vzdelávania, otvorenej vedy, podpory kariéry výskumníka cez dekarbonizáciu priemyslu a podporu vodíka, výskumné infraštruktúry až po priblíženie vedy verejnosti. </w:t>
      </w:r>
    </w:p>
    <w:p w14:paraId="3D9F9322" w14:textId="77777777" w:rsidR="007F0039" w:rsidRPr="00F32790" w:rsidRDefault="007F0039" w:rsidP="001734FE">
      <w:pPr>
        <w:spacing w:after="0" w:line="240" w:lineRule="auto"/>
        <w:rPr>
          <w:rFonts w:cs="Times New Roman"/>
          <w:b/>
          <w:szCs w:val="24"/>
        </w:rPr>
      </w:pPr>
    </w:p>
    <w:p w14:paraId="3C6C885B" w14:textId="35B65F6C" w:rsidR="001677AC" w:rsidRDefault="001677AC" w:rsidP="001677AC">
      <w:pPr>
        <w:spacing w:after="0"/>
        <w:rPr>
          <w:b/>
        </w:rPr>
      </w:pPr>
      <w:r w:rsidRPr="003F6C62">
        <w:rPr>
          <w:rFonts w:cs="Times New Roman"/>
          <w:color w:val="auto"/>
          <w:szCs w:val="24"/>
        </w:rPr>
        <w:lastRenderedPageBreak/>
        <w:t xml:space="preserve">Najdôležitejším nástrojom pre podporu výskumu a inovácií s osobitným dôrazom na príspevok k zelenej a digitálnej transformácii je </w:t>
      </w:r>
      <w:r>
        <w:rPr>
          <w:rFonts w:cs="Times New Roman"/>
          <w:b/>
          <w:color w:val="auto"/>
          <w:szCs w:val="24"/>
        </w:rPr>
        <w:t>r</w:t>
      </w:r>
      <w:r w:rsidRPr="003F6C62">
        <w:rPr>
          <w:rFonts w:cs="Times New Roman"/>
          <w:b/>
          <w:color w:val="auto"/>
          <w:szCs w:val="24"/>
        </w:rPr>
        <w:t xml:space="preserve">ámcový program EÚ pre výskum a inovácie na roky 2021–2027 Horizont Európa. </w:t>
      </w:r>
      <w:r w:rsidRPr="003F6C62">
        <w:rPr>
          <w:rFonts w:cs="Times New Roman"/>
          <w:color w:val="auto"/>
          <w:szCs w:val="24"/>
        </w:rPr>
        <w:t xml:space="preserve">Podľa prvých štatistík EK sa </w:t>
      </w:r>
      <w:r>
        <w:rPr>
          <w:rFonts w:cs="Times New Roman"/>
          <w:color w:val="auto"/>
          <w:szCs w:val="24"/>
        </w:rPr>
        <w:t>k </w:t>
      </w:r>
      <w:r w:rsidR="00F43B61">
        <w:rPr>
          <w:rFonts w:cs="Times New Roman"/>
          <w:color w:val="auto"/>
          <w:szCs w:val="24"/>
        </w:rPr>
        <w:t xml:space="preserve"> januáru</w:t>
      </w:r>
      <w:r>
        <w:rPr>
          <w:rFonts w:cs="Times New Roman"/>
          <w:color w:val="auto"/>
          <w:szCs w:val="24"/>
        </w:rPr>
        <w:t>2023</w:t>
      </w:r>
      <w:r w:rsidRPr="003F6C62">
        <w:rPr>
          <w:rFonts w:cs="Times New Roman"/>
          <w:color w:val="auto"/>
          <w:szCs w:val="24"/>
        </w:rPr>
        <w:t xml:space="preserve"> slovenské inštitúcie </w:t>
      </w:r>
      <w:r>
        <w:rPr>
          <w:rFonts w:cs="Times New Roman"/>
          <w:color w:val="auto"/>
          <w:szCs w:val="24"/>
        </w:rPr>
        <w:t xml:space="preserve">149 účasťami </w:t>
      </w:r>
      <w:r w:rsidRPr="003F6C62">
        <w:rPr>
          <w:rFonts w:cs="Times New Roman"/>
          <w:color w:val="auto"/>
          <w:szCs w:val="24"/>
        </w:rPr>
        <w:t>zapojil</w:t>
      </w:r>
      <w:r w:rsidR="006E1F6A">
        <w:rPr>
          <w:rFonts w:cs="Times New Roman"/>
          <w:color w:val="auto"/>
          <w:szCs w:val="24"/>
        </w:rPr>
        <w:t>i</w:t>
      </w:r>
      <w:r w:rsidRPr="003F6C62">
        <w:rPr>
          <w:rFonts w:cs="Times New Roman"/>
          <w:color w:val="auto"/>
          <w:szCs w:val="24"/>
        </w:rPr>
        <w:t xml:space="preserve"> do 1</w:t>
      </w:r>
      <w:r>
        <w:rPr>
          <w:rFonts w:cs="Times New Roman"/>
          <w:color w:val="auto"/>
          <w:szCs w:val="24"/>
        </w:rPr>
        <w:t>16</w:t>
      </w:r>
      <w:r w:rsidRPr="003F6C62">
        <w:rPr>
          <w:rFonts w:cs="Times New Roman"/>
          <w:color w:val="auto"/>
          <w:szCs w:val="24"/>
        </w:rPr>
        <w:t xml:space="preserve"> úspešných projektov schválených a financovaných EK, pričom získaný príspevok EK dosahuje 2</w:t>
      </w:r>
      <w:r>
        <w:rPr>
          <w:rFonts w:cs="Times New Roman"/>
          <w:color w:val="auto"/>
          <w:szCs w:val="24"/>
        </w:rPr>
        <w:t>8</w:t>
      </w:r>
      <w:r w:rsidRPr="003F6C62">
        <w:rPr>
          <w:rFonts w:cs="Times New Roman"/>
          <w:color w:val="auto"/>
          <w:szCs w:val="24"/>
        </w:rPr>
        <w:t xml:space="preserve">,4 mil. EUR. Projekty smerujú najmä do oblastí konkurencieschopnosti európskeho priemyslu a globálnych výziev, excelentnej vedy a rozširovania účasti a šírenia </w:t>
      </w:r>
      <w:proofErr w:type="spellStart"/>
      <w:r w:rsidRPr="003F6C62">
        <w:rPr>
          <w:rFonts w:cs="Times New Roman"/>
          <w:color w:val="auto"/>
          <w:szCs w:val="24"/>
        </w:rPr>
        <w:t>excelentnosti</w:t>
      </w:r>
      <w:proofErr w:type="spellEnd"/>
      <w:r w:rsidRPr="003F6C62">
        <w:rPr>
          <w:rFonts w:cs="Times New Roman"/>
          <w:color w:val="auto"/>
          <w:szCs w:val="24"/>
        </w:rPr>
        <w:t xml:space="preserve">. Významným úspechom je aj získanie projektu ERC </w:t>
      </w:r>
      <w:proofErr w:type="spellStart"/>
      <w:r>
        <w:rPr>
          <w:rFonts w:cs="Times New Roman"/>
          <w:color w:val="auto"/>
          <w:szCs w:val="24"/>
        </w:rPr>
        <w:t>Starting</w:t>
      </w:r>
      <w:proofErr w:type="spellEnd"/>
      <w:r>
        <w:rPr>
          <w:rFonts w:cs="Times New Roman"/>
          <w:color w:val="auto"/>
          <w:szCs w:val="24"/>
        </w:rPr>
        <w:t xml:space="preserve"> Grant</w:t>
      </w:r>
      <w:r w:rsidRPr="003F6C62">
        <w:rPr>
          <w:rFonts w:cs="Times New Roman"/>
          <w:color w:val="auto"/>
          <w:szCs w:val="24"/>
        </w:rPr>
        <w:t xml:space="preserve"> pre začínajúcich výskumníkov Sociologickým ústavom SAV</w:t>
      </w:r>
      <w:r w:rsidR="006E1F6A">
        <w:rPr>
          <w:rFonts w:cs="Times New Roman"/>
          <w:color w:val="auto"/>
          <w:szCs w:val="24"/>
        </w:rPr>
        <w:t>. P</w:t>
      </w:r>
      <w:r w:rsidRPr="003F6C62">
        <w:rPr>
          <w:rFonts w:cs="Times New Roman"/>
          <w:color w:val="auto"/>
          <w:szCs w:val="24"/>
        </w:rPr>
        <w:t xml:space="preserve">rojekty ERC zamerané na základný výskum na hraniciach poznania patria medzi najprestížnejšie </w:t>
      </w:r>
      <w:r>
        <w:rPr>
          <w:rFonts w:cs="Times New Roman"/>
          <w:color w:val="auto"/>
          <w:szCs w:val="24"/>
        </w:rPr>
        <w:t xml:space="preserve">európske granty. </w:t>
      </w:r>
      <w:r w:rsidR="006E1F6A">
        <w:rPr>
          <w:rFonts w:cs="Times New Roman"/>
          <w:color w:val="auto"/>
          <w:szCs w:val="24"/>
        </w:rPr>
        <w:t>SR</w:t>
      </w:r>
      <w:r w:rsidRPr="003F6C62">
        <w:rPr>
          <w:rFonts w:cs="Times New Roman"/>
          <w:color w:val="auto"/>
          <w:szCs w:val="24"/>
        </w:rPr>
        <w:t xml:space="preserve"> sa úspešne zapojilo aj do misií Horizontu Európa ako nových nástrojov na riešenie aktuálnych výziev týkajúcich </w:t>
      </w:r>
      <w:r w:rsidR="006E1F6A">
        <w:rPr>
          <w:rFonts w:cs="Times New Roman"/>
          <w:color w:val="auto"/>
          <w:szCs w:val="24"/>
        </w:rPr>
        <w:t xml:space="preserve">sa priamo </w:t>
      </w:r>
      <w:r w:rsidRPr="003F6C62">
        <w:rPr>
          <w:rFonts w:cs="Times New Roman"/>
          <w:color w:val="auto"/>
          <w:szCs w:val="24"/>
        </w:rPr>
        <w:t xml:space="preserve">života občanov EÚ. Vyzdvihnúť je možné úspech Bratislavy a Košíc, ktoré uspeli v konkurencii </w:t>
      </w:r>
      <w:r w:rsidR="006E1F6A">
        <w:rPr>
          <w:rFonts w:cs="Times New Roman"/>
          <w:color w:val="auto"/>
          <w:szCs w:val="24"/>
        </w:rPr>
        <w:t xml:space="preserve">s </w:t>
      </w:r>
      <w:r w:rsidRPr="003F6C62">
        <w:rPr>
          <w:rFonts w:cs="Times New Roman"/>
          <w:color w:val="auto"/>
          <w:szCs w:val="24"/>
        </w:rPr>
        <w:t>377 európsky</w:t>
      </w:r>
      <w:r w:rsidR="006E1F6A">
        <w:rPr>
          <w:rFonts w:cs="Times New Roman"/>
          <w:color w:val="auto"/>
          <w:szCs w:val="24"/>
        </w:rPr>
        <w:t>mi mestami</w:t>
      </w:r>
      <w:r w:rsidRPr="003F6C62">
        <w:rPr>
          <w:rFonts w:cs="Times New Roman"/>
          <w:color w:val="auto"/>
          <w:szCs w:val="24"/>
        </w:rPr>
        <w:t xml:space="preserve"> vo výzve misie „100 klimaticky neutrálnych miest do roku 2030“ a budú sa tak môcť zapojiť do pilotných  projektov zameraných na klimatickú neutralitu.</w:t>
      </w:r>
      <w:r>
        <w:rPr>
          <w:rFonts w:cs="Times New Roman"/>
          <w:color w:val="auto"/>
          <w:szCs w:val="24"/>
        </w:rPr>
        <w:t xml:space="preserve"> </w:t>
      </w:r>
      <w:r w:rsidRPr="001677AC">
        <w:rPr>
          <w:rFonts w:cs="Times New Roman"/>
          <w:color w:val="auto"/>
          <w:szCs w:val="24"/>
        </w:rPr>
        <w:t>V rámci misie „Adaptácia na zmenu klímy“, ktorej cieľom je podporiť najmenej 150 regiónov a komunít pri urýchlení ich transformácie smerom k odolnosti voči zmene klímy do roku 2030, podpísali chartu misie mestá Banská Bystrica, Košice, Žilina a mestská časť Bratislava-Rača.</w:t>
      </w:r>
    </w:p>
    <w:p w14:paraId="2AB7E905" w14:textId="77777777" w:rsidR="001677AC" w:rsidRDefault="001677AC" w:rsidP="001677AC">
      <w:pPr>
        <w:spacing w:after="0"/>
        <w:rPr>
          <w:b/>
        </w:rPr>
      </w:pPr>
    </w:p>
    <w:p w14:paraId="3345048D" w14:textId="75EBF509" w:rsidR="007F0039" w:rsidRPr="00F32790" w:rsidRDefault="006E1F6A" w:rsidP="006E1F6A">
      <w:pPr>
        <w:spacing w:after="0" w:line="240" w:lineRule="auto"/>
        <w:rPr>
          <w:rFonts w:cs="Times New Roman"/>
          <w:b/>
          <w:szCs w:val="24"/>
        </w:rPr>
      </w:pPr>
      <w:r w:rsidRPr="003F6C62">
        <w:rPr>
          <w:rFonts w:cs="Times New Roman"/>
          <w:color w:val="auto"/>
          <w:szCs w:val="24"/>
        </w:rPr>
        <w:t xml:space="preserve">Kľúčovým dokumentom </w:t>
      </w:r>
      <w:r>
        <w:rPr>
          <w:rFonts w:cs="Times New Roman"/>
          <w:color w:val="auto"/>
          <w:szCs w:val="24"/>
        </w:rPr>
        <w:t xml:space="preserve">pre slovenskú výskumno-inovačnú komunitu je </w:t>
      </w:r>
      <w:r w:rsidRPr="006E1F6A">
        <w:rPr>
          <w:rFonts w:cs="Times New Roman"/>
          <w:b/>
          <w:color w:val="auto"/>
          <w:szCs w:val="24"/>
        </w:rPr>
        <w:t>nový pracovný program Horizontu Európa na roky 2023</w:t>
      </w:r>
      <w:r>
        <w:rPr>
          <w:rFonts w:cs="Times New Roman"/>
          <w:b/>
          <w:color w:val="auto"/>
          <w:szCs w:val="24"/>
        </w:rPr>
        <w:t>-</w:t>
      </w:r>
      <w:r w:rsidRPr="006E1F6A">
        <w:rPr>
          <w:rFonts w:cs="Times New Roman"/>
          <w:b/>
          <w:color w:val="auto"/>
          <w:szCs w:val="24"/>
        </w:rPr>
        <w:t>2024</w:t>
      </w:r>
      <w:r>
        <w:rPr>
          <w:rFonts w:cs="Times New Roman"/>
          <w:color w:val="auto"/>
          <w:szCs w:val="24"/>
        </w:rPr>
        <w:t xml:space="preserve">, </w:t>
      </w:r>
      <w:r w:rsidRPr="003F6C62">
        <w:rPr>
          <w:rFonts w:cs="Times New Roman"/>
          <w:color w:val="auto"/>
          <w:szCs w:val="24"/>
        </w:rPr>
        <w:t>do prípravy ktorého sa zapája</w:t>
      </w:r>
      <w:r>
        <w:rPr>
          <w:rFonts w:cs="Times New Roman"/>
          <w:color w:val="auto"/>
          <w:szCs w:val="24"/>
        </w:rPr>
        <w:t>li</w:t>
      </w:r>
      <w:r w:rsidRPr="003F6C62">
        <w:rPr>
          <w:rFonts w:cs="Times New Roman"/>
          <w:color w:val="auto"/>
          <w:szCs w:val="24"/>
        </w:rPr>
        <w:t xml:space="preserve"> aj naši národní delegáti v</w:t>
      </w:r>
      <w:r>
        <w:rPr>
          <w:rFonts w:cs="Times New Roman"/>
          <w:color w:val="auto"/>
          <w:szCs w:val="24"/>
        </w:rPr>
        <w:t xml:space="preserve"> tematických</w:t>
      </w:r>
      <w:r w:rsidRPr="003F6C62">
        <w:rPr>
          <w:rFonts w:cs="Times New Roman"/>
          <w:color w:val="auto"/>
          <w:szCs w:val="24"/>
        </w:rPr>
        <w:t> programových výboroch</w:t>
      </w:r>
      <w:r>
        <w:rPr>
          <w:rFonts w:cs="Times New Roman"/>
          <w:color w:val="auto"/>
          <w:szCs w:val="24"/>
        </w:rPr>
        <w:t>.</w:t>
      </w:r>
      <w:r w:rsidRPr="003F6C62">
        <w:rPr>
          <w:rFonts w:cs="Times New Roman"/>
          <w:color w:val="auto"/>
          <w:szCs w:val="24"/>
        </w:rPr>
        <w:t xml:space="preserve"> </w:t>
      </w:r>
      <w:r w:rsidRPr="006E1F6A">
        <w:rPr>
          <w:rFonts w:cs="Times New Roman"/>
          <w:color w:val="auto"/>
          <w:szCs w:val="24"/>
        </w:rPr>
        <w:t>Rovnako sú to príležitosti Európskej rady pre výskum (</w:t>
      </w:r>
      <w:r>
        <w:rPr>
          <w:rFonts w:cs="Times New Roman"/>
          <w:color w:val="auto"/>
          <w:szCs w:val="24"/>
        </w:rPr>
        <w:t>ďalej „</w:t>
      </w:r>
      <w:r w:rsidRPr="006E1F6A">
        <w:rPr>
          <w:rFonts w:cs="Times New Roman"/>
          <w:color w:val="auto"/>
          <w:szCs w:val="24"/>
        </w:rPr>
        <w:t>ERC</w:t>
      </w:r>
      <w:r>
        <w:rPr>
          <w:rFonts w:cs="Times New Roman"/>
          <w:color w:val="auto"/>
          <w:szCs w:val="24"/>
        </w:rPr>
        <w:t>“</w:t>
      </w:r>
      <w:r w:rsidRPr="006E1F6A">
        <w:rPr>
          <w:rFonts w:cs="Times New Roman"/>
          <w:color w:val="auto"/>
          <w:szCs w:val="24"/>
        </w:rPr>
        <w:t>), Európskej rady pre inovácie (</w:t>
      </w:r>
      <w:r>
        <w:rPr>
          <w:rFonts w:cs="Times New Roman"/>
          <w:color w:val="auto"/>
          <w:szCs w:val="24"/>
        </w:rPr>
        <w:t>ďalej „</w:t>
      </w:r>
      <w:r w:rsidRPr="006E1F6A">
        <w:rPr>
          <w:rFonts w:cs="Times New Roman"/>
          <w:color w:val="auto"/>
          <w:szCs w:val="24"/>
        </w:rPr>
        <w:t>EIC</w:t>
      </w:r>
      <w:r>
        <w:rPr>
          <w:rFonts w:cs="Times New Roman"/>
          <w:color w:val="auto"/>
          <w:szCs w:val="24"/>
        </w:rPr>
        <w:t>“</w:t>
      </w:r>
      <w:r w:rsidRPr="006E1F6A">
        <w:rPr>
          <w:rFonts w:cs="Times New Roman"/>
          <w:color w:val="auto"/>
          <w:szCs w:val="24"/>
        </w:rPr>
        <w:t>) či európskych partnerstiev. Aktuálne je v príprave</w:t>
      </w:r>
      <w:r w:rsidRPr="00B47C37">
        <w:rPr>
          <w:color w:val="auto"/>
        </w:rPr>
        <w:t xml:space="preserve"> </w:t>
      </w:r>
      <w:r w:rsidR="00545FF6" w:rsidRPr="00F32790">
        <w:rPr>
          <w:rFonts w:cs="Times New Roman"/>
          <w:b/>
          <w:color w:val="auto"/>
          <w:szCs w:val="24"/>
        </w:rPr>
        <w:t>zámer Strategického plánu na roky 2025 až 2027</w:t>
      </w:r>
      <w:r w:rsidR="00545FF6" w:rsidRPr="00F32790">
        <w:rPr>
          <w:rFonts w:cs="Times New Roman"/>
          <w:color w:val="auto"/>
          <w:szCs w:val="24"/>
        </w:rPr>
        <w:t>, ktorý bude formovať obs</w:t>
      </w:r>
      <w:r w:rsidR="00825F2B">
        <w:rPr>
          <w:rFonts w:cs="Times New Roman"/>
          <w:color w:val="auto"/>
          <w:szCs w:val="24"/>
        </w:rPr>
        <w:t>ahové zameranie budúcich výziev</w:t>
      </w:r>
      <w:r w:rsidR="00545FF6" w:rsidRPr="00F32790">
        <w:rPr>
          <w:rFonts w:cs="Times New Roman"/>
          <w:color w:val="auto"/>
          <w:szCs w:val="24"/>
        </w:rPr>
        <w:t xml:space="preserve"> tak aby smerovali k napĺňan</w:t>
      </w:r>
      <w:r>
        <w:rPr>
          <w:rFonts w:cs="Times New Roman"/>
          <w:color w:val="auto"/>
          <w:szCs w:val="24"/>
        </w:rPr>
        <w:t xml:space="preserve">iu strategických priorít EÚ. </w:t>
      </w:r>
      <w:r w:rsidR="00545FF6" w:rsidRPr="00F32790">
        <w:rPr>
          <w:rFonts w:cs="Times New Roman"/>
          <w:color w:val="auto"/>
          <w:szCs w:val="24"/>
        </w:rPr>
        <w:t xml:space="preserve">K vyššej účasti </w:t>
      </w:r>
      <w:r w:rsidR="00147C10">
        <w:rPr>
          <w:rFonts w:cs="Times New Roman"/>
          <w:color w:val="auto"/>
          <w:szCs w:val="24"/>
        </w:rPr>
        <w:t>SR</w:t>
      </w:r>
      <w:r w:rsidR="00545FF6" w:rsidRPr="00F32790">
        <w:rPr>
          <w:rFonts w:cs="Times New Roman"/>
          <w:color w:val="auto"/>
          <w:szCs w:val="24"/>
        </w:rPr>
        <w:t xml:space="preserve"> v projektoch Horizontu Európa by mali taktiež prispieť očakávané podporené opatrenia, ako súčasť budúcich výziev v rámci </w:t>
      </w:r>
      <w:r w:rsidR="00A35265">
        <w:rPr>
          <w:rFonts w:cs="Times New Roman"/>
          <w:color w:val="auto"/>
          <w:szCs w:val="24"/>
        </w:rPr>
        <w:t>Programu Slovensko 2021 - 2027</w:t>
      </w:r>
      <w:r w:rsidR="00545FF6" w:rsidRPr="00F32790">
        <w:rPr>
          <w:rFonts w:cs="Times New Roman"/>
          <w:color w:val="auto"/>
          <w:szCs w:val="24"/>
        </w:rPr>
        <w:t xml:space="preserve"> a Plánu obnovy a odolnosti SR. Opatrenia by mali byť zamerané medziiným na financovanie projektov so známkou </w:t>
      </w:r>
      <w:proofErr w:type="spellStart"/>
      <w:r w:rsidR="00545FF6" w:rsidRPr="00F32790">
        <w:rPr>
          <w:rFonts w:cs="Times New Roman"/>
          <w:color w:val="auto"/>
          <w:szCs w:val="24"/>
        </w:rPr>
        <w:t>Seal</w:t>
      </w:r>
      <w:proofErr w:type="spellEnd"/>
      <w:r w:rsidR="00545FF6" w:rsidRPr="00F32790">
        <w:rPr>
          <w:rFonts w:cs="Times New Roman"/>
          <w:color w:val="auto"/>
          <w:szCs w:val="24"/>
        </w:rPr>
        <w:t xml:space="preserve"> of Excellence, projekty pre zvyšovanie účasti a šírenie </w:t>
      </w:r>
      <w:proofErr w:type="spellStart"/>
      <w:r w:rsidR="00545FF6" w:rsidRPr="00F32790">
        <w:rPr>
          <w:rFonts w:cs="Times New Roman"/>
          <w:color w:val="auto"/>
          <w:szCs w:val="24"/>
        </w:rPr>
        <w:t>excelentnosti</w:t>
      </w:r>
      <w:proofErr w:type="spellEnd"/>
      <w:r w:rsidR="00545FF6" w:rsidRPr="00F32790">
        <w:rPr>
          <w:rFonts w:cs="Times New Roman"/>
          <w:color w:val="auto"/>
          <w:szCs w:val="24"/>
        </w:rPr>
        <w:t>, proj</w:t>
      </w:r>
      <w:r w:rsidR="00825F2B">
        <w:rPr>
          <w:rFonts w:cs="Times New Roman"/>
          <w:color w:val="auto"/>
          <w:szCs w:val="24"/>
        </w:rPr>
        <w:t>ekty</w:t>
      </w:r>
      <w:r w:rsidR="00545FF6" w:rsidRPr="00F32790">
        <w:rPr>
          <w:rFonts w:cs="Times New Roman"/>
          <w:color w:val="auto"/>
          <w:szCs w:val="24"/>
        </w:rPr>
        <w:t xml:space="preserve"> ERC a </w:t>
      </w:r>
      <w:proofErr w:type="spellStart"/>
      <w:r w:rsidR="00545FF6" w:rsidRPr="00F32790">
        <w:rPr>
          <w:rFonts w:cs="Times New Roman"/>
          <w:color w:val="auto"/>
          <w:szCs w:val="24"/>
        </w:rPr>
        <w:t>Marie</w:t>
      </w:r>
      <w:proofErr w:type="spellEnd"/>
      <w:r w:rsidR="00545FF6" w:rsidRPr="00F32790">
        <w:rPr>
          <w:rFonts w:cs="Times New Roman"/>
          <w:color w:val="auto"/>
          <w:szCs w:val="24"/>
        </w:rPr>
        <w:t xml:space="preserve"> </w:t>
      </w:r>
      <w:proofErr w:type="spellStart"/>
      <w:r w:rsidR="00545FF6" w:rsidRPr="00F32790">
        <w:rPr>
          <w:rFonts w:cs="Times New Roman"/>
          <w:color w:val="auto"/>
          <w:szCs w:val="24"/>
        </w:rPr>
        <w:t>Sklodowska</w:t>
      </w:r>
      <w:proofErr w:type="spellEnd"/>
      <w:r w:rsidR="00360C13">
        <w:rPr>
          <w:rFonts w:cs="Times New Roman"/>
          <w:color w:val="auto"/>
          <w:szCs w:val="24"/>
        </w:rPr>
        <w:t>-</w:t>
      </w:r>
      <w:r w:rsidR="00545FF6" w:rsidRPr="00F32790">
        <w:rPr>
          <w:rFonts w:cs="Times New Roman"/>
          <w:color w:val="auto"/>
          <w:szCs w:val="24"/>
        </w:rPr>
        <w:t>Curie alebo podporu účasti v nových európskych výskumných a inovačných partnerstvách.</w:t>
      </w:r>
    </w:p>
    <w:p w14:paraId="4DEA0D4B" w14:textId="77777777" w:rsidR="007F0039" w:rsidRPr="00F32790" w:rsidRDefault="007F0039" w:rsidP="001734FE">
      <w:pPr>
        <w:spacing w:after="0" w:line="240" w:lineRule="auto"/>
        <w:rPr>
          <w:rFonts w:cs="Times New Roman"/>
          <w:b/>
          <w:szCs w:val="24"/>
        </w:rPr>
      </w:pPr>
    </w:p>
    <w:p w14:paraId="034BE7AA" w14:textId="77777777" w:rsidR="007F0039" w:rsidRPr="00F32790" w:rsidRDefault="00545FF6" w:rsidP="001734FE">
      <w:pPr>
        <w:spacing w:after="0" w:line="240" w:lineRule="auto"/>
        <w:rPr>
          <w:rFonts w:cs="Times New Roman"/>
          <w:b/>
          <w:szCs w:val="24"/>
        </w:rPr>
      </w:pPr>
      <w:r w:rsidRPr="00F32790">
        <w:rPr>
          <w:rFonts w:cs="Times New Roman"/>
          <w:color w:val="auto"/>
          <w:szCs w:val="24"/>
        </w:rPr>
        <w:t xml:space="preserve">V oblasti </w:t>
      </w:r>
      <w:r w:rsidRPr="00F32790">
        <w:rPr>
          <w:rFonts w:cs="Times New Roman"/>
          <w:b/>
          <w:color w:val="auto"/>
          <w:szCs w:val="24"/>
        </w:rPr>
        <w:t>vesmírnej politiky</w:t>
      </w:r>
      <w:r w:rsidRPr="00F32790">
        <w:rPr>
          <w:rFonts w:cs="Times New Roman"/>
          <w:color w:val="auto"/>
          <w:szCs w:val="24"/>
        </w:rPr>
        <w:t xml:space="preserve"> sa na úrovni EÚ prerokovávali najmä otázky súvisiace s posilňovaním pozície EÚ vo vesmírnom priestore ako aj s čoraz väčším hospodárskym využívaním tohto priestoru pri riešení problémov, ktorým v súčasnosti čelíme (ako napr. krízový manažment a humanitárna pomoc, biodiverzita, klimatické služby, monitorovanie životného prostredia, či železničná, cestná a automobilová doprava). </w:t>
      </w:r>
    </w:p>
    <w:p w14:paraId="029D524E" w14:textId="77777777" w:rsidR="007F0039" w:rsidRPr="00F32790" w:rsidRDefault="007F0039" w:rsidP="001734FE">
      <w:pPr>
        <w:spacing w:after="0" w:line="240" w:lineRule="auto"/>
        <w:rPr>
          <w:rFonts w:cs="Times New Roman"/>
          <w:b/>
          <w:szCs w:val="24"/>
        </w:rPr>
      </w:pPr>
    </w:p>
    <w:p w14:paraId="2DCFA887" w14:textId="003F4D32" w:rsidR="007F0039" w:rsidRPr="00F32790" w:rsidRDefault="00545FF6" w:rsidP="001734FE">
      <w:pPr>
        <w:spacing w:after="0" w:line="240" w:lineRule="auto"/>
        <w:rPr>
          <w:rFonts w:cs="Times New Roman"/>
          <w:b/>
          <w:szCs w:val="24"/>
        </w:rPr>
      </w:pPr>
      <w:r w:rsidRPr="00F32790">
        <w:rPr>
          <w:rFonts w:cs="Times New Roman"/>
          <w:color w:val="auto"/>
          <w:szCs w:val="24"/>
        </w:rPr>
        <w:t xml:space="preserve">Kľúčovým dokumentom v roku 2022 bol návrh </w:t>
      </w:r>
      <w:r w:rsidRPr="00F32790">
        <w:rPr>
          <w:rFonts w:cs="Times New Roman"/>
          <w:b/>
          <w:bCs/>
          <w:color w:val="auto"/>
          <w:szCs w:val="24"/>
        </w:rPr>
        <w:t xml:space="preserve">Nariadenia, ktorým sa zriaďuje program Únie pre bezpečnú konektivitu na obdobie 2023 – 2027, </w:t>
      </w:r>
      <w:r w:rsidRPr="00F32790">
        <w:rPr>
          <w:rFonts w:cs="Times New Roman"/>
          <w:bCs/>
          <w:color w:val="auto"/>
          <w:szCs w:val="24"/>
        </w:rPr>
        <w:t>ktorý</w:t>
      </w:r>
      <w:r w:rsidRPr="00F32790">
        <w:rPr>
          <w:rFonts w:cs="Times New Roman"/>
          <w:b/>
          <w:bCs/>
          <w:color w:val="auto"/>
          <w:szCs w:val="24"/>
        </w:rPr>
        <w:t xml:space="preserve"> </w:t>
      </w:r>
      <w:r w:rsidR="008C1099">
        <w:rPr>
          <w:rFonts w:cs="Times New Roman"/>
          <w:bCs/>
          <w:color w:val="auto"/>
          <w:szCs w:val="24"/>
        </w:rPr>
        <w:t>EK</w:t>
      </w:r>
      <w:r w:rsidRPr="00F32790">
        <w:rPr>
          <w:rFonts w:cs="Times New Roman"/>
          <w:bCs/>
          <w:color w:val="auto"/>
          <w:szCs w:val="24"/>
        </w:rPr>
        <w:t xml:space="preserve"> predložila 15. februára 2022. Cieľom programu je vytvoriť vesmírny systém bezpečnej a autonómnej konektivity, ktorý zaručí poskytovanie satelitných komunikačných služieb („</w:t>
      </w:r>
      <w:proofErr w:type="spellStart"/>
      <w:r w:rsidRPr="00F32790">
        <w:rPr>
          <w:rFonts w:cs="Times New Roman"/>
          <w:b/>
          <w:bCs/>
          <w:color w:val="auto"/>
          <w:szCs w:val="24"/>
        </w:rPr>
        <w:t>Satcom</w:t>
      </w:r>
      <w:proofErr w:type="spellEnd"/>
      <w:r w:rsidRPr="00F32790">
        <w:rPr>
          <w:rFonts w:cs="Times New Roman"/>
          <w:bCs/>
          <w:color w:val="auto"/>
          <w:szCs w:val="24"/>
        </w:rPr>
        <w:t>“). Zámerom programu je poskytovať vládne služby na ochranu kritickej infraštruktúry, dohľad, podporu vonkajších činností alebo krízového riadenia a prispieť k zlepšeniu odolnosti Únie. Okrem toho umožňuje poskytovanie komerčných služieb súkromnému sektoru, a tým prispieva ku konkurencieschopnosti európskeho priemyslu a ďalšej inovácii založenej na vesmírnych technológiách</w:t>
      </w:r>
      <w:r w:rsidRPr="00F32790">
        <w:rPr>
          <w:rFonts w:cs="Times New Roman"/>
          <w:b/>
          <w:bCs/>
          <w:color w:val="auto"/>
          <w:szCs w:val="24"/>
        </w:rPr>
        <w:t xml:space="preserve">. </w:t>
      </w:r>
      <w:r w:rsidRPr="00F32790">
        <w:rPr>
          <w:rFonts w:cs="Times New Roman"/>
          <w:bCs/>
          <w:color w:val="auto"/>
          <w:szCs w:val="24"/>
        </w:rPr>
        <w:t>SR pri prerokovávaní tohto dokumentu uplatnila pripomienky v oblasti bezpečnosti, ktoré boli akceptované</w:t>
      </w:r>
      <w:r w:rsidRPr="00F32790">
        <w:rPr>
          <w:rFonts w:cs="Times New Roman"/>
          <w:b/>
          <w:bCs/>
          <w:color w:val="auto"/>
          <w:szCs w:val="24"/>
        </w:rPr>
        <w:t>.</w:t>
      </w:r>
    </w:p>
    <w:p w14:paraId="1EF8ADC3" w14:textId="6F9D7BE8" w:rsidR="007F0039" w:rsidRPr="00F32790" w:rsidRDefault="00147C10" w:rsidP="001734FE">
      <w:pPr>
        <w:spacing w:after="0" w:line="240" w:lineRule="auto"/>
        <w:rPr>
          <w:rFonts w:cs="Times New Roman"/>
          <w:b/>
          <w:szCs w:val="24"/>
        </w:rPr>
      </w:pPr>
      <w:r>
        <w:rPr>
          <w:rFonts w:cs="Times New Roman"/>
          <w:color w:val="auto"/>
          <w:szCs w:val="24"/>
        </w:rPr>
        <w:t>SR</w:t>
      </w:r>
      <w:r w:rsidR="00545FF6" w:rsidRPr="00F32790">
        <w:rPr>
          <w:rFonts w:cs="Times New Roman"/>
          <w:color w:val="auto"/>
          <w:szCs w:val="24"/>
        </w:rPr>
        <w:t xml:space="preserve"> je od </w:t>
      </w:r>
      <w:hyperlink r:id="rId10" w:history="1">
        <w:r w:rsidR="00545FF6" w:rsidRPr="00683C0C">
          <w:rPr>
            <w:rStyle w:val="Hypertextovprepojenie"/>
            <w:color w:val="auto"/>
            <w:szCs w:val="24"/>
            <w:u w:val="none"/>
          </w:rPr>
          <w:t xml:space="preserve">13. októbra 2022 </w:t>
        </w:r>
        <w:r w:rsidR="00545FF6" w:rsidRPr="00683C0C">
          <w:rPr>
            <w:rStyle w:val="Hypertextovprepojenie"/>
            <w:b/>
            <w:color w:val="auto"/>
            <w:szCs w:val="24"/>
            <w:u w:val="none"/>
          </w:rPr>
          <w:t>pridruženým členom Európskej vesmírnej agentúry</w:t>
        </w:r>
        <w:r w:rsidR="00545FF6" w:rsidRPr="00683C0C">
          <w:rPr>
            <w:rStyle w:val="Hypertextovprepojenie"/>
            <w:color w:val="auto"/>
            <w:szCs w:val="24"/>
            <w:u w:val="none"/>
          </w:rPr>
          <w:t xml:space="preserve"> (</w:t>
        </w:r>
        <w:r w:rsidR="00683C0C" w:rsidRPr="00683C0C">
          <w:rPr>
            <w:rStyle w:val="Hypertextovprepojenie"/>
            <w:color w:val="auto"/>
            <w:szCs w:val="24"/>
            <w:u w:val="none"/>
          </w:rPr>
          <w:t>ďalej „</w:t>
        </w:r>
        <w:r w:rsidR="00545FF6" w:rsidRPr="00683C0C">
          <w:rPr>
            <w:rStyle w:val="Hypertextovprepojenie"/>
            <w:color w:val="auto"/>
            <w:szCs w:val="24"/>
            <w:u w:val="none"/>
          </w:rPr>
          <w:t>ESA</w:t>
        </w:r>
      </w:hyperlink>
      <w:r w:rsidR="00683C0C" w:rsidRPr="00683C0C">
        <w:rPr>
          <w:rStyle w:val="Hypertextovprepojenie"/>
          <w:color w:val="auto"/>
          <w:szCs w:val="24"/>
          <w:u w:val="none"/>
        </w:rPr>
        <w:t>“</w:t>
      </w:r>
      <w:r w:rsidR="00545FF6" w:rsidRPr="00683C0C">
        <w:rPr>
          <w:rFonts w:cs="Times New Roman"/>
          <w:color w:val="auto"/>
          <w:szCs w:val="24"/>
        </w:rPr>
        <w:t>)</w:t>
      </w:r>
      <w:r w:rsidR="00545FF6" w:rsidRPr="00F32790">
        <w:rPr>
          <w:rFonts w:cs="Times New Roman"/>
          <w:color w:val="auto"/>
          <w:szCs w:val="24"/>
        </w:rPr>
        <w:t>, ktorá úzko spolupracuje s</w:t>
      </w:r>
      <w:r w:rsidR="00683C0C">
        <w:rPr>
          <w:rFonts w:cs="Times New Roman"/>
          <w:color w:val="auto"/>
          <w:szCs w:val="24"/>
        </w:rPr>
        <w:t xml:space="preserve"> EÚ </w:t>
      </w:r>
      <w:r w:rsidR="00545FF6" w:rsidRPr="00F32790">
        <w:rPr>
          <w:rFonts w:cs="Times New Roman"/>
          <w:color w:val="auto"/>
          <w:szCs w:val="24"/>
        </w:rPr>
        <w:t xml:space="preserve">v rámci Vesmírneho programu Únie a tiež sa podieľa na </w:t>
      </w:r>
      <w:r w:rsidR="00545FF6" w:rsidRPr="00F32790">
        <w:rPr>
          <w:rFonts w:cs="Times New Roman"/>
          <w:color w:val="auto"/>
          <w:szCs w:val="24"/>
        </w:rPr>
        <w:lastRenderedPageBreak/>
        <w:t xml:space="preserve">prípravách návrhu </w:t>
      </w:r>
      <w:r w:rsidR="00683C0C">
        <w:rPr>
          <w:rFonts w:cs="Times New Roman"/>
          <w:color w:val="auto"/>
          <w:szCs w:val="24"/>
        </w:rPr>
        <w:t>n</w:t>
      </w:r>
      <w:r w:rsidR="00545FF6" w:rsidRPr="00F32790">
        <w:rPr>
          <w:rFonts w:cs="Times New Roman"/>
          <w:color w:val="auto"/>
          <w:szCs w:val="24"/>
        </w:rPr>
        <w:t>ariadenia,</w:t>
      </w:r>
      <w:r w:rsidR="00545FF6" w:rsidRPr="00F32790">
        <w:rPr>
          <w:rFonts w:cs="Times New Roman"/>
          <w:bCs/>
          <w:color w:val="auto"/>
          <w:szCs w:val="24"/>
        </w:rPr>
        <w:t xml:space="preserve"> ktorým sa zriaďuje program Únie pre bezpečnú konektivitu na obdobie 2023</w:t>
      </w:r>
      <w:r w:rsidR="00683C0C">
        <w:rPr>
          <w:rFonts w:cs="Times New Roman"/>
          <w:bCs/>
          <w:color w:val="auto"/>
          <w:szCs w:val="24"/>
        </w:rPr>
        <w:t>-</w:t>
      </w:r>
      <w:r w:rsidR="00545FF6" w:rsidRPr="00F32790">
        <w:rPr>
          <w:rFonts w:cs="Times New Roman"/>
          <w:bCs/>
          <w:color w:val="auto"/>
          <w:szCs w:val="24"/>
        </w:rPr>
        <w:t>2027</w:t>
      </w:r>
      <w:r w:rsidR="00F030F5" w:rsidRPr="00F32790">
        <w:rPr>
          <w:rFonts w:cs="Times New Roman"/>
          <w:bCs/>
          <w:color w:val="auto"/>
          <w:szCs w:val="24"/>
        </w:rPr>
        <w:t>.</w:t>
      </w:r>
    </w:p>
    <w:p w14:paraId="4975CEAD" w14:textId="77777777" w:rsidR="001A572B" w:rsidRPr="00F32790" w:rsidRDefault="001A572B" w:rsidP="001734FE">
      <w:pPr>
        <w:spacing w:after="0" w:line="240" w:lineRule="auto"/>
        <w:rPr>
          <w:rFonts w:cs="Times New Roman"/>
          <w:b/>
          <w:szCs w:val="24"/>
        </w:rPr>
      </w:pPr>
    </w:p>
    <w:p w14:paraId="1078E9DE" w14:textId="6FBDA5C6" w:rsidR="001A572B" w:rsidRPr="00F32790" w:rsidRDefault="004F4E1F" w:rsidP="001734FE">
      <w:pPr>
        <w:spacing w:after="0" w:line="240" w:lineRule="auto"/>
        <w:rPr>
          <w:rFonts w:cs="Times New Roman"/>
          <w:b/>
          <w:szCs w:val="24"/>
        </w:rPr>
      </w:pPr>
      <w:r w:rsidRPr="00F32790">
        <w:rPr>
          <w:rFonts w:cs="Times New Roman"/>
          <w:b/>
          <w:color w:val="auto"/>
          <w:szCs w:val="24"/>
        </w:rPr>
        <w:t>Nariadeni</w:t>
      </w:r>
      <w:r w:rsidR="00F030F5" w:rsidRPr="00F32790">
        <w:rPr>
          <w:rFonts w:cs="Times New Roman"/>
          <w:b/>
          <w:color w:val="auto"/>
          <w:szCs w:val="24"/>
        </w:rPr>
        <w:t>e</w:t>
      </w:r>
      <w:r w:rsidRPr="00F32790">
        <w:rPr>
          <w:rFonts w:cs="Times New Roman"/>
          <w:b/>
          <w:color w:val="auto"/>
          <w:szCs w:val="24"/>
        </w:rPr>
        <w:t xml:space="preserve"> o zahraničných subvenciách narúšajúcich vnútorný trh </w:t>
      </w:r>
      <w:r w:rsidRPr="00683C0C">
        <w:rPr>
          <w:rFonts w:cs="Times New Roman"/>
          <w:color w:val="auto"/>
          <w:szCs w:val="24"/>
        </w:rPr>
        <w:t>(</w:t>
      </w:r>
      <w:r w:rsidR="00683C0C" w:rsidRPr="00683C0C">
        <w:rPr>
          <w:rFonts w:cs="Times New Roman"/>
          <w:color w:val="auto"/>
          <w:szCs w:val="24"/>
        </w:rPr>
        <w:t>ďalej „</w:t>
      </w:r>
      <w:r w:rsidRPr="00683C0C">
        <w:rPr>
          <w:rFonts w:cs="Times New Roman"/>
          <w:color w:val="auto"/>
          <w:szCs w:val="24"/>
        </w:rPr>
        <w:t>FSR</w:t>
      </w:r>
      <w:r w:rsidR="00683C0C" w:rsidRPr="00683C0C">
        <w:rPr>
          <w:rFonts w:cs="Times New Roman"/>
          <w:color w:val="auto"/>
          <w:szCs w:val="24"/>
        </w:rPr>
        <w:t>“</w:t>
      </w:r>
      <w:r w:rsidRPr="00683C0C">
        <w:rPr>
          <w:rFonts w:cs="Times New Roman"/>
          <w:color w:val="auto"/>
          <w:szCs w:val="24"/>
        </w:rPr>
        <w:t>)</w:t>
      </w:r>
      <w:r w:rsidR="00F030F5" w:rsidRPr="00683C0C">
        <w:rPr>
          <w:rFonts w:cs="Times New Roman"/>
          <w:color w:val="auto"/>
          <w:szCs w:val="24"/>
        </w:rPr>
        <w:t>,</w:t>
      </w:r>
      <w:r w:rsidR="00F030F5" w:rsidRPr="00F32790">
        <w:rPr>
          <w:rFonts w:cs="Times New Roman"/>
          <w:color w:val="auto"/>
          <w:szCs w:val="24"/>
        </w:rPr>
        <w:t xml:space="preserve"> prijaté v júni 2022 </w:t>
      </w:r>
      <w:r w:rsidRPr="00F32790">
        <w:rPr>
          <w:rFonts w:cs="Times New Roman"/>
          <w:color w:val="auto"/>
          <w:szCs w:val="24"/>
        </w:rPr>
        <w:t xml:space="preserve">má odstrániť regulačnú medzeru na jednotnom trhu. Podľa </w:t>
      </w:r>
      <w:r w:rsidR="00683C0C">
        <w:rPr>
          <w:rFonts w:cs="Times New Roman"/>
          <w:color w:val="auto"/>
          <w:szCs w:val="24"/>
        </w:rPr>
        <w:t>n</w:t>
      </w:r>
      <w:r w:rsidRPr="00F32790">
        <w:rPr>
          <w:rFonts w:cs="Times New Roman"/>
          <w:color w:val="auto"/>
          <w:szCs w:val="24"/>
        </w:rPr>
        <w:t xml:space="preserve">ariadenia FSR bude mať </w:t>
      </w:r>
      <w:r w:rsidR="00683C0C">
        <w:rPr>
          <w:rFonts w:cs="Times New Roman"/>
          <w:color w:val="auto"/>
          <w:szCs w:val="24"/>
        </w:rPr>
        <w:t>EK</w:t>
      </w:r>
      <w:r w:rsidRPr="00F32790">
        <w:rPr>
          <w:rFonts w:cs="Times New Roman"/>
          <w:color w:val="auto"/>
          <w:szCs w:val="24"/>
        </w:rPr>
        <w:t xml:space="preserve"> právomoc vyšetrovať finančné príspevky (subvencie) poskytnuté orgánmi verejnej moci, krajinami mimo </w:t>
      </w:r>
      <w:r w:rsidR="00683C0C">
        <w:rPr>
          <w:rFonts w:cs="Times New Roman"/>
          <w:color w:val="auto"/>
          <w:szCs w:val="24"/>
        </w:rPr>
        <w:t>EÚ</w:t>
      </w:r>
      <w:r w:rsidRPr="00F32790">
        <w:rPr>
          <w:rFonts w:cs="Times New Roman"/>
          <w:color w:val="auto"/>
          <w:szCs w:val="24"/>
        </w:rPr>
        <w:t xml:space="preserve">, z ktorých majú prospech spoločnosti vykonávajúce hospodársku činnosť v EÚ, s cieľom limitovať ich rušivé účinky. </w:t>
      </w:r>
      <w:r w:rsidR="00463B07">
        <w:rPr>
          <w:rFonts w:cs="Times New Roman"/>
          <w:color w:val="auto"/>
          <w:szCs w:val="24"/>
        </w:rPr>
        <w:t>EK</w:t>
      </w:r>
      <w:r w:rsidRPr="00F32790">
        <w:rPr>
          <w:rFonts w:cs="Times New Roman"/>
          <w:color w:val="auto"/>
          <w:szCs w:val="24"/>
        </w:rPr>
        <w:t xml:space="preserve"> bude mať k dispozícii tri nové nástroje, z ktorých dva sú založené na notifikáci</w:t>
      </w:r>
      <w:r w:rsidR="00BB3668">
        <w:rPr>
          <w:rFonts w:cs="Times New Roman"/>
          <w:color w:val="auto"/>
          <w:szCs w:val="24"/>
        </w:rPr>
        <w:t>i</w:t>
      </w:r>
      <w:r w:rsidRPr="00F32790">
        <w:rPr>
          <w:rFonts w:cs="Times New Roman"/>
          <w:color w:val="auto"/>
          <w:szCs w:val="24"/>
        </w:rPr>
        <w:t xml:space="preserve"> o budúcich koncentráciách a postupoch verejného obstarávania a posledný sa týka preskúmania zahraničných subvencií z vlastného podnetu. </w:t>
      </w:r>
    </w:p>
    <w:p w14:paraId="46BAB404" w14:textId="77777777" w:rsidR="001A572B" w:rsidRPr="00F32790" w:rsidRDefault="001A572B" w:rsidP="001734FE">
      <w:pPr>
        <w:spacing w:after="0" w:line="240" w:lineRule="auto"/>
        <w:rPr>
          <w:rFonts w:cs="Times New Roman"/>
          <w:b/>
          <w:szCs w:val="24"/>
        </w:rPr>
      </w:pPr>
    </w:p>
    <w:p w14:paraId="5BD0E730" w14:textId="5132AC10" w:rsidR="001A572B" w:rsidRPr="00F32790" w:rsidRDefault="004F4E1F" w:rsidP="00463B07">
      <w:pPr>
        <w:spacing w:after="0" w:line="240" w:lineRule="auto"/>
        <w:rPr>
          <w:rFonts w:cs="Times New Roman"/>
          <w:b/>
          <w:szCs w:val="24"/>
        </w:rPr>
      </w:pPr>
      <w:r w:rsidRPr="00F32790">
        <w:rPr>
          <w:rFonts w:cs="Times New Roman"/>
          <w:color w:val="auto"/>
          <w:szCs w:val="24"/>
        </w:rPr>
        <w:t>Pokiaľ ide o</w:t>
      </w:r>
      <w:r w:rsidR="00907B18" w:rsidRPr="00F32790">
        <w:rPr>
          <w:rFonts w:cs="Times New Roman"/>
          <w:color w:val="auto"/>
          <w:szCs w:val="24"/>
        </w:rPr>
        <w:t xml:space="preserve"> pravidlá v </w:t>
      </w:r>
      <w:r w:rsidRPr="00F32790">
        <w:rPr>
          <w:rFonts w:cs="Times New Roman"/>
          <w:b/>
          <w:color w:val="auto"/>
          <w:szCs w:val="24"/>
        </w:rPr>
        <w:t>oblas</w:t>
      </w:r>
      <w:r w:rsidR="00907B18" w:rsidRPr="00F32790">
        <w:rPr>
          <w:rFonts w:cs="Times New Roman"/>
          <w:b/>
          <w:color w:val="auto"/>
          <w:szCs w:val="24"/>
        </w:rPr>
        <w:t>ti</w:t>
      </w:r>
      <w:r w:rsidRPr="00F32790">
        <w:rPr>
          <w:rFonts w:cs="Times New Roman"/>
          <w:b/>
          <w:color w:val="auto"/>
          <w:szCs w:val="24"/>
        </w:rPr>
        <w:t xml:space="preserve"> štátnej pomoci</w:t>
      </w:r>
      <w:r w:rsidR="00907B18" w:rsidRPr="00F32790">
        <w:rPr>
          <w:rFonts w:cs="Times New Roman"/>
          <w:color w:val="auto"/>
          <w:szCs w:val="24"/>
        </w:rPr>
        <w:t>, tie</w:t>
      </w:r>
      <w:r w:rsidR="00907B18" w:rsidRPr="00F32790">
        <w:rPr>
          <w:rFonts w:cs="Times New Roman"/>
          <w:b/>
          <w:color w:val="auto"/>
          <w:szCs w:val="24"/>
        </w:rPr>
        <w:t xml:space="preserve"> </w:t>
      </w:r>
      <w:r w:rsidRPr="00F32790">
        <w:rPr>
          <w:rFonts w:cs="Times New Roman"/>
          <w:color w:val="auto"/>
          <w:szCs w:val="24"/>
        </w:rPr>
        <w:t xml:space="preserve">boli v roku 2022 výrazne ovplyvnené doznievajúcou pandémiou COVID-19, ako aj nastupujúcou energetickou krízou, a to najmä v súvislosti s vojnou na Ukrajine. Rovnako ako pri COVID-19, </w:t>
      </w:r>
      <w:r w:rsidR="008C1099">
        <w:rPr>
          <w:rFonts w:cs="Times New Roman"/>
          <w:color w:val="auto"/>
          <w:szCs w:val="24"/>
        </w:rPr>
        <w:t xml:space="preserve">EK </w:t>
      </w:r>
      <w:r w:rsidRPr="00F32790">
        <w:rPr>
          <w:rFonts w:cs="Times New Roman"/>
          <w:color w:val="auto"/>
          <w:szCs w:val="24"/>
        </w:rPr>
        <w:t>nadväznosti na prebiehajúci vojenský konflikt operatívne zareagovala prijatím nových pravidiel v oblasti štátnej pomoci, a to prostredníctvom dokumentu „</w:t>
      </w:r>
      <w:r w:rsidRPr="00F32790">
        <w:rPr>
          <w:rFonts w:cs="Times New Roman"/>
          <w:b/>
          <w:color w:val="auto"/>
          <w:szCs w:val="24"/>
        </w:rPr>
        <w:t>Oznámenie Komisie – Dočasný krízový rámec pre opatrenia štátnej pomoci na podporu hospodárstva v dôsledku agresie Ruska proti Ukrajine</w:t>
      </w:r>
      <w:r w:rsidR="008A63B6">
        <w:rPr>
          <w:rStyle w:val="Odkaznapoznmkupodiarou"/>
          <w:b/>
          <w:color w:val="auto"/>
          <w:szCs w:val="24"/>
        </w:rPr>
        <w:footnoteReference w:id="25"/>
      </w:r>
      <w:r w:rsidR="00463B07">
        <w:rPr>
          <w:rFonts w:cs="Times New Roman"/>
          <w:color w:val="auto"/>
          <w:szCs w:val="24"/>
        </w:rPr>
        <w:t xml:space="preserve">“ (ďalej </w:t>
      </w:r>
      <w:r w:rsidRPr="00F32790">
        <w:rPr>
          <w:rFonts w:cs="Times New Roman"/>
          <w:color w:val="auto"/>
          <w:szCs w:val="24"/>
        </w:rPr>
        <w:t>„dočasný krízový rámec“). Dočasný krízový rámec umožňuje členským štátom prijať opatrenia na nápravu hospodárskych účinkov v dôsledku agresie Ruska proti Ukrajine a následných sankcií, ktoré zaviedla EÚ a medzinárodní partneri, ale aj protiopatren</w:t>
      </w:r>
      <w:r w:rsidR="00892879">
        <w:rPr>
          <w:rFonts w:cs="Times New Roman"/>
          <w:color w:val="auto"/>
          <w:szCs w:val="24"/>
        </w:rPr>
        <w:t>iami</w:t>
      </w:r>
      <w:r w:rsidRPr="00F32790">
        <w:rPr>
          <w:rFonts w:cs="Times New Roman"/>
          <w:color w:val="auto"/>
          <w:szCs w:val="24"/>
        </w:rPr>
        <w:t xml:space="preserve">, ktoré prijalo Rusko. Dve novely dočasného krízového rámca v priebehu roka 2022, do ktorých sa aktívne zapojili aj slovenské orgány, rozšírili okruh takýchto opatrení aj o opatrenia pomoci v súlade s plánom </w:t>
      </w:r>
      <w:proofErr w:type="spellStart"/>
      <w:r w:rsidRPr="00F32790">
        <w:rPr>
          <w:rFonts w:cs="Times New Roman"/>
          <w:color w:val="auto"/>
          <w:szCs w:val="24"/>
        </w:rPr>
        <w:t>REPower</w:t>
      </w:r>
      <w:proofErr w:type="spellEnd"/>
      <w:r w:rsidRPr="00F32790">
        <w:rPr>
          <w:rFonts w:cs="Times New Roman"/>
          <w:color w:val="auto"/>
          <w:szCs w:val="24"/>
        </w:rPr>
        <w:t xml:space="preserve"> EU - opatrenia urýchľujúce zavádzanie energie z obnoviteľných zdrojov</w:t>
      </w:r>
      <w:r w:rsidR="00825F2B">
        <w:rPr>
          <w:rFonts w:cs="Times New Roman"/>
          <w:color w:val="auto"/>
          <w:szCs w:val="24"/>
        </w:rPr>
        <w:t xml:space="preserve"> a </w:t>
      </w:r>
      <w:r w:rsidRPr="00F32790">
        <w:rPr>
          <w:rFonts w:cs="Times New Roman"/>
          <w:color w:val="auto"/>
          <w:szCs w:val="24"/>
        </w:rPr>
        <w:t>opatrenia uľahčujúce dekarbonizáciu priemyselných procesov</w:t>
      </w:r>
      <w:r w:rsidR="00825F2B">
        <w:rPr>
          <w:rFonts w:cs="Times New Roman"/>
          <w:color w:val="auto"/>
          <w:szCs w:val="24"/>
        </w:rPr>
        <w:t>. Z</w:t>
      </w:r>
      <w:r w:rsidRPr="00F32790">
        <w:rPr>
          <w:rFonts w:cs="Times New Roman"/>
          <w:color w:val="auto"/>
          <w:szCs w:val="24"/>
        </w:rPr>
        <w:t>ároveň predĺžili platnosť dočasného krízového rámca až do 31. decembra 2023. Na základe dočasného krízového rámca boli vypracované schémy štátnej pomoci zo strany Ministerstva pôdohospodárstva a rozvoja vidieka SR a Ministerstva hospodárstva SR.</w:t>
      </w:r>
    </w:p>
    <w:p w14:paraId="57C6AF41" w14:textId="77777777" w:rsidR="001A572B" w:rsidRPr="00F32790" w:rsidRDefault="001A572B" w:rsidP="001734FE">
      <w:pPr>
        <w:spacing w:after="0" w:line="240" w:lineRule="auto"/>
        <w:rPr>
          <w:rFonts w:cs="Times New Roman"/>
          <w:b/>
          <w:szCs w:val="24"/>
        </w:rPr>
      </w:pPr>
    </w:p>
    <w:p w14:paraId="763BCA34" w14:textId="461B0670" w:rsidR="001A572B" w:rsidRPr="00F32790" w:rsidRDefault="004F4E1F" w:rsidP="001734FE">
      <w:pPr>
        <w:spacing w:after="0" w:line="240" w:lineRule="auto"/>
        <w:rPr>
          <w:rFonts w:cs="Times New Roman"/>
          <w:b/>
          <w:szCs w:val="24"/>
        </w:rPr>
      </w:pPr>
      <w:r w:rsidRPr="00F32790">
        <w:rPr>
          <w:rFonts w:cs="Times New Roman"/>
          <w:bCs/>
          <w:color w:val="auto"/>
          <w:szCs w:val="24"/>
        </w:rPr>
        <w:t>S účinnosťou od 1. januára 2022 začalo platiť revidované „</w:t>
      </w:r>
      <w:r w:rsidRPr="00F32790">
        <w:rPr>
          <w:rFonts w:cs="Times New Roman"/>
          <w:b/>
          <w:bCs/>
          <w:color w:val="auto"/>
          <w:szCs w:val="24"/>
        </w:rPr>
        <w:t>Oznámenie Komisie - Usmernenia o regionálnej štátnej pomoc</w:t>
      </w:r>
      <w:r w:rsidRPr="00F32790">
        <w:rPr>
          <w:rFonts w:cs="Times New Roman"/>
          <w:bCs/>
          <w:color w:val="auto"/>
          <w:szCs w:val="24"/>
        </w:rPr>
        <w:t>i“ obsahujúce pravidlá, na základe ktorých môžu členské štáty poskytovať štátnu pomoc podnikom na podporu hospodárskeho rozvoja v znevýhodnených oblastiach EÚ bez toho, aby ohrozili rovnosť všetkých členských štátov. Na ich základe bola vypracovaná a Európskou komisiou schválená aj</w:t>
      </w:r>
      <w:r w:rsidRPr="00F32790">
        <w:rPr>
          <w:rFonts w:cs="Times New Roman"/>
          <w:b/>
          <w:bCs/>
          <w:color w:val="auto"/>
          <w:szCs w:val="24"/>
        </w:rPr>
        <w:t xml:space="preserve"> </w:t>
      </w:r>
      <w:r w:rsidRPr="00F32790">
        <w:rPr>
          <w:rFonts w:cs="Times New Roman"/>
          <w:color w:val="auto"/>
          <w:szCs w:val="24"/>
        </w:rPr>
        <w:t xml:space="preserve">mapa regionálnej pomoci pre </w:t>
      </w:r>
      <w:r w:rsidR="00147C10">
        <w:rPr>
          <w:rFonts w:cs="Times New Roman"/>
          <w:color w:val="auto"/>
          <w:szCs w:val="24"/>
        </w:rPr>
        <w:t>SR</w:t>
      </w:r>
      <w:r w:rsidRPr="00F32790">
        <w:rPr>
          <w:rFonts w:cs="Times New Roman"/>
          <w:color w:val="auto"/>
          <w:szCs w:val="24"/>
        </w:rPr>
        <w:t xml:space="preserve"> od 1. januára 2022 do 31. decembra 2027, ktorá priniesla zvýšenie maximálnych intenzít v jednotlivých podporovaných regiónoch – Západné Slovensko s maximálnou intenzitou pomoci pre veľké podniky na úrovni 30 % (predtým 25 %), Stredné Slovensko s maximálnou intenzitou pomoci pre veľké podniky na úrovni 40 % (predtým 35 %) a Východné Slovensko s maximálnou intenzitou pomoci pre veľké podniky na úrovni 50 % (predtým 35 %). </w:t>
      </w:r>
    </w:p>
    <w:p w14:paraId="2CCFAADA" w14:textId="77777777" w:rsidR="001A572B" w:rsidRPr="00F32790" w:rsidRDefault="001A572B" w:rsidP="001734FE">
      <w:pPr>
        <w:spacing w:after="0" w:line="240" w:lineRule="auto"/>
        <w:rPr>
          <w:rFonts w:cs="Times New Roman"/>
          <w:b/>
          <w:szCs w:val="24"/>
        </w:rPr>
      </w:pPr>
    </w:p>
    <w:p w14:paraId="513BE21D" w14:textId="520E3E96" w:rsidR="001A572B" w:rsidRPr="00F32790" w:rsidRDefault="008C1099" w:rsidP="001734FE">
      <w:pPr>
        <w:spacing w:after="0" w:line="240" w:lineRule="auto"/>
        <w:rPr>
          <w:rFonts w:cs="Times New Roman"/>
          <w:b/>
          <w:szCs w:val="24"/>
        </w:rPr>
      </w:pPr>
      <w:r>
        <w:rPr>
          <w:rFonts w:cs="Times New Roman"/>
          <w:color w:val="auto"/>
          <w:szCs w:val="24"/>
        </w:rPr>
        <w:t xml:space="preserve">EK </w:t>
      </w:r>
      <w:r w:rsidR="004F4E1F" w:rsidRPr="00F32790">
        <w:rPr>
          <w:rFonts w:cs="Times New Roman"/>
          <w:color w:val="auto"/>
          <w:szCs w:val="24"/>
        </w:rPr>
        <w:t xml:space="preserve">tiež </w:t>
      </w:r>
      <w:r w:rsidR="009307D7" w:rsidRPr="00F32790">
        <w:rPr>
          <w:rFonts w:cs="Times New Roman"/>
          <w:color w:val="auto"/>
          <w:szCs w:val="24"/>
        </w:rPr>
        <w:t xml:space="preserve">v roku 2022 </w:t>
      </w:r>
      <w:r w:rsidR="004F4E1F" w:rsidRPr="00F32790">
        <w:rPr>
          <w:rFonts w:cs="Times New Roman"/>
          <w:color w:val="auto"/>
          <w:szCs w:val="24"/>
        </w:rPr>
        <w:t>prijala revidované „</w:t>
      </w:r>
      <w:r w:rsidR="004F4E1F" w:rsidRPr="00F32790">
        <w:rPr>
          <w:rFonts w:cs="Times New Roman"/>
          <w:b/>
          <w:color w:val="auto"/>
          <w:szCs w:val="24"/>
        </w:rPr>
        <w:t>Oznámenie Komisie - Rámec pre štátnu pomoc na výskum, vývoj a inovácie</w:t>
      </w:r>
      <w:r w:rsidR="004F4E1F" w:rsidRPr="00F32790">
        <w:rPr>
          <w:rFonts w:cs="Times New Roman"/>
          <w:color w:val="auto"/>
          <w:szCs w:val="24"/>
        </w:rPr>
        <w:t>“, v ktorom sa stanovujú pravidlá, podľa ktorých môžu členské štáty poskytovať štátnu pomoc spoločnostiam na činnosti v oblasti výskumu, vývoja a inovácií a ktoré rovnako zohľadňuje aktuálny hospodársky a technologický vývoj, ako aj politické priority EÚ, akými sú Európska zelená dohoda, priemyselná a digitálna stratégia.</w:t>
      </w:r>
    </w:p>
    <w:p w14:paraId="1501E309" w14:textId="77777777" w:rsidR="001A572B" w:rsidRPr="00F32790" w:rsidRDefault="001A572B" w:rsidP="001734FE">
      <w:pPr>
        <w:spacing w:after="0" w:line="240" w:lineRule="auto"/>
        <w:rPr>
          <w:rFonts w:cs="Times New Roman"/>
          <w:b/>
          <w:szCs w:val="24"/>
        </w:rPr>
      </w:pPr>
    </w:p>
    <w:p w14:paraId="169427B1" w14:textId="1D227B81" w:rsidR="001A572B" w:rsidRPr="00F32790" w:rsidRDefault="004F4E1F" w:rsidP="001734FE">
      <w:pPr>
        <w:spacing w:after="0" w:line="240" w:lineRule="auto"/>
        <w:rPr>
          <w:rFonts w:cs="Times New Roman"/>
          <w:b/>
          <w:szCs w:val="24"/>
        </w:rPr>
      </w:pPr>
      <w:r w:rsidRPr="00F32790">
        <w:rPr>
          <w:rFonts w:cs="Times New Roman"/>
          <w:color w:val="auto"/>
          <w:szCs w:val="24"/>
        </w:rPr>
        <w:lastRenderedPageBreak/>
        <w:t xml:space="preserve">Nemenej dôležitou oblasťou bola prebiehajúca </w:t>
      </w:r>
      <w:r w:rsidRPr="00F32790">
        <w:rPr>
          <w:rFonts w:cs="Times New Roman"/>
          <w:b/>
          <w:color w:val="auto"/>
          <w:szCs w:val="24"/>
        </w:rPr>
        <w:t>revízia existujúcich pravidiel v oblasti štátnej pomoci</w:t>
      </w:r>
      <w:r w:rsidRPr="00F32790">
        <w:rPr>
          <w:rFonts w:cs="Times New Roman"/>
          <w:color w:val="auto"/>
          <w:szCs w:val="24"/>
        </w:rPr>
        <w:t xml:space="preserve">, a to najmä nariadení týkajúcich sa skupinových výnimiek (najmä úpravy článkov týkajúcich sa ochrany životného prostredia v súvislosti s Európskou zelenou dohodou), poskytovania minimálnej pomoci (zvýšenie stropu pre poskytovanie minimálnej pomoci) a poskytovania pomoci do oblasti poľnohospodárstva, lesného hospodárstva a vidieckych oblastí (spresnenie textu a predĺženie platnosti). Slovenské orgány na týchto revíziách aktívne participujú, a to najmä prostredníctvom úradu ako koordinátora pomoci, ktorý predkladá pripomienky k navrhovaným textom Komisie a zastupuje </w:t>
      </w:r>
      <w:r w:rsidR="00147C10">
        <w:rPr>
          <w:rFonts w:cs="Times New Roman"/>
          <w:color w:val="auto"/>
          <w:szCs w:val="24"/>
        </w:rPr>
        <w:t>SR</w:t>
      </w:r>
      <w:r w:rsidRPr="00F32790">
        <w:rPr>
          <w:rFonts w:cs="Times New Roman"/>
          <w:color w:val="auto"/>
          <w:szCs w:val="24"/>
        </w:rPr>
        <w:t xml:space="preserve"> na poradných výboroch.</w:t>
      </w:r>
    </w:p>
    <w:p w14:paraId="5B3E1F7F" w14:textId="77777777" w:rsidR="001A572B" w:rsidRPr="00F32790" w:rsidRDefault="001A572B" w:rsidP="001734FE">
      <w:pPr>
        <w:spacing w:after="0" w:line="240" w:lineRule="auto"/>
        <w:rPr>
          <w:rFonts w:cs="Times New Roman"/>
          <w:b/>
          <w:szCs w:val="24"/>
        </w:rPr>
      </w:pPr>
    </w:p>
    <w:p w14:paraId="4B12A8D0" w14:textId="7C6E9A10" w:rsidR="001A572B" w:rsidRPr="00F32790" w:rsidRDefault="003A4292" w:rsidP="001734FE">
      <w:pPr>
        <w:spacing w:after="0" w:line="240" w:lineRule="auto"/>
        <w:rPr>
          <w:rFonts w:cs="Times New Roman"/>
          <w:b/>
          <w:szCs w:val="24"/>
        </w:rPr>
      </w:pPr>
      <w:r w:rsidRPr="00F32790">
        <w:rPr>
          <w:rFonts w:eastAsia="Calibri" w:cs="Times New Roman"/>
          <w:bCs/>
          <w:szCs w:val="24"/>
          <w:lang w:eastAsia="en-US"/>
        </w:rPr>
        <w:t>Návrh</w:t>
      </w:r>
      <w:r w:rsidR="009307D7" w:rsidRPr="00F32790">
        <w:rPr>
          <w:rFonts w:eastAsia="Calibri" w:cs="Times New Roman"/>
          <w:bCs/>
          <w:szCs w:val="24"/>
          <w:lang w:eastAsia="en-US"/>
        </w:rPr>
        <w:t xml:space="preserve"> slovenského </w:t>
      </w:r>
      <w:r w:rsidR="009307D7" w:rsidRPr="00F32790">
        <w:rPr>
          <w:rFonts w:eastAsia="Calibri" w:cs="Times New Roman"/>
          <w:b/>
          <w:bCs/>
          <w:szCs w:val="24"/>
          <w:lang w:eastAsia="en-US"/>
        </w:rPr>
        <w:t>Strategického plánu Spoločnej poľnohospodárskej politiky na roky 2023 – 2027</w:t>
      </w:r>
      <w:r w:rsidR="009307D7" w:rsidRPr="00F32790">
        <w:rPr>
          <w:rFonts w:eastAsia="Calibri" w:cs="Times New Roman"/>
          <w:bCs/>
          <w:szCs w:val="24"/>
          <w:lang w:eastAsia="en-US"/>
        </w:rPr>
        <w:t xml:space="preserve"> </w:t>
      </w:r>
      <w:r w:rsidR="009307D7" w:rsidRPr="00F32790">
        <w:rPr>
          <w:rFonts w:eastAsia="Arial" w:cs="Times New Roman"/>
          <w:szCs w:val="24"/>
          <w:bdr w:val="nil"/>
          <w:lang w:eastAsia="en-US"/>
        </w:rPr>
        <w:t>(SP SPP)</w:t>
      </w:r>
      <w:r w:rsidRPr="00F32790">
        <w:rPr>
          <w:rFonts w:eastAsia="Arial" w:cs="Times New Roman"/>
          <w:szCs w:val="24"/>
          <w:bdr w:val="nil"/>
          <w:lang w:eastAsia="en-US"/>
        </w:rPr>
        <w:t xml:space="preserve"> bol prijatý vo februári 2022 vládou SR a definitívne schválený Európskou komisiou 24. novembra 2022, pričom finančná alokácia na celé obdobie predstavuje 4,101 mld. EUR.</w:t>
      </w:r>
      <w:r w:rsidRPr="00F32790">
        <w:rPr>
          <w:rFonts w:eastAsia="Calibri" w:cs="Times New Roman"/>
          <w:bCs/>
          <w:szCs w:val="24"/>
          <w:lang w:eastAsia="en-US"/>
        </w:rPr>
        <w:t xml:space="preserve"> </w:t>
      </w:r>
      <w:r w:rsidR="009307D7" w:rsidRPr="00F32790">
        <w:rPr>
          <w:rFonts w:eastAsia="Calibri" w:cs="Times New Roman"/>
          <w:bCs/>
          <w:szCs w:val="24"/>
          <w:lang w:eastAsia="en-US"/>
        </w:rPr>
        <w:t>Vo všeobecnosti prináša nová SPP významné zmeny a najmä podmienky pre zelenú architektúru sú veľkou výzvou pre poľnohospodár</w:t>
      </w:r>
      <w:r w:rsidR="001E1892" w:rsidRPr="00F32790">
        <w:rPr>
          <w:rFonts w:eastAsia="Calibri" w:cs="Times New Roman"/>
          <w:bCs/>
          <w:szCs w:val="24"/>
          <w:lang w:eastAsia="en-US"/>
        </w:rPr>
        <w:t xml:space="preserve">ov. </w:t>
      </w:r>
      <w:r w:rsidR="00240913" w:rsidRPr="00F32790">
        <w:rPr>
          <w:rFonts w:cs="Times New Roman"/>
          <w:color w:val="212121"/>
          <w:szCs w:val="24"/>
          <w:shd w:val="clear" w:color="auto" w:fill="FFFFFF"/>
        </w:rPr>
        <w:t xml:space="preserve">Cieľom je zvýšiť konkurencieschopnosť a odolnosť poľnohospodárskeho sektora za súčasnej ochrany prírodných zdrojov. Plán zavádza hornú hranicu priamych platieb na základe veľkosti farmy </w:t>
      </w:r>
      <w:r w:rsidR="008E6BE5">
        <w:rPr>
          <w:rFonts w:cs="Times New Roman"/>
          <w:color w:val="212121"/>
          <w:szCs w:val="24"/>
          <w:shd w:val="clear" w:color="auto" w:fill="FFFFFF"/>
        </w:rPr>
        <w:br/>
      </w:r>
      <w:r w:rsidR="00240913" w:rsidRPr="00F32790">
        <w:rPr>
          <w:rFonts w:cs="Times New Roman"/>
          <w:color w:val="212121"/>
          <w:szCs w:val="24"/>
          <w:shd w:val="clear" w:color="auto" w:fill="FFFFFF"/>
        </w:rPr>
        <w:t xml:space="preserve">a </w:t>
      </w:r>
      <w:proofErr w:type="spellStart"/>
      <w:r w:rsidR="00240913" w:rsidRPr="00F32790">
        <w:rPr>
          <w:rFonts w:cs="Times New Roman"/>
          <w:color w:val="212121"/>
          <w:szCs w:val="24"/>
          <w:shd w:val="clear" w:color="auto" w:fill="FFFFFF"/>
        </w:rPr>
        <w:t>redistribučnú</w:t>
      </w:r>
      <w:proofErr w:type="spellEnd"/>
      <w:r w:rsidR="00240913" w:rsidRPr="00F32790">
        <w:rPr>
          <w:rFonts w:cs="Times New Roman"/>
          <w:color w:val="212121"/>
          <w:szCs w:val="24"/>
          <w:shd w:val="clear" w:color="auto" w:fill="FFFFFF"/>
        </w:rPr>
        <w:t xml:space="preserve"> podporu pre malé a stredné podniky. Dodatočná ročná podpora vo výške </w:t>
      </w:r>
      <w:r w:rsidR="008E6BE5">
        <w:rPr>
          <w:rFonts w:cs="Times New Roman"/>
          <w:color w:val="212121"/>
          <w:szCs w:val="24"/>
          <w:shd w:val="clear" w:color="auto" w:fill="FFFFFF"/>
        </w:rPr>
        <w:br/>
      </w:r>
      <w:r w:rsidR="00240913" w:rsidRPr="00F32790">
        <w:rPr>
          <w:rFonts w:cs="Times New Roman"/>
          <w:color w:val="212121"/>
          <w:szCs w:val="24"/>
          <w:shd w:val="clear" w:color="auto" w:fill="FFFFFF"/>
        </w:rPr>
        <w:t>370 miliónov EUR pomôže slovenským farmárom v oblastiach s prírodnými obmedzeniami, keďže do tejto kategórie patrí 61 % slovenskej poľnohospodárskej pôdy. S pomocou podpory SPP sa slovenský plán usiluje o to, aby do roku 2030 bolo</w:t>
      </w:r>
      <w:r w:rsidR="00147C10">
        <w:rPr>
          <w:rFonts w:cs="Times New Roman"/>
          <w:color w:val="212121"/>
          <w:szCs w:val="24"/>
          <w:shd w:val="clear" w:color="auto" w:fill="FFFFFF"/>
        </w:rPr>
        <w:t xml:space="preserve"> 20 % poľnohospodárskej pôdy v SR </w:t>
      </w:r>
      <w:r w:rsidR="00240913" w:rsidRPr="00F32790">
        <w:rPr>
          <w:rFonts w:cs="Times New Roman"/>
          <w:color w:val="212121"/>
          <w:szCs w:val="24"/>
          <w:shd w:val="clear" w:color="auto" w:fill="FFFFFF"/>
        </w:rPr>
        <w:t xml:space="preserve"> obhospodarovanej ekologicky. Okrem toho takmer 64 % dobytčích jednotiek bude profitovať z fondov EÚ na zníženie používania antibiotík a podpory dobrých životných podmienok zvierat. Rozvoj vidieka je tiež veľkou súčasťou strategického plánu </w:t>
      </w:r>
      <w:r w:rsidR="00147C10">
        <w:rPr>
          <w:rFonts w:cs="Times New Roman"/>
          <w:color w:val="212121"/>
          <w:szCs w:val="24"/>
          <w:shd w:val="clear" w:color="auto" w:fill="FFFFFF"/>
        </w:rPr>
        <w:t>SR</w:t>
      </w:r>
      <w:r w:rsidR="00240913" w:rsidRPr="00F32790">
        <w:rPr>
          <w:rFonts w:cs="Times New Roman"/>
          <w:color w:val="212121"/>
          <w:szCs w:val="24"/>
          <w:shd w:val="clear" w:color="auto" w:fill="FFFFFF"/>
        </w:rPr>
        <w:t xml:space="preserve">, keďže podporí vytvorenie 1 500 pracovných miest a 430 vidieckych podnikov. Napokon, viac ako 10 000 osôb bude mať prístup k poradenstvu a odbornej príprave, najmä pokiaľ ide o digitalizáciu </w:t>
      </w:r>
      <w:r w:rsidR="008E6BE5">
        <w:rPr>
          <w:rFonts w:cs="Times New Roman"/>
          <w:color w:val="212121"/>
          <w:szCs w:val="24"/>
          <w:shd w:val="clear" w:color="auto" w:fill="FFFFFF"/>
        </w:rPr>
        <w:br/>
      </w:r>
      <w:r w:rsidR="00240913" w:rsidRPr="00F32790">
        <w:rPr>
          <w:rFonts w:cs="Times New Roman"/>
          <w:color w:val="212121"/>
          <w:szCs w:val="24"/>
          <w:shd w:val="clear" w:color="auto" w:fill="FFFFFF"/>
        </w:rPr>
        <w:t>a udržateľné poľnohospodárstvo.</w:t>
      </w:r>
    </w:p>
    <w:p w14:paraId="02664EC4" w14:textId="77777777" w:rsidR="001A572B" w:rsidRPr="00F32790" w:rsidRDefault="001A572B" w:rsidP="001734FE">
      <w:pPr>
        <w:spacing w:after="0" w:line="240" w:lineRule="auto"/>
        <w:rPr>
          <w:rFonts w:cs="Times New Roman"/>
          <w:b/>
          <w:szCs w:val="24"/>
        </w:rPr>
      </w:pPr>
    </w:p>
    <w:p w14:paraId="5BFCB554" w14:textId="7BFAA41C" w:rsidR="001A572B" w:rsidRPr="00F32790" w:rsidRDefault="003A4292" w:rsidP="001734FE">
      <w:pPr>
        <w:spacing w:after="0" w:line="240" w:lineRule="auto"/>
        <w:rPr>
          <w:rFonts w:eastAsia="Arial" w:cs="Times New Roman"/>
          <w:szCs w:val="24"/>
          <w:bdr w:val="nil"/>
          <w:lang w:eastAsia="en-US"/>
        </w:rPr>
      </w:pPr>
      <w:r w:rsidRPr="00F32790">
        <w:rPr>
          <w:rFonts w:eastAsia="Arial" w:cs="Times New Roman"/>
          <w:szCs w:val="24"/>
          <w:bdr w:val="nil"/>
          <w:lang w:eastAsia="en-US"/>
        </w:rPr>
        <w:t xml:space="preserve">Cieľom </w:t>
      </w:r>
      <w:r w:rsidRPr="00F32790">
        <w:rPr>
          <w:rFonts w:eastAsia="Arial" w:cs="Times New Roman"/>
          <w:b/>
          <w:szCs w:val="24"/>
          <w:bdr w:val="nil"/>
          <w:lang w:eastAsia="en-US"/>
        </w:rPr>
        <w:t>n</w:t>
      </w:r>
      <w:r w:rsidR="009307D7" w:rsidRPr="00F32790">
        <w:rPr>
          <w:rFonts w:eastAsia="Arial" w:cs="Times New Roman"/>
          <w:b/>
          <w:szCs w:val="24"/>
          <w:bdr w:val="nil"/>
          <w:lang w:eastAsia="en-US"/>
        </w:rPr>
        <w:t>ariadeni</w:t>
      </w:r>
      <w:r w:rsidRPr="00F32790">
        <w:rPr>
          <w:rFonts w:eastAsia="Arial" w:cs="Times New Roman"/>
          <w:b/>
          <w:szCs w:val="24"/>
          <w:bdr w:val="nil"/>
          <w:lang w:eastAsia="en-US"/>
        </w:rPr>
        <w:t>a</w:t>
      </w:r>
      <w:r w:rsidR="009307D7" w:rsidRPr="00F32790">
        <w:rPr>
          <w:rFonts w:eastAsia="Arial" w:cs="Times New Roman"/>
          <w:b/>
          <w:szCs w:val="24"/>
          <w:bdr w:val="nil"/>
          <w:lang w:eastAsia="en-US"/>
        </w:rPr>
        <w:t xml:space="preserve"> o sprístupnení určitých komodít a výrobkov spojených s odlesňovaním a degradáciou lesov na trhu Únie a o ich vývoze z Únie</w:t>
      </w:r>
      <w:r w:rsidR="00912DBC">
        <w:rPr>
          <w:rStyle w:val="Odkaznapoznmkupodiarou"/>
          <w:rFonts w:eastAsia="Arial"/>
          <w:b/>
          <w:szCs w:val="24"/>
          <w:bdr w:val="nil"/>
          <w:lang w:eastAsia="en-US"/>
        </w:rPr>
        <w:footnoteReference w:id="26"/>
      </w:r>
      <w:r w:rsidR="009307D7" w:rsidRPr="00F32790">
        <w:rPr>
          <w:rFonts w:eastAsia="Arial" w:cs="Times New Roman"/>
          <w:szCs w:val="24"/>
          <w:bdr w:val="nil"/>
          <w:lang w:eastAsia="en-US"/>
        </w:rPr>
        <w:t xml:space="preserve">, ktorý </w:t>
      </w:r>
      <w:r w:rsidRPr="00F32790">
        <w:rPr>
          <w:rFonts w:eastAsia="Arial" w:cs="Times New Roman"/>
          <w:szCs w:val="24"/>
          <w:bdr w:val="nil"/>
          <w:lang w:eastAsia="en-US"/>
        </w:rPr>
        <w:t>EK</w:t>
      </w:r>
      <w:r w:rsidR="009307D7" w:rsidRPr="00F32790">
        <w:rPr>
          <w:rFonts w:eastAsia="Arial" w:cs="Times New Roman"/>
          <w:szCs w:val="24"/>
          <w:bdr w:val="nil"/>
          <w:lang w:eastAsia="en-US"/>
        </w:rPr>
        <w:t xml:space="preserve"> zverejnila v závere roka 2021, je znížiť príspevok EÚ ku globálnemu odlesňovaniu a degradácii lesov. Nariadenie o odlesňovaní sa zameriava na zamedzenie prístupu na</w:t>
      </w:r>
      <w:r w:rsidR="0019101E">
        <w:rPr>
          <w:rFonts w:eastAsia="Arial" w:cs="Times New Roman"/>
          <w:szCs w:val="24"/>
          <w:bdr w:val="nil"/>
          <w:lang w:eastAsia="en-US"/>
        </w:rPr>
        <w:t xml:space="preserve"> trh Únie, ako aj vývozu z Únie</w:t>
      </w:r>
      <w:r w:rsidR="009307D7" w:rsidRPr="00F32790">
        <w:rPr>
          <w:rFonts w:eastAsia="Arial" w:cs="Times New Roman"/>
          <w:szCs w:val="24"/>
          <w:bdr w:val="nil"/>
          <w:lang w:eastAsia="en-US"/>
        </w:rPr>
        <w:t xml:space="preserve"> tých komodít a výrobkov z nich, ktorých produkcia v najväčšom rozsahu prispieva ku globálnemu problému odlesňovania. Predbežná politická dohoda medzi inštitúciami EÚ o návrhu nariadenia bola dosiahnutá 6. decembra 2022. Podľa tejto dohody prišlo, okrem iného, k zaradeniu kaučuku do zoznamu komodít, na kt</w:t>
      </w:r>
      <w:r w:rsidR="00410E0D" w:rsidRPr="00F32790">
        <w:rPr>
          <w:rFonts w:eastAsia="Arial" w:cs="Times New Roman"/>
          <w:szCs w:val="24"/>
          <w:bdr w:val="nil"/>
          <w:lang w:eastAsia="en-US"/>
        </w:rPr>
        <w:t xml:space="preserve">oré sa má vzťahovať nariadenie. </w:t>
      </w:r>
      <w:r w:rsidR="009307D7" w:rsidRPr="00F32790">
        <w:rPr>
          <w:rFonts w:eastAsia="Arial" w:cs="Times New Roman"/>
          <w:szCs w:val="24"/>
          <w:bdr w:val="nil"/>
          <w:lang w:eastAsia="en-US"/>
        </w:rPr>
        <w:t>SR počas rokovaní Rady</w:t>
      </w:r>
      <w:r w:rsidR="00006427">
        <w:rPr>
          <w:rFonts w:eastAsia="Arial" w:cs="Times New Roman"/>
          <w:szCs w:val="24"/>
          <w:bdr w:val="nil"/>
          <w:lang w:eastAsia="en-US"/>
        </w:rPr>
        <w:t xml:space="preserve"> EÚ</w:t>
      </w:r>
      <w:r w:rsidR="009307D7" w:rsidRPr="00F32790">
        <w:rPr>
          <w:rFonts w:eastAsia="Arial" w:cs="Times New Roman"/>
          <w:szCs w:val="24"/>
          <w:bdr w:val="nil"/>
          <w:lang w:eastAsia="en-US"/>
        </w:rPr>
        <w:t xml:space="preserve"> </w:t>
      </w:r>
      <w:r w:rsidR="00AA77DA" w:rsidRPr="00F32790">
        <w:rPr>
          <w:rFonts w:eastAsia="Arial" w:cs="Times New Roman"/>
          <w:szCs w:val="24"/>
          <w:bdr w:val="nil"/>
          <w:lang w:eastAsia="en-US"/>
        </w:rPr>
        <w:t xml:space="preserve">podporovala filozofiu predloženého návrhu, avšak </w:t>
      </w:r>
      <w:r w:rsidR="009307D7" w:rsidRPr="00F32790">
        <w:rPr>
          <w:rFonts w:eastAsia="Arial" w:cs="Times New Roman"/>
          <w:szCs w:val="24"/>
          <w:bdr w:val="nil"/>
          <w:lang w:eastAsia="en-US"/>
        </w:rPr>
        <w:t>vyjadr</w:t>
      </w:r>
      <w:r w:rsidR="00AA77DA" w:rsidRPr="00F32790">
        <w:rPr>
          <w:rFonts w:eastAsia="Arial" w:cs="Times New Roman"/>
          <w:szCs w:val="24"/>
          <w:bdr w:val="nil"/>
          <w:lang w:eastAsia="en-US"/>
        </w:rPr>
        <w:t>ova</w:t>
      </w:r>
      <w:r w:rsidR="009307D7" w:rsidRPr="00F32790">
        <w:rPr>
          <w:rFonts w:eastAsia="Arial" w:cs="Times New Roman"/>
          <w:szCs w:val="24"/>
          <w:bdr w:val="nil"/>
          <w:lang w:eastAsia="en-US"/>
        </w:rPr>
        <w:t xml:space="preserve">la svoje obavy v súvislosti s niektorými prvkami návrhu nariadenia  najmä v kontexte budúcej vykonateľnosti a účinnosti nariadenia, ako aj neprimeranej administratívnej záťaže pre operátorov, obchodníkov a príslušné štátne orgány. </w:t>
      </w:r>
    </w:p>
    <w:p w14:paraId="5E3A42E0" w14:textId="77777777" w:rsidR="001A572B" w:rsidRPr="00F32790" w:rsidRDefault="001A572B" w:rsidP="001734FE">
      <w:pPr>
        <w:spacing w:after="0" w:line="240" w:lineRule="auto"/>
        <w:rPr>
          <w:rFonts w:eastAsia="Arial" w:cs="Times New Roman"/>
          <w:szCs w:val="24"/>
          <w:bdr w:val="nil"/>
          <w:lang w:eastAsia="en-US"/>
        </w:rPr>
      </w:pPr>
    </w:p>
    <w:p w14:paraId="1EEB809B" w14:textId="6D138B4C" w:rsidR="006E1F6A" w:rsidRDefault="00F22759" w:rsidP="001734FE">
      <w:pPr>
        <w:spacing w:after="0" w:line="240" w:lineRule="auto"/>
        <w:rPr>
          <w:rFonts w:cs="Times New Roman"/>
          <w:color w:val="auto"/>
          <w:szCs w:val="24"/>
        </w:rPr>
      </w:pPr>
      <w:r w:rsidRPr="00F32790">
        <w:rPr>
          <w:rFonts w:cs="Times New Roman"/>
          <w:color w:val="auto"/>
          <w:szCs w:val="24"/>
        </w:rPr>
        <w:t>Návrh nariadenia, ktorým sa zriaďuje</w:t>
      </w:r>
      <w:r w:rsidRPr="00F32790">
        <w:rPr>
          <w:rFonts w:cs="Times New Roman"/>
          <w:b/>
          <w:color w:val="auto"/>
          <w:szCs w:val="24"/>
        </w:rPr>
        <w:t xml:space="preserve"> nástroj núdzovej pomoci pre jednotný trh</w:t>
      </w:r>
      <w:r w:rsidR="00A25D23">
        <w:rPr>
          <w:rFonts w:cs="Times New Roman"/>
          <w:b/>
          <w:color w:val="auto"/>
          <w:szCs w:val="24"/>
        </w:rPr>
        <w:t xml:space="preserve"> (ďalej „SMEI“)</w:t>
      </w:r>
      <w:r w:rsidR="00912DBC">
        <w:rPr>
          <w:rStyle w:val="Odkaznapoznmkupodiarou"/>
          <w:b/>
          <w:color w:val="auto"/>
          <w:szCs w:val="24"/>
        </w:rPr>
        <w:footnoteReference w:id="27"/>
      </w:r>
      <w:r w:rsidR="00F43B61" w:rsidRPr="00F43B61">
        <w:rPr>
          <w:rFonts w:cs="Times New Roman"/>
          <w:color w:val="auto"/>
          <w:szCs w:val="24"/>
        </w:rPr>
        <w:t xml:space="preserve">, </w:t>
      </w:r>
      <w:r w:rsidRPr="00F32790">
        <w:rPr>
          <w:rFonts w:cs="Times New Roman"/>
          <w:color w:val="auto"/>
          <w:szCs w:val="24"/>
        </w:rPr>
        <w:t>bol predstavený v septembri 2022 ako reakcia na minulé krízy, najmä pandémi</w:t>
      </w:r>
      <w:r w:rsidR="0019101E">
        <w:rPr>
          <w:rFonts w:cs="Times New Roman"/>
          <w:color w:val="auto"/>
          <w:szCs w:val="24"/>
        </w:rPr>
        <w:t>u</w:t>
      </w:r>
      <w:r w:rsidRPr="00F32790">
        <w:rPr>
          <w:rFonts w:cs="Times New Roman"/>
          <w:color w:val="auto"/>
          <w:szCs w:val="24"/>
        </w:rPr>
        <w:t xml:space="preserve"> COVID-19 a rusk</w:t>
      </w:r>
      <w:r w:rsidR="0019101E">
        <w:rPr>
          <w:rFonts w:cs="Times New Roman"/>
          <w:color w:val="auto"/>
          <w:szCs w:val="24"/>
        </w:rPr>
        <w:t>ú</w:t>
      </w:r>
      <w:r w:rsidRPr="00F32790">
        <w:rPr>
          <w:rFonts w:cs="Times New Roman"/>
          <w:color w:val="auto"/>
          <w:szCs w:val="24"/>
        </w:rPr>
        <w:t xml:space="preserve"> invázi</w:t>
      </w:r>
      <w:r w:rsidR="0019101E">
        <w:rPr>
          <w:rFonts w:cs="Times New Roman"/>
          <w:color w:val="auto"/>
          <w:szCs w:val="24"/>
        </w:rPr>
        <w:t>u</w:t>
      </w:r>
      <w:r w:rsidRPr="00F32790">
        <w:rPr>
          <w:rFonts w:cs="Times New Roman"/>
          <w:color w:val="auto"/>
          <w:szCs w:val="24"/>
        </w:rPr>
        <w:t xml:space="preserve"> na Ukrajine. Týmito krízami bol jednoznačne zasiahnutý jednotný </w:t>
      </w:r>
      <w:r w:rsidRPr="00F32790">
        <w:rPr>
          <w:rFonts w:cs="Times New Roman"/>
          <w:color w:val="auto"/>
          <w:szCs w:val="24"/>
        </w:rPr>
        <w:lastRenderedPageBreak/>
        <w:t>trh, ktorý je základom pre hospodársky rast EÚ. Návrh SMEI má predvídať možné hrozby pre jednotný trh, pomôcť v koordinácii a komunikácii medzi členskými štátmi</w:t>
      </w:r>
      <w:r w:rsidR="006E1F6A">
        <w:rPr>
          <w:rFonts w:cs="Times New Roman"/>
          <w:color w:val="auto"/>
          <w:szCs w:val="24"/>
        </w:rPr>
        <w:t xml:space="preserve">, EK a hospodárskymi subjektami </w:t>
      </w:r>
      <w:r w:rsidRPr="00F32790">
        <w:rPr>
          <w:rFonts w:cs="Times New Roman"/>
          <w:color w:val="auto"/>
          <w:szCs w:val="24"/>
        </w:rPr>
        <w:t>a k plynulejšiemu zvládnutiu kríz</w:t>
      </w:r>
      <w:r w:rsidR="006E1F6A">
        <w:rPr>
          <w:rFonts w:cs="Times New Roman"/>
          <w:color w:val="auto"/>
          <w:szCs w:val="24"/>
        </w:rPr>
        <w:t xml:space="preserve"> na jednotnom trhu</w:t>
      </w:r>
      <w:r w:rsidRPr="00F32790">
        <w:rPr>
          <w:rFonts w:cs="Times New Roman"/>
          <w:color w:val="auto"/>
          <w:szCs w:val="24"/>
        </w:rPr>
        <w:t xml:space="preserve">. Nástroj SMEI </w:t>
      </w:r>
      <w:r w:rsidR="006E1F6A">
        <w:rPr>
          <w:rFonts w:cs="Times New Roman"/>
          <w:color w:val="auto"/>
          <w:szCs w:val="24"/>
        </w:rPr>
        <w:t xml:space="preserve">má pomôcť v čase krízy predchádzať vzniku prekážok </w:t>
      </w:r>
      <w:r w:rsidRPr="00F32790">
        <w:rPr>
          <w:rFonts w:cs="Times New Roman"/>
          <w:color w:val="auto"/>
          <w:szCs w:val="24"/>
        </w:rPr>
        <w:t>vo voľnom pohybe v rámci jednotného trhu, narušeni</w:t>
      </w:r>
      <w:r w:rsidR="006E1F6A">
        <w:rPr>
          <w:rFonts w:cs="Times New Roman"/>
          <w:color w:val="auto"/>
          <w:szCs w:val="24"/>
        </w:rPr>
        <w:t>u</w:t>
      </w:r>
      <w:r w:rsidRPr="00F32790">
        <w:rPr>
          <w:rFonts w:cs="Times New Roman"/>
          <w:color w:val="auto"/>
          <w:szCs w:val="24"/>
        </w:rPr>
        <w:t xml:space="preserve"> jeho fungovania či prehlbovanie nedostatku tovaru a služieb, ktoré sú v krízovej situácii veľmi dôležité. </w:t>
      </w:r>
    </w:p>
    <w:p w14:paraId="06E59AFB" w14:textId="77777777" w:rsidR="006E1F6A" w:rsidRDefault="006E1F6A" w:rsidP="001734FE">
      <w:pPr>
        <w:spacing w:after="0" w:line="240" w:lineRule="auto"/>
        <w:rPr>
          <w:rFonts w:cs="Times New Roman"/>
          <w:color w:val="auto"/>
          <w:szCs w:val="24"/>
        </w:rPr>
      </w:pPr>
    </w:p>
    <w:p w14:paraId="6F636821" w14:textId="585A400A" w:rsidR="00F22759" w:rsidRPr="00F32790" w:rsidRDefault="00F22759" w:rsidP="001734FE">
      <w:pPr>
        <w:spacing w:after="0" w:line="240" w:lineRule="auto"/>
        <w:rPr>
          <w:rFonts w:cs="Times New Roman"/>
          <w:b/>
          <w:szCs w:val="24"/>
        </w:rPr>
      </w:pPr>
      <w:r w:rsidRPr="00F32790">
        <w:rPr>
          <w:rFonts w:cs="Times New Roman"/>
          <w:color w:val="auto"/>
          <w:szCs w:val="24"/>
        </w:rPr>
        <w:t xml:space="preserve">V máji 2022 </w:t>
      </w:r>
      <w:r w:rsidR="008C1099">
        <w:rPr>
          <w:rFonts w:cs="Times New Roman"/>
          <w:color w:val="auto"/>
          <w:szCs w:val="24"/>
        </w:rPr>
        <w:t>EK</w:t>
      </w:r>
      <w:r w:rsidR="008C1099" w:rsidRPr="00F32790">
        <w:rPr>
          <w:rFonts w:cs="Times New Roman"/>
          <w:color w:val="auto"/>
          <w:szCs w:val="24"/>
        </w:rPr>
        <w:t xml:space="preserve"> </w:t>
      </w:r>
      <w:r w:rsidRPr="00F32790">
        <w:rPr>
          <w:rFonts w:cs="Times New Roman"/>
          <w:color w:val="auto"/>
          <w:szCs w:val="24"/>
        </w:rPr>
        <w:t xml:space="preserve">predstavila </w:t>
      </w:r>
      <w:r w:rsidRPr="00F32790">
        <w:rPr>
          <w:rFonts w:cs="Times New Roman"/>
          <w:b/>
          <w:color w:val="auto"/>
          <w:szCs w:val="24"/>
        </w:rPr>
        <w:t>návrh smernice o vymáhaní majetku a konfiškáci</w:t>
      </w:r>
      <w:r w:rsidR="00892879">
        <w:rPr>
          <w:rFonts w:cs="Times New Roman"/>
          <w:b/>
          <w:color w:val="auto"/>
          <w:szCs w:val="24"/>
        </w:rPr>
        <w:t>i</w:t>
      </w:r>
      <w:r w:rsidR="00912DBC">
        <w:rPr>
          <w:rStyle w:val="Odkaznapoznmkupodiarou"/>
          <w:b/>
          <w:color w:val="auto"/>
          <w:szCs w:val="24"/>
        </w:rPr>
        <w:footnoteReference w:id="28"/>
      </w:r>
      <w:r w:rsidRPr="00F32790">
        <w:rPr>
          <w:rFonts w:cs="Times New Roman"/>
          <w:color w:val="auto"/>
          <w:szCs w:val="24"/>
        </w:rPr>
        <w:t xml:space="preserve">. Návrh harmonizačnej smernice je súčasťou širšieho úsilia na úrovni EÚ v boji proti závažnej </w:t>
      </w:r>
      <w:r w:rsidR="008E6BE5">
        <w:rPr>
          <w:rFonts w:cs="Times New Roman"/>
          <w:color w:val="auto"/>
          <w:szCs w:val="24"/>
        </w:rPr>
        <w:br/>
      </w:r>
      <w:r w:rsidRPr="00F32790">
        <w:rPr>
          <w:rFonts w:cs="Times New Roman"/>
          <w:color w:val="auto"/>
          <w:szCs w:val="24"/>
        </w:rPr>
        <w:t xml:space="preserve">a organizovanej trestnej činnosti. Jeho cieľom je posilniť súčasný právny rámec a existujúce mechanizmy. V decembri 2022 následne predložila návrh smernice </w:t>
      </w:r>
      <w:r w:rsidRPr="00F32790">
        <w:rPr>
          <w:rFonts w:cs="Times New Roman"/>
          <w:b/>
          <w:color w:val="auto"/>
          <w:szCs w:val="24"/>
        </w:rPr>
        <w:t>harmonizujúcej trestné činy a sankcie za porušovanie reštriktívnych opatrení.</w:t>
      </w:r>
      <w:r w:rsidRPr="00F32790">
        <w:rPr>
          <w:rFonts w:cs="Times New Roman"/>
          <w:color w:val="auto"/>
          <w:szCs w:val="24"/>
        </w:rPr>
        <w:t xml:space="preserve"> Oba návrhy majú potenciál prispieť k zvýšeniu efektivity v tejto oblasti, vrátane zvýšenia počtu konfiškácií zaisteného majetku osôb zo sankčných zoznamov. SK podporuje rýchle prijatie návrhov oboch trestnoprávnych smerníc. Oba návrhy sa vpisujú aj do rámca prebiehajúcich vnútroštátnych snáh o zefektívnenie systému vykonávania medzinárodných sankcií v SR a posilnenia mechanizmov odnímania nezákonne získaného majetku.</w:t>
      </w:r>
    </w:p>
    <w:p w14:paraId="1B009374" w14:textId="77777777" w:rsidR="005A3ABC" w:rsidRPr="00F32790" w:rsidRDefault="005A3ABC" w:rsidP="001734FE">
      <w:pPr>
        <w:shd w:val="clear" w:color="auto" w:fill="FFFFFF"/>
        <w:spacing w:after="0" w:line="240" w:lineRule="auto"/>
        <w:rPr>
          <w:rFonts w:cs="Times New Roman"/>
          <w:color w:val="FF0000"/>
          <w:szCs w:val="24"/>
        </w:rPr>
      </w:pPr>
    </w:p>
    <w:p w14:paraId="1496A076" w14:textId="6E37987B" w:rsidR="003B0629" w:rsidRPr="00F32790" w:rsidRDefault="003B0629" w:rsidP="001734FE">
      <w:pPr>
        <w:pStyle w:val="Nadpis1"/>
        <w:jc w:val="both"/>
        <w:rPr>
          <w:rFonts w:cs="Times New Roman"/>
          <w:color w:val="auto"/>
          <w:szCs w:val="24"/>
          <w:u w:val="single"/>
        </w:rPr>
      </w:pPr>
      <w:r w:rsidRPr="00F32790">
        <w:rPr>
          <w:rFonts w:cs="Times New Roman"/>
          <w:color w:val="auto"/>
          <w:szCs w:val="24"/>
          <w:u w:val="single"/>
        </w:rPr>
        <w:t>2.4. Silnejšia Európa vo svete</w:t>
      </w:r>
    </w:p>
    <w:p w14:paraId="59D7D68E" w14:textId="6FAB2CAE" w:rsidR="00BB79B9" w:rsidRPr="00F32790" w:rsidRDefault="00BB79B9" w:rsidP="001734FE">
      <w:pPr>
        <w:pStyle w:val="Bezriadkovania"/>
        <w:rPr>
          <w:rFonts w:ascii="Times New Roman" w:hAnsi="Times New Roman"/>
          <w:b/>
          <w:color w:val="FF0000"/>
          <w:sz w:val="24"/>
          <w:szCs w:val="24"/>
          <w:u w:val="single"/>
        </w:rPr>
      </w:pPr>
    </w:p>
    <w:p w14:paraId="6159F063" w14:textId="18154DA7" w:rsidR="004A4FB5" w:rsidRDefault="00C75E2D" w:rsidP="004A4FB5">
      <w:pPr>
        <w:spacing w:after="0" w:line="240" w:lineRule="auto"/>
        <w:rPr>
          <w:rFonts w:cs="Times New Roman"/>
        </w:rPr>
      </w:pPr>
      <w:r w:rsidRPr="00F32790">
        <w:rPr>
          <w:rFonts w:cs="Times New Roman"/>
          <w:szCs w:val="24"/>
        </w:rPr>
        <w:t xml:space="preserve">Agresia Ruska na Ukrajine zásadným spôsobom ovplyvnila dianie v Európskej únii aj v oblasti </w:t>
      </w:r>
      <w:r w:rsidRPr="00F32790">
        <w:rPr>
          <w:rFonts w:cs="Times New Roman"/>
          <w:b/>
          <w:szCs w:val="24"/>
        </w:rPr>
        <w:t>spoločnej zahraničnej a bezpečnostnej politiky</w:t>
      </w:r>
      <w:r w:rsidR="000A7D51">
        <w:rPr>
          <w:rFonts w:cs="Times New Roman"/>
          <w:b/>
          <w:szCs w:val="24"/>
        </w:rPr>
        <w:t xml:space="preserve"> </w:t>
      </w:r>
      <w:r w:rsidR="000A7D51" w:rsidRPr="000A7D51">
        <w:rPr>
          <w:rFonts w:cs="Times New Roman"/>
          <w:szCs w:val="24"/>
        </w:rPr>
        <w:t>(ďalej „SZBP“</w:t>
      </w:r>
      <w:r w:rsidR="000A7D51">
        <w:rPr>
          <w:rFonts w:cs="Times New Roman"/>
          <w:b/>
          <w:szCs w:val="24"/>
        </w:rPr>
        <w:t>)</w:t>
      </w:r>
      <w:r w:rsidRPr="00F32790">
        <w:rPr>
          <w:rFonts w:cs="Times New Roman"/>
          <w:b/>
          <w:szCs w:val="24"/>
        </w:rPr>
        <w:t>.</w:t>
      </w:r>
      <w:r w:rsidRPr="00F32790">
        <w:rPr>
          <w:rFonts w:cs="Times New Roman"/>
          <w:szCs w:val="24"/>
        </w:rPr>
        <w:t xml:space="preserve"> EÚ a členské štáty si rýchlo uvedomili, že Ukrajina ned</w:t>
      </w:r>
      <w:r w:rsidR="000A7D51">
        <w:rPr>
          <w:rFonts w:cs="Times New Roman"/>
          <w:szCs w:val="24"/>
        </w:rPr>
        <w:t>o</w:t>
      </w:r>
      <w:r w:rsidRPr="00F32790">
        <w:rPr>
          <w:rFonts w:cs="Times New Roman"/>
          <w:szCs w:val="24"/>
        </w:rPr>
        <w:t xml:space="preserve">káže sama odolávať presile ruskej armády. Z tohto dôvodu predložil vysoký predstaviteľ EÚ pre </w:t>
      </w:r>
      <w:r w:rsidR="00360C13">
        <w:rPr>
          <w:rFonts w:cs="Times New Roman"/>
          <w:szCs w:val="24"/>
        </w:rPr>
        <w:t>zahraničné veci a bezpečnostnú politiku</w:t>
      </w:r>
      <w:r w:rsidRPr="00F32790">
        <w:rPr>
          <w:rFonts w:cs="Times New Roman"/>
          <w:szCs w:val="24"/>
        </w:rPr>
        <w:t xml:space="preserve"> návrh asistenčných opatrení z </w:t>
      </w:r>
      <w:r w:rsidRPr="004A4FB5">
        <w:rPr>
          <w:rFonts w:cs="Times New Roman"/>
          <w:szCs w:val="24"/>
        </w:rPr>
        <w:t>Európskeho mierového nást</w:t>
      </w:r>
      <w:r w:rsidR="008F015D">
        <w:rPr>
          <w:rFonts w:cs="Times New Roman"/>
          <w:szCs w:val="24"/>
        </w:rPr>
        <w:t>r</w:t>
      </w:r>
      <w:r w:rsidRPr="004A4FB5">
        <w:rPr>
          <w:rFonts w:cs="Times New Roman"/>
          <w:szCs w:val="24"/>
        </w:rPr>
        <w:t>oja (ďalej „EPF“)</w:t>
      </w:r>
      <w:r w:rsidRPr="00F32790">
        <w:rPr>
          <w:rFonts w:cs="Times New Roman"/>
          <w:szCs w:val="24"/>
        </w:rPr>
        <w:t xml:space="preserve"> na podporu ozbrojených síl Ukrajiny. Rada EÚ pre zahraničné veci </w:t>
      </w:r>
      <w:r w:rsidR="00360C13">
        <w:rPr>
          <w:rFonts w:cs="Times New Roman"/>
          <w:szCs w:val="24"/>
        </w:rPr>
        <w:t xml:space="preserve">(ďalej „FAC“) </w:t>
      </w:r>
      <w:r w:rsidRPr="00F32790">
        <w:rPr>
          <w:rFonts w:cs="Times New Roman"/>
          <w:szCs w:val="24"/>
        </w:rPr>
        <w:t xml:space="preserve">návrhy schválila len 4 dni po začatí </w:t>
      </w:r>
      <w:r w:rsidR="00360C13">
        <w:rPr>
          <w:rFonts w:cs="Times New Roman"/>
          <w:szCs w:val="24"/>
        </w:rPr>
        <w:t xml:space="preserve">ruskej </w:t>
      </w:r>
      <w:r w:rsidRPr="00F32790">
        <w:rPr>
          <w:rFonts w:cs="Times New Roman"/>
          <w:szCs w:val="24"/>
        </w:rPr>
        <w:t xml:space="preserve">agresie. </w:t>
      </w:r>
      <w:r w:rsidR="000A7D51">
        <w:rPr>
          <w:rFonts w:cs="Times New Roman"/>
        </w:rPr>
        <w:t>Od začiatku ruskej agresie bola jednota kľúčovým faktorom reakcie. Jednou z hlavných súčastí robustnej reakcie EÚ na ruskú agresiu bolo prijatie deviatich</w:t>
      </w:r>
      <w:r w:rsidR="000A7D51" w:rsidRPr="00550B17">
        <w:rPr>
          <w:rFonts w:cs="Times New Roman"/>
        </w:rPr>
        <w:t xml:space="preserve"> sankčných balíkov </w:t>
      </w:r>
      <w:r w:rsidR="004A4FB5">
        <w:rPr>
          <w:rFonts w:cs="Times New Roman"/>
        </w:rPr>
        <w:t xml:space="preserve">voči Rusku a Bielorusku. </w:t>
      </w:r>
    </w:p>
    <w:p w14:paraId="6946FA09" w14:textId="77777777" w:rsidR="0050530E" w:rsidRDefault="0050530E" w:rsidP="0050530E">
      <w:pPr>
        <w:spacing w:after="0" w:line="240" w:lineRule="auto"/>
        <w:rPr>
          <w:rFonts w:cs="Times New Roman"/>
        </w:rPr>
      </w:pPr>
    </w:p>
    <w:p w14:paraId="175E9894" w14:textId="1B0C5DDD" w:rsidR="0050530E" w:rsidRDefault="008C1099" w:rsidP="00463B07">
      <w:pPr>
        <w:spacing w:after="0" w:line="240" w:lineRule="auto"/>
        <w:rPr>
          <w:rFonts w:cs="Times New Roman"/>
        </w:rPr>
      </w:pPr>
      <w:r>
        <w:rPr>
          <w:rFonts w:cs="Times New Roman"/>
        </w:rPr>
        <w:t>EÚ</w:t>
      </w:r>
      <w:r w:rsidR="0050530E">
        <w:rPr>
          <w:rFonts w:cs="Times New Roman"/>
        </w:rPr>
        <w:t xml:space="preserve"> sa ako zodpovedný partner zameriavala aj na zmierňovanie </w:t>
      </w:r>
      <w:r w:rsidR="0050530E" w:rsidRPr="000A7D51">
        <w:rPr>
          <w:rFonts w:cs="Times New Roman"/>
        </w:rPr>
        <w:t>globálnych dopadov ruskej agresie voči Ukrajine, najmä v oblasti potravinovej a energetickej bezpečnosti.</w:t>
      </w:r>
      <w:r w:rsidR="0050530E">
        <w:rPr>
          <w:rFonts w:cs="Times New Roman"/>
          <w:b/>
        </w:rPr>
        <w:t xml:space="preserve"> </w:t>
      </w:r>
      <w:r w:rsidR="0050530E">
        <w:rPr>
          <w:rFonts w:cs="Times New Roman"/>
        </w:rPr>
        <w:t xml:space="preserve">EÚ vytvorila tzv. </w:t>
      </w:r>
      <w:r w:rsidR="0050530E" w:rsidRPr="00016819">
        <w:rPr>
          <w:rFonts w:cs="Times New Roman"/>
          <w:b/>
        </w:rPr>
        <w:t>koridory solidarity</w:t>
      </w:r>
      <w:r w:rsidR="0050530E">
        <w:rPr>
          <w:rFonts w:cs="Times New Roman"/>
        </w:rPr>
        <w:t xml:space="preserve">, cez ktoré, vrátane územia </w:t>
      </w:r>
      <w:r w:rsidR="00147C10">
        <w:rPr>
          <w:rFonts w:cs="Times New Roman"/>
        </w:rPr>
        <w:t>SR</w:t>
      </w:r>
      <w:r w:rsidR="0050530E">
        <w:rPr>
          <w:rFonts w:cs="Times New Roman"/>
        </w:rPr>
        <w:t xml:space="preserve">, prúdilo do sveta ukrajinské obilie. Vysoký predstaviteľ EÚ pre spoločnú zahraničnú a bezpečnostnú politiku a členské štáty zároveň aktívne komunikovali partnerom z tretích krajín príčiny ruskej agresie voči Ukrajine a jej dopady. </w:t>
      </w:r>
    </w:p>
    <w:p w14:paraId="23103258" w14:textId="77777777" w:rsidR="0050530E" w:rsidRDefault="0050530E" w:rsidP="0050530E">
      <w:pPr>
        <w:spacing w:after="0" w:line="240" w:lineRule="auto"/>
        <w:rPr>
          <w:rFonts w:cs="Times New Roman"/>
          <w:b/>
        </w:rPr>
      </w:pPr>
    </w:p>
    <w:p w14:paraId="3F6825DF" w14:textId="77777777" w:rsidR="0050530E" w:rsidRDefault="0050530E" w:rsidP="00463B07">
      <w:pPr>
        <w:spacing w:after="0" w:line="240" w:lineRule="auto"/>
        <w:rPr>
          <w:rFonts w:cs="Times New Roman"/>
        </w:rPr>
      </w:pPr>
      <w:r>
        <w:rPr>
          <w:rFonts w:cs="Times New Roman"/>
        </w:rPr>
        <w:t xml:space="preserve">Hodnotová orientácia zahraničnej politiky SR sa pretavila i do iniciatívy, ktorou SR spolu s ďalšími siedmimi členskými štátmi EÚ navrhla posilniť </w:t>
      </w:r>
      <w:r w:rsidRPr="000A7D51">
        <w:rPr>
          <w:rFonts w:cs="Times New Roman"/>
        </w:rPr>
        <w:t xml:space="preserve">angažovanosť EÚ v boji proti korupcii vytvorením </w:t>
      </w:r>
      <w:r>
        <w:rPr>
          <w:rFonts w:cs="Times New Roman"/>
        </w:rPr>
        <w:t xml:space="preserve">horizontálneho sankčného režimu EÚ. </w:t>
      </w:r>
    </w:p>
    <w:p w14:paraId="7BEB19FE" w14:textId="65767DEC" w:rsidR="004A4FB5" w:rsidRDefault="004A4FB5" w:rsidP="00463B07">
      <w:pPr>
        <w:spacing w:after="0" w:line="240" w:lineRule="auto"/>
        <w:rPr>
          <w:rFonts w:cs="Times New Roman"/>
        </w:rPr>
      </w:pPr>
    </w:p>
    <w:p w14:paraId="54BE56F2" w14:textId="34D9731C" w:rsidR="00C25BD9" w:rsidRDefault="00C25BD9" w:rsidP="00463B07">
      <w:pPr>
        <w:spacing w:after="0" w:line="240" w:lineRule="auto"/>
      </w:pPr>
      <w:r>
        <w:t>EÚ a členské štáty zareagovali na rastúce potreby Ukrajiny dvojnásobnou úpravou mandátu civilnej poradenskej misie na Ukrajine (EUAM UA) v marci a v</w:t>
      </w:r>
      <w:r w:rsidR="00463B07">
        <w:t> </w:t>
      </w:r>
      <w:r>
        <w:t>apríli</w:t>
      </w:r>
      <w:r w:rsidR="00463B07">
        <w:t xml:space="preserve"> 2022</w:t>
      </w:r>
      <w:r>
        <w:t xml:space="preserve">. V závere roku EÚ spustila </w:t>
      </w:r>
      <w:r w:rsidRPr="00A85402">
        <w:rPr>
          <w:b/>
        </w:rPr>
        <w:t>vojenskú</w:t>
      </w:r>
      <w:r w:rsidR="008E3DF0">
        <w:rPr>
          <w:b/>
        </w:rPr>
        <w:t xml:space="preserve"> asistenčnú</w:t>
      </w:r>
      <w:r w:rsidRPr="00A85402">
        <w:rPr>
          <w:b/>
        </w:rPr>
        <w:t xml:space="preserve"> misiu </w:t>
      </w:r>
      <w:r>
        <w:rPr>
          <w:b/>
        </w:rPr>
        <w:t xml:space="preserve">spoločnej bezpečnostnej a obrannej politiky </w:t>
      </w:r>
      <w:r w:rsidRPr="00C25BD9">
        <w:t>(ďalej „SBOP“)</w:t>
      </w:r>
      <w:r w:rsidRPr="00A85402">
        <w:rPr>
          <w:b/>
        </w:rPr>
        <w:t xml:space="preserve"> na podporu Ukrajiny</w:t>
      </w:r>
      <w:r w:rsidR="008E3DF0">
        <w:t xml:space="preserve"> (EUMAM UA), ktorej cieľom je poskytnúť výcvik príslušníkom ukrajinských ozbrojených síl. </w:t>
      </w:r>
      <w:r>
        <w:t xml:space="preserve">Vývoj na východ od hraníc EÚ tiež ovplyvnil </w:t>
      </w:r>
      <w:r>
        <w:lastRenderedPageBreak/>
        <w:t xml:space="preserve">finálnu fázu prípravy Strategického kompasu </w:t>
      </w:r>
      <w:r w:rsidRPr="00517545">
        <w:t>pre bezpečnosť a</w:t>
      </w:r>
      <w:r>
        <w:t> </w:t>
      </w:r>
      <w:r w:rsidRPr="00517545">
        <w:t>obranu</w:t>
      </w:r>
      <w:r>
        <w:t xml:space="preserve">, ako aj ďalší vývoj vo vzťahoch EÚ s jej partnermi. </w:t>
      </w:r>
    </w:p>
    <w:p w14:paraId="251A6259" w14:textId="77777777" w:rsidR="00C25BD9" w:rsidRDefault="00C25BD9" w:rsidP="00C25BD9">
      <w:pPr>
        <w:spacing w:after="0"/>
      </w:pPr>
    </w:p>
    <w:p w14:paraId="2013CADE" w14:textId="4AB18890" w:rsidR="008E3DF0" w:rsidRDefault="00C25BD9" w:rsidP="008E3DF0">
      <w:pPr>
        <w:spacing w:after="0" w:line="240" w:lineRule="auto"/>
      </w:pPr>
      <w:r>
        <w:t xml:space="preserve">FAC a následne aj Európska rada </w:t>
      </w:r>
      <w:r w:rsidR="003876B0">
        <w:t xml:space="preserve">(ďalej „ER“) </w:t>
      </w:r>
      <w:r>
        <w:t xml:space="preserve">v marci schválili </w:t>
      </w:r>
      <w:r w:rsidRPr="00A85402">
        <w:rPr>
          <w:b/>
        </w:rPr>
        <w:t>Strategický kompas pre bezpečnosť a obranu</w:t>
      </w:r>
      <w:r w:rsidR="00912DBC">
        <w:rPr>
          <w:rStyle w:val="Odkaznapoznmkupodiarou"/>
          <w:b/>
        </w:rPr>
        <w:footnoteReference w:id="29"/>
      </w:r>
      <w:r>
        <w:t>. Strategický kompas rozpracováva Globálnu</w:t>
      </w:r>
      <w:r w:rsidRPr="00593BC7">
        <w:t xml:space="preserve"> stratégi</w:t>
      </w:r>
      <w:r>
        <w:t>u</w:t>
      </w:r>
      <w:r w:rsidRPr="00593BC7">
        <w:t xml:space="preserve"> EÚ pre zahraničnú a bezpečnostnú politiku (ďalej „EUGS“) z roku 2016</w:t>
      </w:r>
      <w:r>
        <w:t xml:space="preserve"> </w:t>
      </w:r>
      <w:r w:rsidR="008E3DF0">
        <w:t xml:space="preserve">a momentálne slúži ako základný strednodobý strategický dokument, ktorý poskytuje konkrétne politické, strategické usmernenie pre každodennú činnosť EÚ v oblasti bezpečnosti a obrany. Kompas bol prijatý v kritickom období pre bezpečnosť a stabilitu v celej Európe. Členské štáty v ňom jasne pomenovali Rusko ako agresora a hrozbu pre európsku bezpečnosť. V rámci posilnenia spoločnej obrany a bezpečnosti Únie, Kompas prináša viac ako 80 konkrétnych a terminovaných cieľov, ako navýšenie výdavkov na budovanie obrany a obranných spôsobilostí, zvýšenie schopnosti EÚ podieľať sa na aktivitách medzinárodného krízového manažmentu, vytvorenie nástrojov na boj proti hybridným hrozbám a vytvorenie schopností rýchleho nasadenia EÚ (tzv. Rapid </w:t>
      </w:r>
      <w:proofErr w:type="spellStart"/>
      <w:r w:rsidR="008E3DF0">
        <w:t>Deployment</w:t>
      </w:r>
      <w:proofErr w:type="spellEnd"/>
      <w:r w:rsidR="008E3DF0">
        <w:t xml:space="preserve"> </w:t>
      </w:r>
      <w:proofErr w:type="spellStart"/>
      <w:r w:rsidR="008E3DF0">
        <w:t>Capacity</w:t>
      </w:r>
      <w:proofErr w:type="spellEnd"/>
      <w:r w:rsidR="008E3DF0">
        <w:t>). Implementácia Strategického kompasu bude vyhodnocovaná v ročnom intervale, prvýkrát v marci 2023. V rámci hodnotenia možno konštatovať plnenie cieľov, resp. čiastkových úloh k naplneniu cieľov Strategického kompasu na rok 2022.</w:t>
      </w:r>
    </w:p>
    <w:p w14:paraId="325A5EC5" w14:textId="77777777" w:rsidR="008E3DF0" w:rsidRDefault="008E3DF0" w:rsidP="008E3DF0">
      <w:pPr>
        <w:spacing w:after="0" w:line="240" w:lineRule="auto"/>
      </w:pPr>
    </w:p>
    <w:p w14:paraId="4FF28747" w14:textId="77777777" w:rsidR="008E3DF0" w:rsidRDefault="008E3DF0" w:rsidP="008E3DF0">
      <w:pPr>
        <w:spacing w:after="0" w:line="240" w:lineRule="auto"/>
      </w:pPr>
      <w:r>
        <w:t xml:space="preserve">V rámci Stálej štruktúrovanej spolupráce EÚ (ďalej „PESCO“) členské štáty v novembri 2022 schválili pripojenie Veľkej Británie do PESCO projektu Vojenská mobilita. Veľká Británia sa tak po Spojených štátoch, Kanade a Nórsku stala štvrtou krajinou Aliancie, ktorá nie je členským štátom EÚ v tomto projekte. Vzhľadom na vývoj vzťahov medzi EÚ a Veľkou Britániou od </w:t>
      </w:r>
      <w:proofErr w:type="spellStart"/>
      <w:r>
        <w:t>Brexitu</w:t>
      </w:r>
      <w:proofErr w:type="spellEnd"/>
      <w:r>
        <w:t xml:space="preserve"> je tento krok považovaný za jeden z mála konštruktívnych v snahe udržať si strategické partnerstvo. </w:t>
      </w:r>
    </w:p>
    <w:p w14:paraId="263C9539" w14:textId="77777777" w:rsidR="008E3DF0" w:rsidRDefault="008E3DF0" w:rsidP="008E3DF0">
      <w:pPr>
        <w:spacing w:after="0" w:line="240" w:lineRule="auto"/>
      </w:pPr>
    </w:p>
    <w:p w14:paraId="7D356ACB" w14:textId="692ABD75" w:rsidR="008E3DF0" w:rsidRDefault="008E3DF0" w:rsidP="008E3DF0">
      <w:pPr>
        <w:spacing w:after="0" w:line="240" w:lineRule="auto"/>
      </w:pPr>
      <w:r>
        <w:t xml:space="preserve">Ďalším významným krokom pre posilnenie európskej obrannej a bezpečnostnej spolupráce v dôsledku ruskej invázie na Ukrajine je zapojenie Dánska do spolupráce v oblasti </w:t>
      </w:r>
      <w:r w:rsidR="004F2F38">
        <w:t>S</w:t>
      </w:r>
      <w:r w:rsidR="004F2F38" w:rsidRPr="004F2F38">
        <w:rPr>
          <w:rFonts w:cs="Times New Roman"/>
          <w:szCs w:val="24"/>
        </w:rPr>
        <w:t xml:space="preserve"> </w:t>
      </w:r>
      <w:r w:rsidR="004F2F38">
        <w:rPr>
          <w:rFonts w:cs="Times New Roman"/>
          <w:szCs w:val="24"/>
        </w:rPr>
        <w:t xml:space="preserve">v rámci EUFOR ALTHEA </w:t>
      </w:r>
      <w:proofErr w:type="spellStart"/>
      <w:r>
        <w:t>poločnej</w:t>
      </w:r>
      <w:proofErr w:type="spellEnd"/>
      <w:r>
        <w:t xml:space="preserve"> bezpečnostnej a obrannej politiky </w:t>
      </w:r>
      <w:r w:rsidR="004F2F38">
        <w:rPr>
          <w:rFonts w:cs="Times New Roman"/>
          <w:szCs w:val="24"/>
        </w:rPr>
        <w:t xml:space="preserve">(ďalej „SBOP) </w:t>
      </w:r>
      <w:r>
        <w:t xml:space="preserve">na základe výsledku referenda z júna 2022.         </w:t>
      </w:r>
    </w:p>
    <w:p w14:paraId="0F777ACA" w14:textId="1300C860" w:rsidR="00C25BD9" w:rsidRDefault="00C25BD9" w:rsidP="008E3DF0">
      <w:pPr>
        <w:spacing w:after="0" w:line="240" w:lineRule="auto"/>
      </w:pPr>
    </w:p>
    <w:p w14:paraId="75AE6036" w14:textId="150C563E" w:rsidR="00C25BD9" w:rsidRDefault="00C25BD9" w:rsidP="00463B07">
      <w:pPr>
        <w:spacing w:after="0" w:line="240" w:lineRule="auto"/>
      </w:pPr>
      <w:r w:rsidRPr="00593BC7">
        <w:t>Koherencia a komplementárnosť EÚ a</w:t>
      </w:r>
      <w:r>
        <w:t> </w:t>
      </w:r>
      <w:r w:rsidRPr="00593BC7">
        <w:t xml:space="preserve">NATO ako dvoch inštitucionálnych pilierov </w:t>
      </w:r>
      <w:r>
        <w:t xml:space="preserve">bezpečnosti </w:t>
      </w:r>
      <w:r w:rsidRPr="00593BC7">
        <w:t xml:space="preserve">euroatlantického priestoru sú z pohľadu SR kľúčové. </w:t>
      </w:r>
      <w:r>
        <w:t>Napriek nenaplneniu očakávania podpisu tretej spoločnej deklarácie najvyšších predstaviteľov EÚ a NATO v roku 2022, za ktorú sa SR zasadzovala, napredovala praktická spolupráca</w:t>
      </w:r>
      <w:r w:rsidR="0050530E">
        <w:t xml:space="preserve"> (pozn.: k podpisu deklarácie nakoniec došlo </w:t>
      </w:r>
      <w:r w:rsidR="008E6BE5">
        <w:br/>
      </w:r>
      <w:r w:rsidR="0050530E">
        <w:t>10. 1. 2023)</w:t>
      </w:r>
      <w:r>
        <w:t>.  Význam spolupráce a tým aj komplementárnosť oboch inštitúcií, ako aj podobné vnímanie hrozieb a výziev, potvrdil Strategický kompas na strane EÚ, ako aj nová Strategická koncepcia na strane NATO. Vysokú úroveň vzájomných vzťahov potvrdilo aj spoločné zasadnutie lídrov v júni na okraj samitu NATO v</w:t>
      </w:r>
      <w:r w:rsidR="0050530E">
        <w:t> </w:t>
      </w:r>
      <w:r>
        <w:t>Madride</w:t>
      </w:r>
      <w:r w:rsidR="0050530E">
        <w:t>.</w:t>
      </w:r>
    </w:p>
    <w:p w14:paraId="3DADF51B" w14:textId="77777777" w:rsidR="00C25BD9" w:rsidRDefault="00C25BD9" w:rsidP="00C25BD9">
      <w:pPr>
        <w:spacing w:after="0"/>
      </w:pPr>
    </w:p>
    <w:p w14:paraId="55A0D1AB" w14:textId="79142B92" w:rsidR="00C25BD9" w:rsidRDefault="00C25BD9" w:rsidP="00463B07">
      <w:pPr>
        <w:spacing w:after="0" w:line="240" w:lineRule="auto"/>
      </w:pPr>
      <w:r w:rsidRPr="00A85402">
        <w:rPr>
          <w:b/>
        </w:rPr>
        <w:t>Európsky mierový nástroj</w:t>
      </w:r>
      <w:r w:rsidR="00912DBC">
        <w:rPr>
          <w:rStyle w:val="Odkaznapoznmkupodiarou"/>
          <w:b/>
        </w:rPr>
        <w:footnoteReference w:id="30"/>
      </w:r>
      <w:r w:rsidRPr="00593BC7">
        <w:t xml:space="preserve"> (ďalej „EPF“)</w:t>
      </w:r>
      <w:r>
        <w:t xml:space="preserve"> potvrdil svoj význam a jedinečnosť už v druhom roku svojej existencie</w:t>
      </w:r>
      <w:r w:rsidRPr="00593BC7">
        <w:t xml:space="preserve">. </w:t>
      </w:r>
      <w:r>
        <w:t xml:space="preserve">EPF je kľúčovým nástrojom na podporu financovania vojenskej pomoci </w:t>
      </w:r>
      <w:r>
        <w:lastRenderedPageBreak/>
        <w:t>ČŠ EÚ pre Ukrajinu. EÚ prvýkrát financovala poskytnutie smrtiaceho vybavenia partnerskej krajine. Počiatočná suma podpory 500 mil. EUR bola v priebehu roka päťkrát navýšená na celkovo viac ako 3 mld. EUR. Podpora z EPF sa ale neobmedzila len na Ukrajinu, asistenčné opatrenia boli prijaté tiež na podporu ozbrojených síl ďalších partnerov v rámci Východného partnerstva, západného Balkánu, Afriky, či Blízkeho východu. Bezprecedentná podpora pre Ukrajinu si vyžiadala koncom roku 2022 politické rozhodnutie o potrebe substantívneho navýšenia finančného stropu EPF pre nasledujúce obdobie v hodnote 2 mld. EUR.</w:t>
      </w:r>
    </w:p>
    <w:p w14:paraId="15986431" w14:textId="77777777" w:rsidR="00C25BD9" w:rsidRDefault="00C25BD9" w:rsidP="00C25BD9">
      <w:pPr>
        <w:spacing w:after="0"/>
      </w:pPr>
    </w:p>
    <w:p w14:paraId="124861D4" w14:textId="10FB24C2" w:rsidR="00C25BD9" w:rsidRPr="0050530E" w:rsidRDefault="00C25BD9" w:rsidP="00C25BD9">
      <w:pPr>
        <w:spacing w:after="0"/>
      </w:pPr>
      <w:r w:rsidRPr="0050530E">
        <w:rPr>
          <w:rFonts w:cs="Times New Roman"/>
          <w:bCs/>
          <w:szCs w:val="24"/>
        </w:rPr>
        <w:t>S</w:t>
      </w:r>
      <w:r w:rsidR="004F2F38">
        <w:rPr>
          <w:rFonts w:cs="Times New Roman"/>
          <w:bCs/>
          <w:szCs w:val="24"/>
        </w:rPr>
        <w:t>R</w:t>
      </w:r>
      <w:r w:rsidRPr="0050530E">
        <w:rPr>
          <w:rFonts w:cs="Times New Roman"/>
          <w:bCs/>
          <w:szCs w:val="24"/>
        </w:rPr>
        <w:t xml:space="preserve"> požiadala o </w:t>
      </w:r>
      <w:r w:rsidRPr="0050530E">
        <w:rPr>
          <w:rFonts w:cs="Times New Roman"/>
          <w:b/>
          <w:bCs/>
          <w:szCs w:val="24"/>
        </w:rPr>
        <w:t>preplatenie poskytnutej vojenskej pomoci z EPF</w:t>
      </w:r>
      <w:r w:rsidRPr="0050530E">
        <w:rPr>
          <w:rFonts w:cs="Times New Roman"/>
          <w:bCs/>
          <w:szCs w:val="24"/>
        </w:rPr>
        <w:t xml:space="preserve"> v celkovej sume 154 mil. EUR (v období 1. </w:t>
      </w:r>
      <w:proofErr w:type="spellStart"/>
      <w:r w:rsidRPr="0050530E">
        <w:rPr>
          <w:rFonts w:cs="Times New Roman"/>
          <w:bCs/>
          <w:szCs w:val="24"/>
        </w:rPr>
        <w:t>tranže</w:t>
      </w:r>
      <w:proofErr w:type="spellEnd"/>
      <w:r w:rsidRPr="0050530E">
        <w:rPr>
          <w:rFonts w:cs="Times New Roman"/>
          <w:bCs/>
          <w:szCs w:val="24"/>
        </w:rPr>
        <w:t xml:space="preserve"> a 2. </w:t>
      </w:r>
      <w:proofErr w:type="spellStart"/>
      <w:r w:rsidRPr="0050530E">
        <w:rPr>
          <w:rFonts w:cs="Times New Roman"/>
          <w:bCs/>
          <w:szCs w:val="24"/>
        </w:rPr>
        <w:t>tranže</w:t>
      </w:r>
      <w:proofErr w:type="spellEnd"/>
      <w:r w:rsidRPr="0050530E">
        <w:rPr>
          <w:rFonts w:cs="Times New Roman"/>
          <w:bCs/>
          <w:szCs w:val="24"/>
        </w:rPr>
        <w:t>).</w:t>
      </w:r>
      <w:r>
        <w:rPr>
          <w:rFonts w:cs="Times New Roman"/>
          <w:szCs w:val="24"/>
        </w:rPr>
        <w:t xml:space="preserve"> Pri pomernom krátení bola SK preplatená suma v rámci 1. </w:t>
      </w:r>
      <w:proofErr w:type="spellStart"/>
      <w:r>
        <w:rPr>
          <w:rFonts w:cs="Times New Roman"/>
          <w:szCs w:val="24"/>
        </w:rPr>
        <w:t>tranže</w:t>
      </w:r>
      <w:proofErr w:type="spellEnd"/>
      <w:r>
        <w:rPr>
          <w:rFonts w:cs="Times New Roman"/>
          <w:szCs w:val="24"/>
        </w:rPr>
        <w:t xml:space="preserve"> cca 40,2 mil. EUR </w:t>
      </w:r>
      <w:r w:rsidR="004F2F38">
        <w:rPr>
          <w:rFonts w:cs="Times New Roman"/>
          <w:szCs w:val="24"/>
        </w:rPr>
        <w:t xml:space="preserve">a v rámci </w:t>
      </w:r>
      <w:r>
        <w:rPr>
          <w:rFonts w:cs="Times New Roman"/>
          <w:szCs w:val="24"/>
        </w:rPr>
        <w:t>2.</w:t>
      </w:r>
      <w:r w:rsidR="008F015D">
        <w:rPr>
          <w:rFonts w:cs="Times New Roman"/>
          <w:szCs w:val="24"/>
        </w:rPr>
        <w:t xml:space="preserve"> </w:t>
      </w:r>
      <w:proofErr w:type="spellStart"/>
      <w:r>
        <w:rPr>
          <w:rFonts w:cs="Times New Roman"/>
          <w:szCs w:val="24"/>
        </w:rPr>
        <w:t>tranž</w:t>
      </w:r>
      <w:r w:rsidR="004F2F38">
        <w:rPr>
          <w:rFonts w:cs="Times New Roman"/>
          <w:szCs w:val="24"/>
        </w:rPr>
        <w:t>e</w:t>
      </w:r>
      <w:proofErr w:type="spellEnd"/>
      <w:r w:rsidR="004F2F38">
        <w:rPr>
          <w:rFonts w:cs="Times New Roman"/>
          <w:szCs w:val="24"/>
        </w:rPr>
        <w:t xml:space="preserve"> </w:t>
      </w:r>
      <w:r>
        <w:rPr>
          <w:rFonts w:cs="Times New Roman"/>
          <w:szCs w:val="24"/>
        </w:rPr>
        <w:t xml:space="preserve"> </w:t>
      </w:r>
      <w:r w:rsidR="004F2F38">
        <w:rPr>
          <w:rFonts w:cs="Times New Roman"/>
          <w:szCs w:val="24"/>
        </w:rPr>
        <w:t xml:space="preserve">cca </w:t>
      </w:r>
      <w:r>
        <w:rPr>
          <w:rFonts w:cs="Times New Roman"/>
          <w:szCs w:val="24"/>
        </w:rPr>
        <w:t xml:space="preserve">41,9 mil. EUR (opäť bola suma na základe dohody z výboru EPF pomerne krátená). </w:t>
      </w:r>
      <w:r w:rsidRPr="0050530E">
        <w:rPr>
          <w:rFonts w:cs="Times New Roman"/>
          <w:bCs/>
          <w:szCs w:val="24"/>
        </w:rPr>
        <w:t>Celkovo tak bola S</w:t>
      </w:r>
      <w:r w:rsidR="004F2F38">
        <w:rPr>
          <w:rFonts w:cs="Times New Roman"/>
          <w:bCs/>
          <w:szCs w:val="24"/>
        </w:rPr>
        <w:t>R</w:t>
      </w:r>
      <w:r w:rsidRPr="0050530E">
        <w:rPr>
          <w:rFonts w:cs="Times New Roman"/>
          <w:bCs/>
          <w:szCs w:val="24"/>
        </w:rPr>
        <w:t xml:space="preserve"> preplatená suma 82,1 mil. EUR.</w:t>
      </w:r>
    </w:p>
    <w:p w14:paraId="4F1F3E77" w14:textId="77777777" w:rsidR="004A4FB5" w:rsidRDefault="004A4FB5" w:rsidP="000A7D51">
      <w:pPr>
        <w:spacing w:after="0" w:line="240" w:lineRule="auto"/>
        <w:rPr>
          <w:rFonts w:cs="Times New Roman"/>
        </w:rPr>
      </w:pPr>
    </w:p>
    <w:p w14:paraId="7AB91CDD" w14:textId="06A2E9D7" w:rsidR="001A572B" w:rsidRPr="00F32790" w:rsidRDefault="00C75E2D" w:rsidP="001734FE">
      <w:pPr>
        <w:spacing w:after="0" w:line="240" w:lineRule="auto"/>
        <w:rPr>
          <w:rFonts w:cs="Times New Roman"/>
          <w:szCs w:val="24"/>
        </w:rPr>
      </w:pPr>
      <w:r w:rsidRPr="00F32790">
        <w:rPr>
          <w:rFonts w:cs="Times New Roman"/>
          <w:szCs w:val="24"/>
        </w:rPr>
        <w:t xml:space="preserve">V rámci civilnej oblasti </w:t>
      </w:r>
      <w:r w:rsidR="00016819">
        <w:rPr>
          <w:rFonts w:cs="Times New Roman"/>
          <w:szCs w:val="24"/>
        </w:rPr>
        <w:t xml:space="preserve">SBOP </w:t>
      </w:r>
      <w:r w:rsidRPr="00F32790">
        <w:rPr>
          <w:rFonts w:cs="Times New Roman"/>
          <w:szCs w:val="24"/>
        </w:rPr>
        <w:t xml:space="preserve">pokračovala </w:t>
      </w:r>
      <w:r w:rsidR="00016819" w:rsidRPr="00F32790">
        <w:rPr>
          <w:rFonts w:cs="Times New Roman"/>
          <w:szCs w:val="24"/>
        </w:rPr>
        <w:t xml:space="preserve">SR </w:t>
      </w:r>
      <w:r w:rsidRPr="00F32790">
        <w:rPr>
          <w:rFonts w:cs="Times New Roman"/>
          <w:szCs w:val="24"/>
        </w:rPr>
        <w:t>v napĺňaní svojich cieľov a záväzkov vyplývajúcich z Civilného kompaktu SBOP, ktorý by mal byť implementovaný do leta 2023. Zároveň aktívne pristúpila k počiatočným procesom príprav na prijatie nového Civiln</w:t>
      </w:r>
      <w:r w:rsidR="001A572B" w:rsidRPr="00F32790">
        <w:rPr>
          <w:rFonts w:cs="Times New Roman"/>
          <w:szCs w:val="24"/>
        </w:rPr>
        <w:t xml:space="preserve">ého kompaktu SBOP v roku 2023. </w:t>
      </w:r>
    </w:p>
    <w:p w14:paraId="3BE138C9" w14:textId="77777777" w:rsidR="001A572B" w:rsidRPr="00F32790" w:rsidRDefault="001A572B" w:rsidP="001734FE">
      <w:pPr>
        <w:spacing w:after="0" w:line="240" w:lineRule="auto"/>
        <w:rPr>
          <w:rFonts w:cs="Times New Roman"/>
          <w:szCs w:val="24"/>
        </w:rPr>
      </w:pPr>
    </w:p>
    <w:p w14:paraId="5EF7D093" w14:textId="7F91DA00" w:rsidR="004F2F38" w:rsidRPr="00F32790" w:rsidRDefault="00C75E2D" w:rsidP="004F2F38">
      <w:pPr>
        <w:spacing w:after="0" w:line="240" w:lineRule="auto"/>
        <w:rPr>
          <w:rFonts w:cs="Times New Roman"/>
          <w:szCs w:val="24"/>
        </w:rPr>
      </w:pPr>
      <w:r w:rsidRPr="00F32790">
        <w:rPr>
          <w:rFonts w:cs="Times New Roman"/>
          <w:szCs w:val="24"/>
        </w:rPr>
        <w:t xml:space="preserve">SR sa v roku 2022 aktívne zapájala do </w:t>
      </w:r>
      <w:r w:rsidRPr="00F32790">
        <w:rPr>
          <w:rFonts w:cs="Times New Roman"/>
          <w:b/>
          <w:szCs w:val="24"/>
        </w:rPr>
        <w:t>medzinárodného krízového manažmentu EÚ</w:t>
      </w:r>
      <w:r w:rsidRPr="00F32790">
        <w:rPr>
          <w:rFonts w:cs="Times New Roman"/>
          <w:szCs w:val="24"/>
        </w:rPr>
        <w:t xml:space="preserve"> a zúčastňovala sa na civilných a vojenských misiách a operáciách v rámci SBOP. SR pokračovala v účasti vo vojenských výcvikových misiách v Mali (5 vojakov) a v Stredoafrickej republike (2 vojaci), v námornej vojenskej operácii EUNAVFOR MED </w:t>
      </w:r>
      <w:r w:rsidR="00A25D23">
        <w:rPr>
          <w:rFonts w:cs="Times New Roman"/>
          <w:szCs w:val="24"/>
        </w:rPr>
        <w:t>IRINI</w:t>
      </w:r>
      <w:r w:rsidRPr="00F32790">
        <w:rPr>
          <w:rFonts w:cs="Times New Roman"/>
          <w:szCs w:val="24"/>
        </w:rPr>
        <w:t xml:space="preserve"> v Stredozemnom mori (2 vojaci), vo vojenskej operácii EUFOR </w:t>
      </w:r>
      <w:r w:rsidR="00A25D23">
        <w:rPr>
          <w:rFonts w:cs="Times New Roman"/>
          <w:szCs w:val="24"/>
        </w:rPr>
        <w:t>ALTHEA</w:t>
      </w:r>
      <w:r w:rsidR="00A25D23" w:rsidRPr="00F32790">
        <w:rPr>
          <w:rFonts w:cs="Times New Roman"/>
          <w:szCs w:val="24"/>
        </w:rPr>
        <w:t xml:space="preserve"> </w:t>
      </w:r>
      <w:r w:rsidRPr="00F32790">
        <w:rPr>
          <w:rFonts w:cs="Times New Roman"/>
          <w:szCs w:val="24"/>
        </w:rPr>
        <w:t xml:space="preserve">v Bosne a Hercegovine (54 vojakov), ako aj v civilných misiách EUAM na Ukrajine (1 policajt, 1 civilný expert), EULEX v Kosove </w:t>
      </w:r>
      <w:r w:rsidR="008E6BE5">
        <w:rPr>
          <w:rFonts w:cs="Times New Roman"/>
          <w:szCs w:val="24"/>
        </w:rPr>
        <w:br/>
      </w:r>
      <w:r w:rsidRPr="00F32790">
        <w:rPr>
          <w:rFonts w:cs="Times New Roman"/>
          <w:szCs w:val="24"/>
        </w:rPr>
        <w:t xml:space="preserve">(3 policajti), EUMM v Gruzínsku (5 policajtov, 1 vojak) a EUCAP v Somálsku (1 policajt). SR tiež </w:t>
      </w:r>
      <w:r w:rsidR="004F2F38">
        <w:rPr>
          <w:rFonts w:cs="Times New Roman"/>
          <w:szCs w:val="24"/>
        </w:rPr>
        <w:t xml:space="preserve">v rámci EUFOR ALTHEA </w:t>
      </w:r>
      <w:r w:rsidRPr="00F32790">
        <w:rPr>
          <w:rFonts w:cs="Times New Roman"/>
          <w:szCs w:val="24"/>
        </w:rPr>
        <w:t>poskyt</w:t>
      </w:r>
      <w:r w:rsidR="0050530E">
        <w:rPr>
          <w:rFonts w:cs="Times New Roman"/>
          <w:szCs w:val="24"/>
        </w:rPr>
        <w:t>ovalo</w:t>
      </w:r>
      <w:r w:rsidRPr="00F32790">
        <w:rPr>
          <w:rFonts w:cs="Times New Roman"/>
          <w:szCs w:val="24"/>
        </w:rPr>
        <w:t xml:space="preserve"> rotu záložných síl okamžitého nasadenia</w:t>
      </w:r>
      <w:r w:rsidR="0050530E">
        <w:rPr>
          <w:rFonts w:cs="Times New Roman"/>
          <w:szCs w:val="24"/>
        </w:rPr>
        <w:t xml:space="preserve"> (</w:t>
      </w:r>
      <w:proofErr w:type="spellStart"/>
      <w:r w:rsidR="0050530E">
        <w:rPr>
          <w:rFonts w:cs="Times New Roman"/>
          <w:szCs w:val="24"/>
        </w:rPr>
        <w:t>Intermediate</w:t>
      </w:r>
      <w:proofErr w:type="spellEnd"/>
      <w:r w:rsidR="0050530E">
        <w:rPr>
          <w:rFonts w:cs="Times New Roman"/>
          <w:szCs w:val="24"/>
        </w:rPr>
        <w:t xml:space="preserve"> </w:t>
      </w:r>
      <w:proofErr w:type="spellStart"/>
      <w:r w:rsidR="0050530E">
        <w:rPr>
          <w:rFonts w:cs="Times New Roman"/>
          <w:szCs w:val="24"/>
        </w:rPr>
        <w:t>Reserve</w:t>
      </w:r>
      <w:proofErr w:type="spellEnd"/>
      <w:r w:rsidR="0050530E">
        <w:rPr>
          <w:rFonts w:cs="Times New Roman"/>
          <w:szCs w:val="24"/>
        </w:rPr>
        <w:t xml:space="preserve"> </w:t>
      </w:r>
      <w:proofErr w:type="spellStart"/>
      <w:r w:rsidR="0050530E">
        <w:rPr>
          <w:rFonts w:cs="Times New Roman"/>
          <w:szCs w:val="24"/>
        </w:rPr>
        <w:t>Force</w:t>
      </w:r>
      <w:proofErr w:type="spellEnd"/>
      <w:r w:rsidR="0050530E">
        <w:rPr>
          <w:rFonts w:cs="Times New Roman"/>
          <w:szCs w:val="24"/>
        </w:rPr>
        <w:t>)</w:t>
      </w:r>
      <w:r w:rsidR="004F2F38">
        <w:rPr>
          <w:rFonts w:cs="Times New Roman"/>
          <w:szCs w:val="24"/>
        </w:rPr>
        <w:t>,</w:t>
      </w:r>
      <w:r w:rsidR="0050530E">
        <w:rPr>
          <w:rFonts w:cs="Times New Roman"/>
          <w:szCs w:val="24"/>
        </w:rPr>
        <w:t xml:space="preserve"> </w:t>
      </w:r>
      <w:r w:rsidR="004F2F38">
        <w:rPr>
          <w:rFonts w:cs="Times New Roman"/>
          <w:szCs w:val="24"/>
        </w:rPr>
        <w:t>ktorá bola nasadená medzi 4. marcom a 3. aprílom 2022 v súvislosti s ruskou agresiou na Ukrajine.</w:t>
      </w:r>
    </w:p>
    <w:p w14:paraId="4EE4BBF0" w14:textId="6EECBC74" w:rsidR="001A572B" w:rsidRPr="00F32790" w:rsidRDefault="00C75E2D" w:rsidP="001734FE">
      <w:pPr>
        <w:spacing w:after="0" w:line="240" w:lineRule="auto"/>
        <w:rPr>
          <w:rFonts w:cs="Times New Roman"/>
          <w:szCs w:val="24"/>
        </w:rPr>
      </w:pPr>
      <w:r w:rsidRPr="00F32790">
        <w:rPr>
          <w:rFonts w:cs="Times New Roman"/>
          <w:szCs w:val="24"/>
        </w:rPr>
        <w:t xml:space="preserve"> </w:t>
      </w:r>
    </w:p>
    <w:p w14:paraId="01683C37" w14:textId="6783DC6E" w:rsidR="001A572B" w:rsidRPr="00F32790" w:rsidRDefault="00C75E2D" w:rsidP="00016819">
      <w:pPr>
        <w:spacing w:after="0" w:line="240" w:lineRule="auto"/>
        <w:rPr>
          <w:rFonts w:cs="Times New Roman"/>
          <w:szCs w:val="24"/>
        </w:rPr>
      </w:pPr>
      <w:r w:rsidRPr="00F32790">
        <w:rPr>
          <w:rFonts w:cs="Times New Roman"/>
          <w:szCs w:val="24"/>
        </w:rPr>
        <w:t xml:space="preserve">SR v minulom roku podporila iniciatívy EÚ zamerané na </w:t>
      </w:r>
      <w:r w:rsidRPr="00F32790">
        <w:rPr>
          <w:rFonts w:cs="Times New Roman"/>
          <w:b/>
          <w:szCs w:val="24"/>
        </w:rPr>
        <w:t>zvýšenie odolnosti voči hybridným hrozbám,</w:t>
      </w:r>
      <w:r w:rsidRPr="00F32790">
        <w:rPr>
          <w:rFonts w:cs="Times New Roman"/>
          <w:szCs w:val="24"/>
        </w:rPr>
        <w:t xml:space="preserve"> vrátane reakcie na cielené zahraničné dezinformačné aktivity po ruskej agresii voči Ukrajine. V súlade so schváleným Strategickým kompasom EÚ sme sa zapojili do prípravy súborov nástrojov EÚ proti hybridnému pôsobeniu, ako </w:t>
      </w:r>
      <w:r w:rsidR="00892879">
        <w:rPr>
          <w:rFonts w:cs="Times New Roman"/>
          <w:szCs w:val="24"/>
        </w:rPr>
        <w:t>aj proti zahraničnej manipulácii</w:t>
      </w:r>
      <w:r w:rsidRPr="00F32790">
        <w:rPr>
          <w:rFonts w:cs="Times New Roman"/>
          <w:szCs w:val="24"/>
        </w:rPr>
        <w:t xml:space="preserve"> a zasahovaniu do informačného priestoru. Ich cieľom je umožniť efektívnejšiu detekciu takýchto aktivít voči EÚ a jej členom, ich prevenciu, ako i koordinovanú reakciu Únie, vrátane možných odvetných krokov voči ich zahraničným pôvodcom. SR sa zároveň zapojila do aktivít na posilnenie kybernetickej bezpečnos</w:t>
      </w:r>
      <w:r w:rsidR="001A572B" w:rsidRPr="00F32790">
        <w:rPr>
          <w:rFonts w:cs="Times New Roman"/>
          <w:szCs w:val="24"/>
        </w:rPr>
        <w:t xml:space="preserve">ti a kybernetickej diplomacie. </w:t>
      </w:r>
    </w:p>
    <w:p w14:paraId="2C44717C" w14:textId="77777777" w:rsidR="001A572B" w:rsidRPr="00F32790" w:rsidRDefault="001A572B" w:rsidP="001734FE">
      <w:pPr>
        <w:spacing w:after="0" w:line="240" w:lineRule="auto"/>
        <w:rPr>
          <w:rFonts w:cs="Times New Roman"/>
          <w:szCs w:val="24"/>
        </w:rPr>
      </w:pPr>
    </w:p>
    <w:p w14:paraId="281DBDA3" w14:textId="5DABD7D1" w:rsidR="001A572B" w:rsidRPr="00F32790" w:rsidRDefault="00C75E2D" w:rsidP="001734FE">
      <w:pPr>
        <w:spacing w:after="0" w:line="240" w:lineRule="auto"/>
        <w:rPr>
          <w:rFonts w:cs="Times New Roman"/>
          <w:szCs w:val="24"/>
        </w:rPr>
      </w:pPr>
      <w:r w:rsidRPr="00F32790">
        <w:rPr>
          <w:rFonts w:cs="Times New Roman"/>
          <w:szCs w:val="24"/>
        </w:rPr>
        <w:t xml:space="preserve">V kontexte ruskej agresie voči Ukrajine sa zvýšil aj počet útokov voči </w:t>
      </w:r>
      <w:r w:rsidRPr="00F32790">
        <w:rPr>
          <w:rFonts w:cs="Times New Roman"/>
          <w:b/>
          <w:szCs w:val="24"/>
        </w:rPr>
        <w:t>európskej digitálnej infraštruktúre</w:t>
      </w:r>
      <w:r w:rsidRPr="00F32790">
        <w:rPr>
          <w:rFonts w:cs="Times New Roman"/>
          <w:szCs w:val="24"/>
        </w:rPr>
        <w:t>. SR spolu s členskými štátmi EÚ viackrát odsúdila rôzne škodlivé kybernetické aktivity, ktoré sú v rozpore s dohodnutými normami zodpovedného správania sa štátov v kybernetickom priestore. SR sa pridala k</w:t>
      </w:r>
      <w:r w:rsidR="00892879">
        <w:rPr>
          <w:rFonts w:cs="Times New Roman"/>
          <w:szCs w:val="24"/>
        </w:rPr>
        <w:t> </w:t>
      </w:r>
      <w:r w:rsidRPr="00F32790">
        <w:rPr>
          <w:rFonts w:cs="Times New Roman"/>
          <w:szCs w:val="24"/>
        </w:rPr>
        <w:t>verejn</w:t>
      </w:r>
      <w:r w:rsidR="00892879">
        <w:rPr>
          <w:rFonts w:cs="Times New Roman"/>
          <w:szCs w:val="24"/>
        </w:rPr>
        <w:t xml:space="preserve">ému odsúdeniu </w:t>
      </w:r>
      <w:r w:rsidRPr="00F32790">
        <w:rPr>
          <w:rFonts w:cs="Times New Roman"/>
          <w:szCs w:val="24"/>
        </w:rPr>
        <w:t>ruského útoku na satelitnú sieť KA-SAT na Ukrajine a neskôr tiež k spoločnému vyhláseniu štátov EÚ po rozsiahlych kybernetických útokoch na albánsku kritickú infraštruktúru. SR tiež participovala na návrhu revidovanej smernice EÚ o bezpečnosti sietí a informačných systémov, ako aj na problematike odolnosti dodávateľských reťazcov či kybernetickej bezpečnosti inštitúcií, orgánov a a</w:t>
      </w:r>
      <w:r w:rsidR="001A572B" w:rsidRPr="00F32790">
        <w:rPr>
          <w:rFonts w:cs="Times New Roman"/>
          <w:szCs w:val="24"/>
        </w:rPr>
        <w:t xml:space="preserve">gentúr EÚ. </w:t>
      </w:r>
    </w:p>
    <w:p w14:paraId="0C8A9504" w14:textId="77777777" w:rsidR="001A572B" w:rsidRPr="00F32790" w:rsidRDefault="001A572B" w:rsidP="001734FE">
      <w:pPr>
        <w:spacing w:after="0" w:line="240" w:lineRule="auto"/>
        <w:rPr>
          <w:rFonts w:cs="Times New Roman"/>
          <w:szCs w:val="24"/>
        </w:rPr>
      </w:pPr>
    </w:p>
    <w:p w14:paraId="631EDA3F" w14:textId="1594C840" w:rsidR="001A572B" w:rsidRPr="00F32790" w:rsidRDefault="00C75E2D" w:rsidP="001734FE">
      <w:pPr>
        <w:spacing w:after="0" w:line="240" w:lineRule="auto"/>
        <w:rPr>
          <w:rFonts w:cs="Times New Roman"/>
          <w:szCs w:val="24"/>
        </w:rPr>
      </w:pPr>
      <w:r w:rsidRPr="00F32790">
        <w:rPr>
          <w:rFonts w:cs="Times New Roman"/>
          <w:szCs w:val="24"/>
        </w:rPr>
        <w:t xml:space="preserve">V reakcii na neospravedlniteľnú vojenskú </w:t>
      </w:r>
      <w:r w:rsidRPr="00F32790">
        <w:rPr>
          <w:rFonts w:cs="Times New Roman"/>
          <w:b/>
          <w:bCs/>
          <w:szCs w:val="24"/>
        </w:rPr>
        <w:t>agresiu Ruska proti Ukrajine</w:t>
      </w:r>
      <w:r w:rsidRPr="00F32790">
        <w:rPr>
          <w:rFonts w:cs="Times New Roman"/>
          <w:szCs w:val="24"/>
        </w:rPr>
        <w:t xml:space="preserve"> zaujala SR na pôde EÚ principiálne stanovisko podporujúce suverenitu, nezávislosť a obnovenie územnej </w:t>
      </w:r>
      <w:r w:rsidRPr="00F32790">
        <w:rPr>
          <w:rFonts w:cs="Times New Roman"/>
          <w:szCs w:val="24"/>
        </w:rPr>
        <w:lastRenderedPageBreak/>
        <w:t xml:space="preserve">celistvosti Ukrajiny v medzinárodne uznaných hraniciach. </w:t>
      </w:r>
      <w:r w:rsidR="00147C10">
        <w:rPr>
          <w:rFonts w:cs="Times New Roman"/>
          <w:szCs w:val="24"/>
        </w:rPr>
        <w:t>SR</w:t>
      </w:r>
      <w:r w:rsidRPr="00F32790">
        <w:rPr>
          <w:rFonts w:cs="Times New Roman"/>
          <w:szCs w:val="24"/>
        </w:rPr>
        <w:t xml:space="preserve"> sa zaradil</w:t>
      </w:r>
      <w:r w:rsidR="00147C10">
        <w:rPr>
          <w:rFonts w:cs="Times New Roman"/>
          <w:szCs w:val="24"/>
        </w:rPr>
        <w:t>a</w:t>
      </w:r>
      <w:r w:rsidRPr="00F32790">
        <w:rPr>
          <w:rFonts w:cs="Times New Roman"/>
          <w:szCs w:val="24"/>
        </w:rPr>
        <w:t xml:space="preserve"> medzi štáty, ktoré aktívne podporili čo najširšiu pomoc EÚ pre Ukrajinu vrátane využívania Európskeho mierového nástroja (EPF), iniciatívy Európskej komisie tzv. Koridorov solidarity na vývoz ukrajinskej poľnohospodárskej produkcie, makroekonomickej finančnej pomoci pre rok 2023 v sume 18 miliárd </w:t>
      </w:r>
      <w:r w:rsidR="0019101E">
        <w:rPr>
          <w:rFonts w:cs="Times New Roman"/>
          <w:szCs w:val="24"/>
        </w:rPr>
        <w:t>EUR</w:t>
      </w:r>
      <w:r w:rsidRPr="00F32790">
        <w:rPr>
          <w:rFonts w:cs="Times New Roman"/>
          <w:szCs w:val="24"/>
        </w:rPr>
        <w:t xml:space="preserve"> a strategického plánu obnovy Ukrajiny. Pripojili sme sa ku všetkým reštriktívnym opatreniam, ktoré EÚ prijala voči Rusku s cieľom maximálne obmedziť jeho schopnosť viesť útočnú vojnu na Ukrajine a tak ho prinútiť k zmene doterajšieho agresívneho správania sa a dodržiavaniu princípov medzinárodného práva. V procese prípravy reštriktívnych opatrení SR dôsledne presadzovala životne dôležité hospodárske záujmy SR. Aj vďaka intenzívnemu diplomatickému úsiliu SR (osobná angažovanosť </w:t>
      </w:r>
      <w:r w:rsidR="00D6688D">
        <w:rPr>
          <w:rFonts w:cs="Times New Roman"/>
          <w:szCs w:val="24"/>
        </w:rPr>
        <w:t xml:space="preserve">pani </w:t>
      </w:r>
      <w:r w:rsidRPr="00F32790">
        <w:rPr>
          <w:rFonts w:cs="Times New Roman"/>
          <w:szCs w:val="24"/>
        </w:rPr>
        <w:t>prezidentky Z</w:t>
      </w:r>
      <w:r w:rsidR="008967C8">
        <w:rPr>
          <w:rFonts w:cs="Times New Roman"/>
          <w:szCs w:val="24"/>
        </w:rPr>
        <w:t>uzany</w:t>
      </w:r>
      <w:r w:rsidRPr="00F32790">
        <w:rPr>
          <w:rFonts w:cs="Times New Roman"/>
          <w:szCs w:val="24"/>
        </w:rPr>
        <w:t xml:space="preserve"> </w:t>
      </w:r>
      <w:proofErr w:type="spellStart"/>
      <w:r w:rsidRPr="00F32790">
        <w:rPr>
          <w:rFonts w:cs="Times New Roman"/>
          <w:szCs w:val="24"/>
        </w:rPr>
        <w:t>Čaputovej</w:t>
      </w:r>
      <w:proofErr w:type="spellEnd"/>
      <w:r w:rsidRPr="00F32790">
        <w:rPr>
          <w:rFonts w:cs="Times New Roman"/>
          <w:szCs w:val="24"/>
        </w:rPr>
        <w:t xml:space="preserve"> a predsedu vlády E</w:t>
      </w:r>
      <w:r w:rsidR="008967C8">
        <w:rPr>
          <w:rFonts w:cs="Times New Roman"/>
          <w:szCs w:val="24"/>
        </w:rPr>
        <w:t>duarda</w:t>
      </w:r>
      <w:r w:rsidRPr="00F32790">
        <w:rPr>
          <w:rFonts w:cs="Times New Roman"/>
          <w:szCs w:val="24"/>
        </w:rPr>
        <w:t xml:space="preserve"> </w:t>
      </w:r>
      <w:proofErr w:type="spellStart"/>
      <w:r w:rsidRPr="00F32790">
        <w:rPr>
          <w:rFonts w:cs="Times New Roman"/>
          <w:szCs w:val="24"/>
        </w:rPr>
        <w:t>Hegera</w:t>
      </w:r>
      <w:proofErr w:type="spellEnd"/>
      <w:r w:rsidRPr="00F32790">
        <w:rPr>
          <w:rFonts w:cs="Times New Roman"/>
          <w:szCs w:val="24"/>
        </w:rPr>
        <w:t xml:space="preserve">) bol Ukrajine udelený kandidátsky štatút na členstvo v EÚ, čo sa podarilo dosiahnuť na </w:t>
      </w:r>
      <w:r w:rsidR="003876B0">
        <w:rPr>
          <w:rFonts w:cs="Times New Roman"/>
          <w:szCs w:val="24"/>
        </w:rPr>
        <w:t>ER</w:t>
      </w:r>
      <w:r w:rsidRPr="00F32790">
        <w:rPr>
          <w:rFonts w:cs="Times New Roman"/>
          <w:szCs w:val="24"/>
        </w:rPr>
        <w:t xml:space="preserve"> 23. júna 2022. SR sa angažuje v otázke obnovy a povojnovej rekonštrukcie Ukrajiny. </w:t>
      </w:r>
    </w:p>
    <w:p w14:paraId="2DD415DB" w14:textId="77777777" w:rsidR="001A572B" w:rsidRPr="00F32790" w:rsidRDefault="001A572B" w:rsidP="001734FE">
      <w:pPr>
        <w:spacing w:after="0" w:line="240" w:lineRule="auto"/>
        <w:rPr>
          <w:rFonts w:cs="Times New Roman"/>
          <w:szCs w:val="24"/>
        </w:rPr>
      </w:pPr>
    </w:p>
    <w:p w14:paraId="12B184F0" w14:textId="07D2FE58" w:rsidR="001A572B" w:rsidRPr="00F32790" w:rsidRDefault="00C75E2D" w:rsidP="001734FE">
      <w:pPr>
        <w:spacing w:after="0" w:line="240" w:lineRule="auto"/>
        <w:rPr>
          <w:rFonts w:cs="Times New Roman"/>
          <w:szCs w:val="24"/>
        </w:rPr>
      </w:pPr>
      <w:r w:rsidRPr="00F32790">
        <w:rPr>
          <w:rFonts w:cs="Times New Roman"/>
          <w:szCs w:val="24"/>
        </w:rPr>
        <w:t xml:space="preserve">SR na </w:t>
      </w:r>
      <w:r w:rsidR="003876B0">
        <w:rPr>
          <w:rFonts w:cs="Times New Roman"/>
          <w:szCs w:val="24"/>
        </w:rPr>
        <w:t>ER</w:t>
      </w:r>
      <w:r w:rsidRPr="00F32790">
        <w:rPr>
          <w:rFonts w:cs="Times New Roman"/>
          <w:szCs w:val="24"/>
        </w:rPr>
        <w:t xml:space="preserve"> 23. júna 2022 jednoznačne podporila udelenie kandidátskeho štatútu </w:t>
      </w:r>
      <w:r w:rsidRPr="00F32790">
        <w:rPr>
          <w:rFonts w:cs="Times New Roman"/>
          <w:b/>
          <w:bCs/>
          <w:szCs w:val="24"/>
        </w:rPr>
        <w:t>Moldavskej republike</w:t>
      </w:r>
      <w:r w:rsidRPr="00F32790">
        <w:rPr>
          <w:rFonts w:cs="Times New Roman"/>
          <w:szCs w:val="24"/>
        </w:rPr>
        <w:t>. SR presadzovala všetky aktivity a nástroje EÚ v oblasti politickej, diplomatickej, finančnej a</w:t>
      </w:r>
      <w:r w:rsidR="000B4331">
        <w:rPr>
          <w:rFonts w:cs="Times New Roman"/>
          <w:szCs w:val="24"/>
        </w:rPr>
        <w:t> </w:t>
      </w:r>
      <w:r w:rsidRPr="00F32790">
        <w:rPr>
          <w:rFonts w:cs="Times New Roman"/>
          <w:szCs w:val="24"/>
        </w:rPr>
        <w:t>rozvojov</w:t>
      </w:r>
      <w:r w:rsidR="000B4331">
        <w:rPr>
          <w:rFonts w:cs="Times New Roman"/>
          <w:szCs w:val="24"/>
        </w:rPr>
        <w:t>ej spolupráci a h</w:t>
      </w:r>
      <w:r w:rsidRPr="00F32790">
        <w:rPr>
          <w:rFonts w:cs="Times New Roman"/>
          <w:szCs w:val="24"/>
        </w:rPr>
        <w:t>umanitárnej pomoci a podpory MD, obzvlášť v oblasti riešenia potrieb vyplývajúcich z utečeneckej krízy, energetickej krízy a negatívnych dopadov invázie Ruska proti Ukrajine na ek</w:t>
      </w:r>
      <w:r w:rsidR="001A572B" w:rsidRPr="00F32790">
        <w:rPr>
          <w:rFonts w:cs="Times New Roman"/>
          <w:szCs w:val="24"/>
        </w:rPr>
        <w:t>onomiku a bezpečnosť Moldavska.</w:t>
      </w:r>
    </w:p>
    <w:p w14:paraId="5255DDFC" w14:textId="77777777" w:rsidR="001A572B" w:rsidRPr="00F32790" w:rsidRDefault="001A572B" w:rsidP="001734FE">
      <w:pPr>
        <w:spacing w:after="0" w:line="240" w:lineRule="auto"/>
        <w:rPr>
          <w:rFonts w:cs="Times New Roman"/>
          <w:szCs w:val="24"/>
        </w:rPr>
      </w:pPr>
    </w:p>
    <w:p w14:paraId="37D76313" w14:textId="0AD7B4BF" w:rsidR="001A572B" w:rsidRPr="00F32790" w:rsidRDefault="00C75E2D" w:rsidP="00463B07">
      <w:pPr>
        <w:spacing w:after="0" w:line="240" w:lineRule="auto"/>
        <w:rPr>
          <w:rFonts w:cs="Times New Roman"/>
          <w:szCs w:val="24"/>
        </w:rPr>
      </w:pPr>
      <w:r w:rsidRPr="00F32790">
        <w:rPr>
          <w:rFonts w:cs="Times New Roman"/>
          <w:szCs w:val="24"/>
        </w:rPr>
        <w:t xml:space="preserve">Ani v roku </w:t>
      </w:r>
      <w:r w:rsidR="00463B07">
        <w:rPr>
          <w:rFonts w:cs="Times New Roman"/>
          <w:szCs w:val="24"/>
        </w:rPr>
        <w:t xml:space="preserve">2022 </w:t>
      </w:r>
      <w:r w:rsidRPr="00F32790">
        <w:rPr>
          <w:rFonts w:cs="Times New Roman"/>
          <w:szCs w:val="24"/>
        </w:rPr>
        <w:t xml:space="preserve">sme nezaznamenali zmenu správania sa </w:t>
      </w:r>
      <w:r w:rsidRPr="00F32790">
        <w:rPr>
          <w:rFonts w:cs="Times New Roman"/>
          <w:b/>
          <w:bCs/>
          <w:szCs w:val="24"/>
        </w:rPr>
        <w:t>bieloruského režimu</w:t>
      </w:r>
      <w:r w:rsidRPr="00F32790">
        <w:rPr>
          <w:rFonts w:cs="Times New Roman"/>
          <w:szCs w:val="24"/>
        </w:rPr>
        <w:t>, ktorý zintenzívňuje represie voči vlastnému obyvateľstvu</w:t>
      </w:r>
      <w:r w:rsidR="00B36548">
        <w:rPr>
          <w:rFonts w:cs="Times New Roman"/>
          <w:szCs w:val="24"/>
        </w:rPr>
        <w:t>, naviac</w:t>
      </w:r>
      <w:r w:rsidRPr="00F32790">
        <w:rPr>
          <w:rFonts w:cs="Times New Roman"/>
          <w:szCs w:val="24"/>
        </w:rPr>
        <w:t xml:space="preserve">  sa nepriamo zapája od deštrukčnej vojenskej agresie na Ukrajine. Pre </w:t>
      </w:r>
      <w:r w:rsidR="00147C10">
        <w:rPr>
          <w:rFonts w:cs="Times New Roman"/>
          <w:szCs w:val="24"/>
        </w:rPr>
        <w:t>SR</w:t>
      </w:r>
      <w:r w:rsidRPr="00F32790">
        <w:rPr>
          <w:rFonts w:cs="Times New Roman"/>
          <w:szCs w:val="24"/>
        </w:rPr>
        <w:t xml:space="preserve"> ostáva situácia v Bielorusku hodnotovou otázkou pri plnej akceptácii európsk</w:t>
      </w:r>
      <w:r w:rsidR="001A572B" w:rsidRPr="00F32790">
        <w:rPr>
          <w:rFonts w:cs="Times New Roman"/>
          <w:szCs w:val="24"/>
        </w:rPr>
        <w:t xml:space="preserve">ej dimenzie tohto problému. </w:t>
      </w:r>
    </w:p>
    <w:p w14:paraId="5B677350" w14:textId="77777777" w:rsidR="001A572B" w:rsidRPr="00F32790" w:rsidRDefault="001A572B" w:rsidP="001734FE">
      <w:pPr>
        <w:spacing w:after="0" w:line="240" w:lineRule="auto"/>
        <w:rPr>
          <w:rFonts w:cs="Times New Roman"/>
          <w:szCs w:val="24"/>
        </w:rPr>
      </w:pPr>
    </w:p>
    <w:p w14:paraId="3F60ADC3" w14:textId="47260132" w:rsidR="001A572B" w:rsidRDefault="00C75E2D" w:rsidP="001734FE">
      <w:pPr>
        <w:spacing w:after="0" w:line="240" w:lineRule="auto"/>
        <w:rPr>
          <w:rFonts w:cs="Times New Roman"/>
          <w:szCs w:val="24"/>
        </w:rPr>
      </w:pPr>
      <w:r w:rsidRPr="00F32790">
        <w:rPr>
          <w:rFonts w:cs="Times New Roman"/>
          <w:szCs w:val="24"/>
        </w:rPr>
        <w:t xml:space="preserve">Hlavným nástrojom EÚ na posilňovanie stability a bezpečnosti na jednej strane, a modernizácie, hospodárskej prosperity a demokratického vývoja v našom bezprostrednom susedstve na strane druhej, je politika </w:t>
      </w:r>
      <w:r w:rsidRPr="00F32790">
        <w:rPr>
          <w:rFonts w:cs="Times New Roman"/>
          <w:b/>
          <w:bCs/>
          <w:szCs w:val="24"/>
        </w:rPr>
        <w:t>Východného partnerstva</w:t>
      </w:r>
      <w:r w:rsidRPr="00F32790">
        <w:rPr>
          <w:rFonts w:cs="Times New Roman"/>
          <w:szCs w:val="24"/>
        </w:rPr>
        <w:t xml:space="preserve">. </w:t>
      </w:r>
      <w:r w:rsidR="007A2B5C" w:rsidRPr="00F32790">
        <w:rPr>
          <w:rFonts w:cs="Times New Roman"/>
          <w:szCs w:val="24"/>
        </w:rPr>
        <w:t>Rok 20</w:t>
      </w:r>
      <w:r w:rsidR="0093230F">
        <w:rPr>
          <w:rFonts w:cs="Times New Roman"/>
          <w:szCs w:val="24"/>
        </w:rPr>
        <w:t>2</w:t>
      </w:r>
      <w:r w:rsidR="007A2B5C" w:rsidRPr="00F32790">
        <w:rPr>
          <w:rFonts w:cs="Times New Roman"/>
          <w:szCs w:val="24"/>
        </w:rPr>
        <w:t>2 sa venoval záverom 6. samitu</w:t>
      </w:r>
      <w:r w:rsidRPr="00F32790">
        <w:rPr>
          <w:rFonts w:cs="Times New Roman"/>
          <w:szCs w:val="24"/>
        </w:rPr>
        <w:t xml:space="preserve"> Výcho</w:t>
      </w:r>
      <w:r w:rsidR="007A2B5C" w:rsidRPr="00F32790">
        <w:rPr>
          <w:rFonts w:cs="Times New Roman"/>
          <w:szCs w:val="24"/>
        </w:rPr>
        <w:t>dného partnerstva (15.12.2021), ktorý</w:t>
      </w:r>
      <w:r w:rsidRPr="00F32790">
        <w:rPr>
          <w:rFonts w:cs="Times New Roman"/>
          <w:szCs w:val="24"/>
        </w:rPr>
        <w:t xml:space="preserve"> stanovil nové strednodobé priority </w:t>
      </w:r>
      <w:r w:rsidR="008967C8">
        <w:rPr>
          <w:rFonts w:cs="Times New Roman"/>
          <w:szCs w:val="24"/>
        </w:rPr>
        <w:br/>
      </w:r>
      <w:r w:rsidRPr="00F32790">
        <w:rPr>
          <w:rFonts w:cs="Times New Roman"/>
          <w:szCs w:val="24"/>
        </w:rPr>
        <w:t xml:space="preserve">a schválil konkrétne opatrenia a ciele do roku 2025 pod názvom „Obnova, odolnosť, reformy”. Dosiahnutie stanovených priorít a cieľov sa opiera o rozvojový hospodársky a investičný plán pre partnerské krajiny v objeme viac ako 17 mld. EUR. Zásadná zmena okolností fungovania Východného partnerstva nastala v dôsledku vojenskej agresie Ruska na Ukrajine, následného udelenia </w:t>
      </w:r>
      <w:r w:rsidR="00463B07">
        <w:rPr>
          <w:rFonts w:cs="Times New Roman"/>
          <w:szCs w:val="24"/>
        </w:rPr>
        <w:t>štatútu kandidátskej krajiny</w:t>
      </w:r>
      <w:r w:rsidRPr="00F32790">
        <w:rPr>
          <w:rFonts w:cs="Times New Roman"/>
          <w:szCs w:val="24"/>
        </w:rPr>
        <w:t xml:space="preserve"> Ukrajine a Moldavsku a priznania európskej perspektívy Gruzínska. EÚ po analýze vzniknutého stavu dospela k záveru, že Východné partnerstvo ani v tomto kritickom čase nestratilo relevantnosť. Treba ho adaptovať na zmenené podmienky, zvýšiť efektivitu, posilniť bezpečnostnú dimenziu a aktívnejšie sa angažovať pri riešení zmrazených konfliktov. </w:t>
      </w:r>
    </w:p>
    <w:p w14:paraId="17CAB813" w14:textId="77777777" w:rsidR="004955C8" w:rsidRDefault="004955C8" w:rsidP="001734FE">
      <w:pPr>
        <w:spacing w:after="0" w:line="240" w:lineRule="auto"/>
        <w:rPr>
          <w:rFonts w:cs="Times New Roman"/>
          <w:szCs w:val="24"/>
        </w:rPr>
      </w:pPr>
    </w:p>
    <w:p w14:paraId="1808AB7D" w14:textId="4CDB1ADC" w:rsidR="004955C8" w:rsidRPr="004955C8" w:rsidRDefault="004955C8" w:rsidP="001734FE">
      <w:pPr>
        <w:spacing w:after="0" w:line="240" w:lineRule="auto"/>
        <w:rPr>
          <w:rFonts w:cs="Times New Roman"/>
          <w:szCs w:val="24"/>
        </w:rPr>
      </w:pPr>
      <w:r w:rsidRPr="004955C8">
        <w:rPr>
          <w:rFonts w:cs="Times New Roman"/>
          <w:szCs w:val="24"/>
        </w:rPr>
        <w:t>V júli 2022 bola podpísaná dohoda o cestnej nákladnej doprave medzi EÚ a Moldavskou republikou, ktorá odstraňuje potrebu kvót a povolení v dvojstranných dohodách medzi členskými štátmi EÚ a Moldavskou republikou. Jej platnosť bola predĺžená do 30. júna 2024. S Ukrajinou bola v júli 2022 podpísaná obdobná dohoda o cestnej nákladnej doprave medzi EÚ a Ukrajinou, ktorá odstraňuje potrebu kvót v dvojstranných dohodách medzi členskými štátmi EÚ a Ukrajinou, ktorá je platná do 30. júna 2023 a predpokladá sa jej predĺženie</w:t>
      </w:r>
      <w:r>
        <w:rPr>
          <w:rFonts w:cs="Times New Roman"/>
          <w:szCs w:val="24"/>
        </w:rPr>
        <w:t xml:space="preserve">. </w:t>
      </w:r>
    </w:p>
    <w:p w14:paraId="690A317B" w14:textId="77777777" w:rsidR="001A572B" w:rsidRPr="00F32790" w:rsidRDefault="001A572B" w:rsidP="001734FE">
      <w:pPr>
        <w:spacing w:after="0" w:line="240" w:lineRule="auto"/>
        <w:rPr>
          <w:rFonts w:cs="Times New Roman"/>
          <w:szCs w:val="24"/>
        </w:rPr>
      </w:pPr>
    </w:p>
    <w:p w14:paraId="2083629E" w14:textId="103DC5B4" w:rsidR="001A572B" w:rsidRPr="00F32790" w:rsidRDefault="00C75E2D" w:rsidP="001734FE">
      <w:pPr>
        <w:spacing w:after="0" w:line="240" w:lineRule="auto"/>
        <w:rPr>
          <w:rFonts w:cs="Times New Roman"/>
          <w:szCs w:val="24"/>
        </w:rPr>
      </w:pPr>
      <w:r w:rsidRPr="00F32790">
        <w:rPr>
          <w:rFonts w:cs="Times New Roman"/>
          <w:szCs w:val="24"/>
        </w:rPr>
        <w:t>SR víta, že sa EÚ a jej inštitúci</w:t>
      </w:r>
      <w:r w:rsidR="00892879">
        <w:rPr>
          <w:rFonts w:cs="Times New Roman"/>
          <w:szCs w:val="24"/>
        </w:rPr>
        <w:t>e</w:t>
      </w:r>
      <w:r w:rsidRPr="00F32790">
        <w:rPr>
          <w:rFonts w:cs="Times New Roman"/>
          <w:szCs w:val="24"/>
        </w:rPr>
        <w:t xml:space="preserve"> pod tlakom veľkej geopolitiky vrátila k téme </w:t>
      </w:r>
      <w:r w:rsidRPr="00F32790">
        <w:rPr>
          <w:rFonts w:cs="Times New Roman"/>
          <w:b/>
          <w:szCs w:val="24"/>
        </w:rPr>
        <w:t>rozširovania.</w:t>
      </w:r>
      <w:r w:rsidRPr="00F32790">
        <w:rPr>
          <w:rFonts w:cs="Times New Roman"/>
          <w:szCs w:val="24"/>
        </w:rPr>
        <w:t xml:space="preserve"> Krajinám západného Balkánu ašpirujúcim na členstvo v EÚ a NATO musíme venovať zvýšenú pozornosť, čelíme rovnakým, často spoločným výzvam. Stabilita, prosperita a udržateľnosť demokratického smerovania regiónu sú v strategickom záujme SR, ktorý treba aktívne </w:t>
      </w:r>
      <w:r w:rsidRPr="00F32790">
        <w:rPr>
          <w:rFonts w:cs="Times New Roman"/>
          <w:szCs w:val="24"/>
        </w:rPr>
        <w:lastRenderedPageBreak/>
        <w:t xml:space="preserve">napomáhať a všestranne podporovať. </w:t>
      </w:r>
      <w:r w:rsidR="00463B07" w:rsidRPr="00694CB7">
        <w:t>Významným krokom vpred bolo preto udelenie štatútu kandidátskej krajiny pre Bosnu a Hercegovinu v decembri 2022.</w:t>
      </w:r>
      <w:r w:rsidR="00463B07" w:rsidRPr="00C21257">
        <w:t xml:space="preserve"> </w:t>
      </w:r>
      <w:r w:rsidRPr="00F32790">
        <w:rPr>
          <w:rFonts w:cs="Times New Roman"/>
          <w:szCs w:val="24"/>
        </w:rPr>
        <w:t xml:space="preserve">SR ostáva vojensky prítomná v regióne pod vlajkou EÚ, čo si vyžaduje zachovanie pružnej palety zahranično-politických nástrojov, vrátane mechanizmov rozvojovej </w:t>
      </w:r>
      <w:r w:rsidR="000B4331">
        <w:rPr>
          <w:rFonts w:cs="Times New Roman"/>
          <w:szCs w:val="24"/>
        </w:rPr>
        <w:t>spolupráce</w:t>
      </w:r>
      <w:r w:rsidRPr="00F32790">
        <w:rPr>
          <w:rFonts w:cs="Times New Roman"/>
          <w:szCs w:val="24"/>
        </w:rPr>
        <w:t xml:space="preserve">. S novými výzvami v oblasti energetickej bezpečnosti a diverzifikácie zdrojov a trás </w:t>
      </w:r>
      <w:proofErr w:type="spellStart"/>
      <w:r w:rsidRPr="00F32790">
        <w:rPr>
          <w:rFonts w:cs="Times New Roman"/>
          <w:szCs w:val="24"/>
        </w:rPr>
        <w:t>energonosičov</w:t>
      </w:r>
      <w:proofErr w:type="spellEnd"/>
      <w:r w:rsidRPr="00F32790">
        <w:rPr>
          <w:rFonts w:cs="Times New Roman"/>
          <w:szCs w:val="24"/>
        </w:rPr>
        <w:t xml:space="preserve"> vzrástol význam regiónu západného Balkánu a Turecka. SR sa veľkou mierou zaslúžila </w:t>
      </w:r>
      <w:r w:rsidR="0019101E">
        <w:rPr>
          <w:rFonts w:cs="Times New Roman"/>
          <w:szCs w:val="24"/>
        </w:rPr>
        <w:t>o</w:t>
      </w:r>
      <w:r w:rsidRPr="00F32790">
        <w:rPr>
          <w:rFonts w:cs="Times New Roman"/>
          <w:szCs w:val="24"/>
        </w:rPr>
        <w:t xml:space="preserve"> významný posun v integračnom procese </w:t>
      </w:r>
      <w:r w:rsidR="0019101E">
        <w:rPr>
          <w:rFonts w:cs="Times New Roman"/>
          <w:szCs w:val="24"/>
        </w:rPr>
        <w:t>Albánska</w:t>
      </w:r>
      <w:r w:rsidRPr="00F32790">
        <w:rPr>
          <w:rFonts w:cs="Times New Roman"/>
          <w:szCs w:val="24"/>
        </w:rPr>
        <w:t xml:space="preserve"> a</w:t>
      </w:r>
      <w:r w:rsidR="0019101E">
        <w:rPr>
          <w:rFonts w:cs="Times New Roman"/>
          <w:szCs w:val="24"/>
        </w:rPr>
        <w:t xml:space="preserve"> Severného </w:t>
      </w:r>
      <w:r w:rsidRPr="00F32790">
        <w:rPr>
          <w:rFonts w:cs="Times New Roman"/>
          <w:szCs w:val="24"/>
        </w:rPr>
        <w:t>M</w:t>
      </w:r>
      <w:r w:rsidR="0019101E">
        <w:rPr>
          <w:rFonts w:cs="Times New Roman"/>
          <w:szCs w:val="24"/>
        </w:rPr>
        <w:t>acedónska</w:t>
      </w:r>
      <w:r w:rsidRPr="00F32790">
        <w:rPr>
          <w:rFonts w:cs="Times New Roman"/>
          <w:szCs w:val="24"/>
        </w:rPr>
        <w:t xml:space="preserve"> – konanie prvých </w:t>
      </w:r>
      <w:r w:rsidR="00892879">
        <w:rPr>
          <w:rFonts w:cs="Times New Roman"/>
          <w:szCs w:val="24"/>
        </w:rPr>
        <w:t xml:space="preserve">medzivládnych </w:t>
      </w:r>
      <w:r w:rsidR="00463B07">
        <w:rPr>
          <w:rFonts w:cs="Times New Roman"/>
          <w:szCs w:val="24"/>
        </w:rPr>
        <w:t xml:space="preserve">konferencií </w:t>
      </w:r>
      <w:r w:rsidRPr="00F32790">
        <w:rPr>
          <w:rFonts w:cs="Times New Roman"/>
          <w:szCs w:val="24"/>
        </w:rPr>
        <w:t>v júli 2022 s týmito krajinami možno považovať za míľnik nielen pre krajiny samotné, ale aj pre región a celú EU vrátane SR, s cieľom stabilizovať región v svojom susedstve.</w:t>
      </w:r>
    </w:p>
    <w:p w14:paraId="475304F1" w14:textId="77777777" w:rsidR="001A572B" w:rsidRPr="00F32790" w:rsidRDefault="001A572B" w:rsidP="001734FE">
      <w:pPr>
        <w:spacing w:after="0" w:line="240" w:lineRule="auto"/>
        <w:rPr>
          <w:rFonts w:cs="Times New Roman"/>
          <w:szCs w:val="24"/>
        </w:rPr>
      </w:pPr>
    </w:p>
    <w:p w14:paraId="0ED051AC" w14:textId="2CD6345A" w:rsidR="001A572B" w:rsidRPr="00F32790" w:rsidRDefault="00C75E2D" w:rsidP="001734FE">
      <w:pPr>
        <w:spacing w:after="0" w:line="240" w:lineRule="auto"/>
        <w:rPr>
          <w:rFonts w:cs="Times New Roman"/>
          <w:szCs w:val="24"/>
        </w:rPr>
      </w:pPr>
      <w:r w:rsidRPr="00F32790">
        <w:rPr>
          <w:rFonts w:cs="Times New Roman"/>
          <w:szCs w:val="24"/>
        </w:rPr>
        <w:t xml:space="preserve">V rámci implementácie politiky EÚ voči </w:t>
      </w:r>
      <w:proofErr w:type="spellStart"/>
      <w:r w:rsidRPr="00F32790">
        <w:rPr>
          <w:rFonts w:cs="Times New Roman"/>
          <w:b/>
          <w:szCs w:val="24"/>
        </w:rPr>
        <w:t>Indo</w:t>
      </w:r>
      <w:proofErr w:type="spellEnd"/>
      <w:r w:rsidRPr="00F32790">
        <w:rPr>
          <w:rFonts w:cs="Times New Roman"/>
          <w:b/>
          <w:szCs w:val="24"/>
        </w:rPr>
        <w:t xml:space="preserve">-Tichomorskému regiónu </w:t>
      </w:r>
      <w:r w:rsidRPr="00F32790">
        <w:rPr>
          <w:rFonts w:cs="Times New Roman"/>
          <w:szCs w:val="24"/>
        </w:rPr>
        <w:t>SR po pandémii COVID</w:t>
      </w:r>
      <w:r w:rsidR="0057393C">
        <w:rPr>
          <w:rFonts w:cs="Times New Roman"/>
          <w:szCs w:val="24"/>
        </w:rPr>
        <w:t>-19</w:t>
      </w:r>
      <w:r w:rsidRPr="00F32790">
        <w:rPr>
          <w:rFonts w:cs="Times New Roman"/>
          <w:szCs w:val="24"/>
        </w:rPr>
        <w:t> obnovila politický dialóg s týmto regiónom, v rámci ktorého presadzov</w:t>
      </w:r>
      <w:r w:rsidR="00892879">
        <w:rPr>
          <w:rFonts w:cs="Times New Roman"/>
          <w:szCs w:val="24"/>
        </w:rPr>
        <w:t>ala európske hodnoty</w:t>
      </w:r>
      <w:r w:rsidR="00D6688D">
        <w:rPr>
          <w:rFonts w:cs="Times New Roman"/>
          <w:szCs w:val="24"/>
        </w:rPr>
        <w:t>,</w:t>
      </w:r>
      <w:r w:rsidR="00892879">
        <w:rPr>
          <w:rFonts w:cs="Times New Roman"/>
          <w:szCs w:val="24"/>
        </w:rPr>
        <w:t xml:space="preserve"> prístupy</w:t>
      </w:r>
      <w:r w:rsidRPr="00F32790">
        <w:rPr>
          <w:rFonts w:cs="Times New Roman"/>
          <w:szCs w:val="24"/>
        </w:rPr>
        <w:t xml:space="preserve"> a pozitívne ovplyvňovala postoje partnerov k ruskej agresii na Ukrajine</w:t>
      </w:r>
      <w:r w:rsidR="00F22759" w:rsidRPr="00F32790">
        <w:rPr>
          <w:rFonts w:cs="Times New Roman"/>
          <w:szCs w:val="24"/>
        </w:rPr>
        <w:t>.</w:t>
      </w:r>
      <w:r w:rsidRPr="00F32790">
        <w:rPr>
          <w:rFonts w:cs="Times New Roman"/>
          <w:szCs w:val="24"/>
        </w:rPr>
        <w:t xml:space="preserve"> </w:t>
      </w:r>
    </w:p>
    <w:p w14:paraId="038E5193" w14:textId="77777777" w:rsidR="001A572B" w:rsidRPr="00F32790" w:rsidRDefault="001A572B" w:rsidP="001734FE">
      <w:pPr>
        <w:spacing w:after="0" w:line="240" w:lineRule="auto"/>
        <w:rPr>
          <w:rFonts w:cs="Times New Roman"/>
          <w:szCs w:val="24"/>
        </w:rPr>
      </w:pPr>
    </w:p>
    <w:p w14:paraId="019DB55A" w14:textId="460891CF" w:rsidR="001A572B" w:rsidRPr="00F32790" w:rsidRDefault="00C75E2D" w:rsidP="001734FE">
      <w:pPr>
        <w:spacing w:after="0" w:line="240" w:lineRule="auto"/>
        <w:rPr>
          <w:rFonts w:cs="Times New Roman"/>
          <w:szCs w:val="24"/>
        </w:rPr>
      </w:pPr>
      <w:r w:rsidRPr="00F32790">
        <w:rPr>
          <w:rFonts w:cs="Times New Roman"/>
          <w:szCs w:val="24"/>
        </w:rPr>
        <w:t xml:space="preserve">V októbri 2022 (3.10.) sa po 10-ročnej odmlke (rozpory v pohľadoch na situáciu v Palestíne </w:t>
      </w:r>
      <w:r w:rsidR="008967C8">
        <w:rPr>
          <w:rFonts w:cs="Times New Roman"/>
          <w:szCs w:val="24"/>
        </w:rPr>
        <w:br/>
      </w:r>
      <w:r w:rsidRPr="00F32790">
        <w:rPr>
          <w:rFonts w:cs="Times New Roman"/>
          <w:szCs w:val="24"/>
        </w:rPr>
        <w:t xml:space="preserve">a stagnácia blízkovýchodného mierového procesu) uskutočnilo </w:t>
      </w:r>
      <w:r w:rsidRPr="00F32790">
        <w:rPr>
          <w:rFonts w:cs="Times New Roman"/>
          <w:b/>
          <w:bCs/>
          <w:szCs w:val="24"/>
        </w:rPr>
        <w:t>12. zasadnutie Asociačnej rady EÚ – I</w:t>
      </w:r>
      <w:r w:rsidR="0019101E">
        <w:rPr>
          <w:rFonts w:cs="Times New Roman"/>
          <w:b/>
          <w:bCs/>
          <w:szCs w:val="24"/>
        </w:rPr>
        <w:t>zrael</w:t>
      </w:r>
      <w:r w:rsidRPr="00F32790">
        <w:rPr>
          <w:rFonts w:cs="Times New Roman"/>
          <w:szCs w:val="24"/>
        </w:rPr>
        <w:t xml:space="preserve">. SR patrila medzi skupinu štátov, ktoré sa za zvolanie Asociačnej rady aktívne zasadzovali. </w:t>
      </w:r>
    </w:p>
    <w:p w14:paraId="28EDF587" w14:textId="1152E60E" w:rsidR="001A572B" w:rsidRDefault="001A572B" w:rsidP="001734FE">
      <w:pPr>
        <w:spacing w:after="0" w:line="240" w:lineRule="auto"/>
        <w:rPr>
          <w:rFonts w:cs="Times New Roman"/>
          <w:szCs w:val="24"/>
        </w:rPr>
      </w:pPr>
    </w:p>
    <w:p w14:paraId="3095F516" w14:textId="47099DEE" w:rsidR="0093230F" w:rsidRPr="0093230F" w:rsidRDefault="0093230F" w:rsidP="0057393C">
      <w:pPr>
        <w:spacing w:after="0" w:line="240" w:lineRule="auto"/>
        <w:rPr>
          <w:iCs/>
          <w:color w:val="auto"/>
          <w:szCs w:val="24"/>
        </w:rPr>
      </w:pPr>
      <w:r w:rsidRPr="004727C1">
        <w:rPr>
          <w:iCs/>
          <w:szCs w:val="24"/>
        </w:rPr>
        <w:t>Rok 2022 bol príznačný akceleráciou spolupráce EÚ s </w:t>
      </w:r>
      <w:r w:rsidRPr="004727C1">
        <w:rPr>
          <w:b/>
          <w:iCs/>
          <w:szCs w:val="24"/>
        </w:rPr>
        <w:t>Radou pre spoluprácu v Perzskom zálive</w:t>
      </w:r>
      <w:r w:rsidRPr="004727C1">
        <w:rPr>
          <w:iCs/>
          <w:szCs w:val="24"/>
        </w:rPr>
        <w:t xml:space="preserve"> (GCC). Prijaté bolo Spoločné oznámenie Európskeho parlamentu a Rady EÚ k Strategickému partnerstvu s Perzským zálivom (máj</w:t>
      </w:r>
      <w:r>
        <w:rPr>
          <w:iCs/>
          <w:szCs w:val="24"/>
        </w:rPr>
        <w:t xml:space="preserve"> 2022</w:t>
      </w:r>
      <w:r w:rsidRPr="004727C1">
        <w:rPr>
          <w:iCs/>
          <w:szCs w:val="24"/>
        </w:rPr>
        <w:t>), nadväzujúcich záverov Rady EÚ (jún</w:t>
      </w:r>
      <w:r>
        <w:rPr>
          <w:iCs/>
          <w:szCs w:val="24"/>
        </w:rPr>
        <w:t xml:space="preserve"> 2022</w:t>
      </w:r>
      <w:r w:rsidRPr="004727C1">
        <w:rPr>
          <w:iCs/>
          <w:szCs w:val="24"/>
        </w:rPr>
        <w:t xml:space="preserve">) </w:t>
      </w:r>
      <w:r>
        <w:rPr>
          <w:iCs/>
          <w:szCs w:val="24"/>
        </w:rPr>
        <w:t>a</w:t>
      </w:r>
      <w:r w:rsidRPr="004727C1">
        <w:rPr>
          <w:iCs/>
          <w:szCs w:val="24"/>
        </w:rPr>
        <w:t> 5-ročného Akčného plánu schváleného 26. Spoločnou radou EÚ – GCC</w:t>
      </w:r>
      <w:r w:rsidRPr="0093230F">
        <w:rPr>
          <w:iCs/>
          <w:szCs w:val="24"/>
        </w:rPr>
        <w:t xml:space="preserve"> </w:t>
      </w:r>
      <w:r>
        <w:rPr>
          <w:iCs/>
          <w:szCs w:val="24"/>
        </w:rPr>
        <w:t>(</w:t>
      </w:r>
      <w:r w:rsidRPr="004727C1">
        <w:rPr>
          <w:iCs/>
          <w:szCs w:val="24"/>
        </w:rPr>
        <w:t>február 2022</w:t>
      </w:r>
      <w:r>
        <w:rPr>
          <w:iCs/>
          <w:szCs w:val="24"/>
        </w:rPr>
        <w:t>)</w:t>
      </w:r>
      <w:r w:rsidRPr="004727C1">
        <w:rPr>
          <w:iCs/>
          <w:szCs w:val="24"/>
        </w:rPr>
        <w:t>.  Uskutočnili sa tiež Asociačné rady EÚ s Egyptom a Jordánskom, v rámci ktorých boli schválené priority partnerstva EÚ s týmito krajinami na najbližšie obdobie.</w:t>
      </w:r>
    </w:p>
    <w:p w14:paraId="03E80EB5" w14:textId="77777777" w:rsidR="0093230F" w:rsidRDefault="0093230F" w:rsidP="0093230F">
      <w:pPr>
        <w:spacing w:after="0"/>
      </w:pPr>
    </w:p>
    <w:p w14:paraId="7888F4B1" w14:textId="77777777" w:rsidR="0093230F" w:rsidRDefault="0093230F" w:rsidP="0057393C">
      <w:pPr>
        <w:spacing w:after="0" w:line="240" w:lineRule="auto"/>
      </w:pPr>
      <w:r>
        <w:t xml:space="preserve">V roku 2022 sa podarilo naplno naštartovať napĺňanie </w:t>
      </w:r>
      <w:proofErr w:type="spellStart"/>
      <w:r w:rsidRPr="004727C1">
        <w:rPr>
          <w:b/>
        </w:rPr>
        <w:t>Global</w:t>
      </w:r>
      <w:proofErr w:type="spellEnd"/>
      <w:r w:rsidRPr="004727C1">
        <w:rPr>
          <w:b/>
        </w:rPr>
        <w:t xml:space="preserve"> </w:t>
      </w:r>
      <w:proofErr w:type="spellStart"/>
      <w:r w:rsidRPr="004727C1">
        <w:rPr>
          <w:b/>
        </w:rPr>
        <w:t>Gateway</w:t>
      </w:r>
      <w:proofErr w:type="spellEnd"/>
      <w:r w:rsidRPr="004727C1">
        <w:rPr>
          <w:b/>
        </w:rPr>
        <w:t xml:space="preserve"> </w:t>
      </w:r>
      <w:r>
        <w:t xml:space="preserve">– novej európskej stratégie, ktorej cieľom je podpora </w:t>
      </w:r>
      <w:proofErr w:type="spellStart"/>
      <w:r>
        <w:t>smart</w:t>
      </w:r>
      <w:proofErr w:type="spellEnd"/>
      <w:r>
        <w:t>, čistých a bezpečných prepojení v sektoroch digitalizácie, energetiky a dopravy a zároveň posilnenie zdravotných, vzdelávacích a výskumných systémov po celom svete. E</w:t>
      </w:r>
      <w:r w:rsidRPr="005B0408">
        <w:t>Ú posilnila svoj profil v kľúčových regiónoch prostredníctvom predstavenia „</w:t>
      </w:r>
      <w:proofErr w:type="spellStart"/>
      <w:r w:rsidRPr="005B0408">
        <w:rPr>
          <w:i/>
          <w:iCs/>
        </w:rPr>
        <w:t>flagship</w:t>
      </w:r>
      <w:proofErr w:type="spellEnd"/>
      <w:r>
        <w:t>“ projektov počas samitov EÚ-Africká únia</w:t>
      </w:r>
      <w:r w:rsidRPr="005B0408">
        <w:t xml:space="preserve"> a EÚ-ASEAN. </w:t>
      </w:r>
    </w:p>
    <w:p w14:paraId="39201A52" w14:textId="77777777" w:rsidR="0093230F" w:rsidRDefault="0093230F" w:rsidP="0093230F">
      <w:pPr>
        <w:spacing w:after="0"/>
      </w:pPr>
    </w:p>
    <w:p w14:paraId="1F9E848C" w14:textId="72377442" w:rsidR="0093230F" w:rsidRDefault="0093230F" w:rsidP="0057393C">
      <w:pPr>
        <w:spacing w:after="0" w:line="240" w:lineRule="auto"/>
      </w:pPr>
      <w:r>
        <w:t xml:space="preserve">V októbri 2022 sa v Prahe za účasti predsedu vlády SR E. </w:t>
      </w:r>
      <w:proofErr w:type="spellStart"/>
      <w:r>
        <w:t>Hegera</w:t>
      </w:r>
      <w:proofErr w:type="spellEnd"/>
      <w:r>
        <w:t xml:space="preserve"> uskutočnilo </w:t>
      </w:r>
      <w:r w:rsidRPr="004727C1">
        <w:rPr>
          <w:b/>
        </w:rPr>
        <w:t>prvé stretnutie Európskeho politického spoločenstva</w:t>
      </w:r>
      <w:r>
        <w:t xml:space="preserve"> (ďalej „EPS“) – platformy pre politickú koordináciu medzi krajinami naprieč európskym kontinentom. Cieľom EPS je podpora politického dialógu a spolupráce v otázkach spoločného záujmu so zameraním na  posilnenie bezpečnosti, stability a prosperity Európy. </w:t>
      </w:r>
    </w:p>
    <w:p w14:paraId="34506EB8" w14:textId="77777777" w:rsidR="0093230F" w:rsidRPr="00F32790" w:rsidRDefault="0093230F" w:rsidP="001734FE">
      <w:pPr>
        <w:spacing w:after="0" w:line="240" w:lineRule="auto"/>
        <w:rPr>
          <w:rFonts w:cs="Times New Roman"/>
          <w:szCs w:val="24"/>
        </w:rPr>
      </w:pPr>
    </w:p>
    <w:p w14:paraId="6E3D4EB1" w14:textId="77777777" w:rsidR="0093230F" w:rsidRDefault="001227C0" w:rsidP="0093230F">
      <w:pPr>
        <w:spacing w:after="0" w:line="240" w:lineRule="auto"/>
        <w:rPr>
          <w:rFonts w:cs="Times New Roman"/>
          <w:color w:val="auto"/>
          <w:szCs w:val="24"/>
        </w:rPr>
      </w:pPr>
      <w:r w:rsidRPr="00F32790">
        <w:rPr>
          <w:rFonts w:cs="Times New Roman"/>
          <w:color w:val="auto"/>
          <w:szCs w:val="24"/>
        </w:rPr>
        <w:t xml:space="preserve">SR v roku 2022 pokračovala v aktívnom využívaní nástrojov </w:t>
      </w:r>
      <w:r w:rsidRPr="00F32790">
        <w:rPr>
          <w:rFonts w:cs="Times New Roman"/>
          <w:b/>
          <w:color w:val="auto"/>
          <w:szCs w:val="24"/>
        </w:rPr>
        <w:t>spoločnej obchodnej politiky EÚ</w:t>
      </w:r>
      <w:r w:rsidRPr="00F32790">
        <w:rPr>
          <w:rFonts w:cs="Times New Roman"/>
          <w:color w:val="auto"/>
          <w:szCs w:val="24"/>
        </w:rPr>
        <w:t xml:space="preserve"> na presadzovanie ofenzívnych záujmov a ochranu defenzívnych citlivostí, ako aj s cieľom zachovania spravodlivej súťaže v medzinárodnom obchode („level </w:t>
      </w:r>
      <w:proofErr w:type="spellStart"/>
      <w:r w:rsidRPr="00F32790">
        <w:rPr>
          <w:rFonts w:cs="Times New Roman"/>
          <w:color w:val="auto"/>
          <w:szCs w:val="24"/>
        </w:rPr>
        <w:t>playing</w:t>
      </w:r>
      <w:proofErr w:type="spellEnd"/>
      <w:r w:rsidRPr="00F32790">
        <w:rPr>
          <w:rFonts w:cs="Times New Roman"/>
          <w:color w:val="auto"/>
          <w:szCs w:val="24"/>
        </w:rPr>
        <w:t xml:space="preserve"> </w:t>
      </w:r>
      <w:proofErr w:type="spellStart"/>
      <w:r w:rsidRPr="00F32790">
        <w:rPr>
          <w:rFonts w:cs="Times New Roman"/>
          <w:color w:val="auto"/>
          <w:szCs w:val="24"/>
        </w:rPr>
        <w:t>field</w:t>
      </w:r>
      <w:proofErr w:type="spellEnd"/>
      <w:r w:rsidRPr="00F32790">
        <w:rPr>
          <w:rFonts w:cs="Times New Roman"/>
          <w:color w:val="auto"/>
          <w:szCs w:val="24"/>
        </w:rPr>
        <w:t xml:space="preserve">“). V záujme dosiahnutia týchto cieľov sa SR aktívne zapájala do procesu rokovaní o dohodách o voľnom obchode (DVO) EÚ s tretími krajinami. Požiadavky SR boli formulované na základe konzultácií s domácimi priemyselnými zväzmi a asociáciami, ako aj so zodpovednými ministerstvami. Prihliadalo sa na to, aby nové dohody prispievali k zvýšeniu exportnej výkonnosti SR nielen v tradičných sektoroch (automobilový, hutnícky priemysel, spotrebná elektronika ), ale aj v iných odvetviach s exportným potenciálom (služby, energetika, doprava, </w:t>
      </w:r>
      <w:r w:rsidRPr="00F32790">
        <w:rPr>
          <w:rFonts w:cs="Times New Roman"/>
          <w:color w:val="auto"/>
          <w:szCs w:val="24"/>
        </w:rPr>
        <w:lastRenderedPageBreak/>
        <w:t>digitálne technológie). Zároveň sa SR usilovala o to, aby otvorenie trhu EÚ malo čo najmenší negatívny dopad na konkurenčné postavenie slovenských výrobcov.</w:t>
      </w:r>
    </w:p>
    <w:p w14:paraId="7FE0CB57" w14:textId="77777777" w:rsidR="0093230F" w:rsidRDefault="0093230F" w:rsidP="0093230F">
      <w:pPr>
        <w:spacing w:after="0" w:line="240" w:lineRule="auto"/>
        <w:rPr>
          <w:rFonts w:cs="Times New Roman"/>
          <w:color w:val="auto"/>
          <w:szCs w:val="24"/>
        </w:rPr>
      </w:pPr>
    </w:p>
    <w:p w14:paraId="74F88357" w14:textId="7F6B7E10" w:rsidR="0093230F" w:rsidRPr="0093230F" w:rsidRDefault="0093230F" w:rsidP="0093230F">
      <w:pPr>
        <w:spacing w:after="0" w:line="240" w:lineRule="auto"/>
        <w:rPr>
          <w:rFonts w:cs="Times New Roman"/>
          <w:color w:val="auto"/>
          <w:szCs w:val="24"/>
        </w:rPr>
      </w:pPr>
      <w:r>
        <w:t xml:space="preserve">Pozitívna dynamika </w:t>
      </w:r>
      <w:r>
        <w:rPr>
          <w:b/>
          <w:bCs/>
        </w:rPr>
        <w:t>v transatlantickom partnerstve</w:t>
      </w:r>
      <w:r>
        <w:t xml:space="preserve"> od nástupu </w:t>
      </w:r>
      <w:r w:rsidR="00A25D23">
        <w:t xml:space="preserve">administratívy prezidenta Spojených štátov </w:t>
      </w:r>
      <w:proofErr w:type="spellStart"/>
      <w:r w:rsidR="00A25D23">
        <w:t>Joe</w:t>
      </w:r>
      <w:proofErr w:type="spellEnd"/>
      <w:r w:rsidR="00A25D23">
        <w:t xml:space="preserve"> </w:t>
      </w:r>
      <w:proofErr w:type="spellStart"/>
      <w:r w:rsidR="00A25D23">
        <w:t>Biden</w:t>
      </w:r>
      <w:proofErr w:type="spellEnd"/>
      <w:r w:rsidR="00A25D23">
        <w:t xml:space="preserve">-a </w:t>
      </w:r>
      <w:r>
        <w:t xml:space="preserve">v minulom roku pokračovala. USA a Kanada sú najdôležitejšími partnermi EÚ v odpovedi na ruskú agresiu. Rok 2022 bol poznačený bezprecedentnou úrovňou transatlantickej koordinácie vrátane sankcií. Spustené boli ďalšie spoločné dialógy: k obrane a bezpečnosti, k sankciám, k Rusku. SR pokračuje v presadzovaní silného transatlantického spojenectva a koordinácie. </w:t>
      </w:r>
    </w:p>
    <w:p w14:paraId="50F83F6F" w14:textId="77777777" w:rsidR="0093230F" w:rsidRDefault="0093230F" w:rsidP="0093230F">
      <w:pPr>
        <w:spacing w:after="0"/>
        <w:rPr>
          <w:color w:val="auto"/>
          <w:sz w:val="22"/>
        </w:rPr>
      </w:pPr>
    </w:p>
    <w:p w14:paraId="4BA31E67" w14:textId="77777777" w:rsidR="0093230F" w:rsidRDefault="001227C0" w:rsidP="0093230F">
      <w:pPr>
        <w:spacing w:after="0" w:line="240" w:lineRule="auto"/>
        <w:rPr>
          <w:color w:val="auto"/>
          <w:sz w:val="22"/>
        </w:rPr>
      </w:pPr>
      <w:r w:rsidRPr="00F32790">
        <w:rPr>
          <w:rFonts w:cs="Times New Roman"/>
          <w:szCs w:val="24"/>
        </w:rPr>
        <w:t xml:space="preserve">SR podporovala aktivity EÚ zamerané na prehĺbenie a zlepšenie </w:t>
      </w:r>
      <w:r w:rsidRPr="00F32790">
        <w:rPr>
          <w:rFonts w:cs="Times New Roman"/>
          <w:b/>
          <w:szCs w:val="24"/>
        </w:rPr>
        <w:t>bilaterálnych obchodných vzťahov s USA</w:t>
      </w:r>
      <w:r w:rsidRPr="00F32790">
        <w:rPr>
          <w:rFonts w:cs="Times New Roman"/>
          <w:szCs w:val="24"/>
        </w:rPr>
        <w:t xml:space="preserve">. V tejto súvislosti pozitívnu platformu pre transatlantickú spoluprácu poskytuje Rada EÚ-USA pre obchod a technológie (TTC), ktorá bola vytvorená na bilaterálnom samite v júni 2021. V roku 2022 sa uskutočnili dve zasadnutia TTC na ministerskej úrovni. Hlavným cieľom TTC je </w:t>
      </w:r>
      <w:r w:rsidRPr="00F32790">
        <w:rPr>
          <w:rFonts w:cs="Times New Roman"/>
          <w:bCs/>
          <w:iCs/>
          <w:szCs w:val="24"/>
        </w:rPr>
        <w:t>predchádzať nepotrebným technickým prekážkam v obchode, spolupracovať a hľadať konvergenciu v oblasti štandardov digitálneho obchodu, bezpečnosti dodávateľských reťazcov, kybernetickej bezpečnosti, umelej inteligencie a inovatívnych technológií. Na druhej strane transatlantické vzťahy v oblasti obchodu môže vážne skomplikovať nový zákon USA určený na zmiernenie inflácie (</w:t>
      </w:r>
      <w:proofErr w:type="spellStart"/>
      <w:r w:rsidRPr="00F32790">
        <w:rPr>
          <w:rFonts w:cs="Times New Roman"/>
          <w:bCs/>
          <w:iCs/>
          <w:szCs w:val="24"/>
        </w:rPr>
        <w:t>Inflation</w:t>
      </w:r>
      <w:proofErr w:type="spellEnd"/>
      <w:r w:rsidRPr="00F32790">
        <w:rPr>
          <w:rFonts w:cs="Times New Roman"/>
          <w:bCs/>
          <w:iCs/>
          <w:szCs w:val="24"/>
        </w:rPr>
        <w:t xml:space="preserve"> </w:t>
      </w:r>
      <w:proofErr w:type="spellStart"/>
      <w:r w:rsidRPr="00F32790">
        <w:rPr>
          <w:rFonts w:cs="Times New Roman"/>
          <w:bCs/>
          <w:iCs/>
          <w:szCs w:val="24"/>
        </w:rPr>
        <w:t>Reduction</w:t>
      </w:r>
      <w:proofErr w:type="spellEnd"/>
      <w:r w:rsidRPr="00F32790">
        <w:rPr>
          <w:rFonts w:cs="Times New Roman"/>
          <w:bCs/>
          <w:iCs/>
          <w:szCs w:val="24"/>
        </w:rPr>
        <w:t xml:space="preserve"> </w:t>
      </w:r>
      <w:proofErr w:type="spellStart"/>
      <w:r w:rsidRPr="00F32790">
        <w:rPr>
          <w:rFonts w:cs="Times New Roman"/>
          <w:bCs/>
          <w:iCs/>
          <w:szCs w:val="24"/>
        </w:rPr>
        <w:t>Act</w:t>
      </w:r>
      <w:proofErr w:type="spellEnd"/>
      <w:r w:rsidRPr="00F32790">
        <w:rPr>
          <w:rFonts w:cs="Times New Roman"/>
          <w:bCs/>
          <w:iCs/>
          <w:szCs w:val="24"/>
        </w:rPr>
        <w:t xml:space="preserve">), na základe ktorého plánujú poskytnúť obrovský balík subvencií určených </w:t>
      </w:r>
      <w:r w:rsidRPr="00F32790">
        <w:rPr>
          <w:rFonts w:cs="Times New Roman"/>
          <w:szCs w:val="24"/>
        </w:rPr>
        <w:t>na výrobu zelenej energie, palív, čistého vodíka, elektrických vozidiel a investícií do zelených technológií.</w:t>
      </w:r>
      <w:r w:rsidRPr="00F32790" w:rsidDel="00D8082D">
        <w:rPr>
          <w:rFonts w:cs="Times New Roman"/>
          <w:szCs w:val="24"/>
        </w:rPr>
        <w:t xml:space="preserve"> </w:t>
      </w:r>
      <w:r w:rsidRPr="00F32790">
        <w:rPr>
          <w:rFonts w:cs="Times New Roman"/>
          <w:szCs w:val="24"/>
        </w:rPr>
        <w:t>Pre SR je osobitne znepokojivý program pre podporu elektromobilov, pretože USA sú našim tretím najväčším exportným trhom. Subvenčný program USA môže veľmi negatívne ovplyvniť investičné rozhodnutia výrobcov automobilov v celej EÚ, vrátane SR.</w:t>
      </w:r>
    </w:p>
    <w:p w14:paraId="0023D63B" w14:textId="77777777" w:rsidR="0093230F" w:rsidRDefault="0093230F" w:rsidP="0093230F">
      <w:pPr>
        <w:spacing w:after="0"/>
        <w:rPr>
          <w:color w:val="auto"/>
          <w:sz w:val="22"/>
        </w:rPr>
      </w:pPr>
    </w:p>
    <w:p w14:paraId="2F6219E7" w14:textId="499E067F" w:rsidR="001A572B" w:rsidRDefault="001227C0" w:rsidP="00122325">
      <w:pPr>
        <w:spacing w:after="0" w:line="240" w:lineRule="auto"/>
        <w:rPr>
          <w:rFonts w:cs="Times New Roman"/>
          <w:color w:val="000000" w:themeColor="text1"/>
          <w:szCs w:val="24"/>
        </w:rPr>
      </w:pPr>
      <w:r w:rsidRPr="00F32790">
        <w:rPr>
          <w:rFonts w:cs="Times New Roman"/>
          <w:szCs w:val="24"/>
        </w:rPr>
        <w:t>Po dohode lídrov na samite EÚ s </w:t>
      </w:r>
      <w:r w:rsidRPr="00F32790">
        <w:rPr>
          <w:rFonts w:cs="Times New Roman"/>
          <w:b/>
          <w:szCs w:val="24"/>
        </w:rPr>
        <w:t>Indiou</w:t>
      </w:r>
      <w:r w:rsidRPr="00F32790">
        <w:rPr>
          <w:rFonts w:cs="Times New Roman"/>
          <w:szCs w:val="24"/>
        </w:rPr>
        <w:t xml:space="preserve"> v roku 2021 došlo v júni 2022</w:t>
      </w:r>
      <w:r w:rsidR="0022206E" w:rsidRPr="00F32790">
        <w:rPr>
          <w:rFonts w:cs="Times New Roman"/>
          <w:szCs w:val="24"/>
        </w:rPr>
        <w:t xml:space="preserve"> </w:t>
      </w:r>
      <w:r w:rsidRPr="00F32790">
        <w:rPr>
          <w:rFonts w:cs="Times New Roman"/>
          <w:szCs w:val="24"/>
        </w:rPr>
        <w:t>k formálnemu obnoveniu negociácií o obchodnej dohode. Súčasne sa s Indiou rokuje aj o investičnej dohode a dohode o ochrane zemepisných označení. Rokovania sú zatiaľ zložité a pozície Indie sú pomerne vzdialené od pozícií EÚ. V roku 2022 pokračovali technické diskusie s </w:t>
      </w:r>
      <w:r w:rsidRPr="00F32790">
        <w:rPr>
          <w:rFonts w:cs="Times New Roman"/>
          <w:b/>
          <w:szCs w:val="24"/>
        </w:rPr>
        <w:t xml:space="preserve">krajinami </w:t>
      </w:r>
      <w:proofErr w:type="spellStart"/>
      <w:r w:rsidRPr="00F32790">
        <w:rPr>
          <w:rFonts w:cs="Times New Roman"/>
          <w:b/>
          <w:szCs w:val="24"/>
        </w:rPr>
        <w:t>Mercosur</w:t>
      </w:r>
      <w:proofErr w:type="spellEnd"/>
      <w:r w:rsidRPr="00F32790">
        <w:rPr>
          <w:rFonts w:cs="Times New Roman"/>
          <w:szCs w:val="24"/>
        </w:rPr>
        <w:t xml:space="preserve"> </w:t>
      </w:r>
      <w:r w:rsidRPr="00F32790">
        <w:rPr>
          <w:rFonts w:cs="Times New Roman"/>
          <w:color w:val="000000" w:themeColor="text1"/>
          <w:szCs w:val="24"/>
        </w:rPr>
        <w:t xml:space="preserve">o tzv. pred-ratifikačnom bilaterálnom nástroji, ktorý by mal riešiť výhrady EÚ ohľadom možného nesplnenia záväzkov v oblasti udržateľného rozvoja zo strany partnerov, a to hlavne v prípade odlesňovania. Pokračovali rokovania s novou vládou </w:t>
      </w:r>
      <w:r w:rsidRPr="00F32790">
        <w:rPr>
          <w:rFonts w:cs="Times New Roman"/>
          <w:b/>
          <w:color w:val="000000" w:themeColor="text1"/>
          <w:szCs w:val="24"/>
        </w:rPr>
        <w:t>Čile</w:t>
      </w:r>
      <w:r w:rsidRPr="00F32790">
        <w:rPr>
          <w:rFonts w:cs="Times New Roman"/>
          <w:color w:val="000000" w:themeColor="text1"/>
          <w:szCs w:val="24"/>
        </w:rPr>
        <w:t xml:space="preserve"> o posledných otvorených elementoch v rámci modernizácie obchodnej časti Asociačnej dohody s cieľom ich zavŕšenia do konca roku 2022. Naplno sa obnovila dynamika v rámci rokovaní o obchodnej dohode s </w:t>
      </w:r>
      <w:r w:rsidRPr="00F32790">
        <w:rPr>
          <w:rFonts w:cs="Times New Roman"/>
          <w:b/>
          <w:color w:val="000000" w:themeColor="text1"/>
          <w:szCs w:val="24"/>
        </w:rPr>
        <w:t>Austráliou</w:t>
      </w:r>
      <w:r w:rsidRPr="00F32790">
        <w:rPr>
          <w:rFonts w:cs="Times New Roman"/>
          <w:color w:val="000000" w:themeColor="text1"/>
          <w:szCs w:val="24"/>
        </w:rPr>
        <w:t>, ktoré boli dočasne pribrzdené v kontexte vytvorenia bezpečnostnej aliancie AUKUS. Pokračovali intenzívne diskusie s </w:t>
      </w:r>
      <w:r w:rsidRPr="00F32790">
        <w:rPr>
          <w:rFonts w:cs="Times New Roman"/>
          <w:b/>
          <w:color w:val="000000" w:themeColor="text1"/>
          <w:szCs w:val="24"/>
        </w:rPr>
        <w:t>Mexikom</w:t>
      </w:r>
      <w:r w:rsidRPr="00F32790">
        <w:rPr>
          <w:rFonts w:cs="Times New Roman"/>
          <w:color w:val="000000" w:themeColor="text1"/>
          <w:szCs w:val="24"/>
        </w:rPr>
        <w:t xml:space="preserve"> o právnej architektúre modernizovanej globálnej dohody, ktorej súčasťou je aj dohoda o voľnom obchode. Na konci júna 2022 sa podarilo úspešne uzavrieť negociácie s </w:t>
      </w:r>
      <w:r w:rsidRPr="00F32790">
        <w:rPr>
          <w:rFonts w:cs="Times New Roman"/>
          <w:b/>
          <w:color w:val="000000" w:themeColor="text1"/>
          <w:szCs w:val="24"/>
        </w:rPr>
        <w:t>Novým Zélandom</w:t>
      </w:r>
      <w:r w:rsidRPr="00F32790">
        <w:rPr>
          <w:rFonts w:cs="Times New Roman"/>
          <w:color w:val="000000" w:themeColor="text1"/>
          <w:szCs w:val="24"/>
        </w:rPr>
        <w:t xml:space="preserve"> o obchodnej dohode, ktorá by podľa odhadov mohla prispieť k nárastu bilaterálneho obchodu s EÚ až o 30 % a priniesť úsporu na clách v objeme 140 mil. EUR ročne. Naopak rokovania s </w:t>
      </w:r>
      <w:r w:rsidRPr="00F32790">
        <w:rPr>
          <w:rFonts w:cs="Times New Roman"/>
          <w:b/>
          <w:color w:val="000000" w:themeColor="text1"/>
          <w:szCs w:val="24"/>
        </w:rPr>
        <w:t>Indonéziou</w:t>
      </w:r>
      <w:r w:rsidRPr="00F32790">
        <w:rPr>
          <w:rFonts w:cs="Times New Roman"/>
          <w:color w:val="000000" w:themeColor="text1"/>
          <w:szCs w:val="24"/>
        </w:rPr>
        <w:t xml:space="preserve"> o dohode o voľnom obchode sú veľmi komplikované a pozitívne signály na politickej úrovni sa nepretavujú do pokroku na technickej úrovni.</w:t>
      </w:r>
    </w:p>
    <w:p w14:paraId="4E6C1E96" w14:textId="7EB835CE" w:rsidR="0093230F" w:rsidRDefault="0093230F" w:rsidP="0093230F">
      <w:pPr>
        <w:spacing w:after="0" w:line="240" w:lineRule="auto"/>
        <w:rPr>
          <w:rFonts w:cs="Times New Roman"/>
          <w:color w:val="000000" w:themeColor="text1"/>
          <w:szCs w:val="24"/>
        </w:rPr>
      </w:pPr>
    </w:p>
    <w:p w14:paraId="040C29CB" w14:textId="77777777" w:rsidR="00F94075" w:rsidRDefault="0093230F" w:rsidP="00122325">
      <w:pPr>
        <w:spacing w:after="0" w:line="240" w:lineRule="auto"/>
      </w:pPr>
      <w:r>
        <w:t xml:space="preserve">Ochladenie vzťahov </w:t>
      </w:r>
      <w:r>
        <w:rPr>
          <w:b/>
          <w:bCs/>
        </w:rPr>
        <w:t>EÚ-Čína</w:t>
      </w:r>
      <w:r>
        <w:t xml:space="preserve"> spôsobené zavedením </w:t>
      </w:r>
      <w:proofErr w:type="spellStart"/>
      <w:r>
        <w:t>ľudskoprávnych</w:t>
      </w:r>
      <w:proofErr w:type="spellEnd"/>
      <w:r>
        <w:t xml:space="preserve"> sankcií a následných odvetných čínskych sankcií v roku 2021 bolo v 2022 ešte umocnené neutrálnym postojom Číny voči ruskej agresii na Ukrajine. Téma dominovala aprílovému samitu EÚ-Čína</w:t>
      </w:r>
      <w:r>
        <w:rPr>
          <w:i/>
          <w:iCs/>
        </w:rPr>
        <w:t>.</w:t>
      </w:r>
      <w:r>
        <w:t xml:space="preserve"> Vo vzťahoch dominuje aspekt systémovej rivality. Čína zostáva strategickým partnerom EÚ v globálnych témach. EÚ zároveň spustila aktivity na odstraňovanie kritických závislostí na Číne. SR podporuje rozvoj pragmatických vzťahov s Čínou založených na reciprocite.</w:t>
      </w:r>
      <w:r w:rsidR="00F94075">
        <w:t xml:space="preserve"> </w:t>
      </w:r>
      <w:r w:rsidR="00F94075">
        <w:rPr>
          <w:color w:val="000000" w:themeColor="text1"/>
        </w:rPr>
        <w:t>V októbri 2022 bola podpísaná komplexná dohoda o leteckej doprave medzi EÚ a </w:t>
      </w:r>
      <w:r w:rsidR="00F94075" w:rsidRPr="00357310">
        <w:rPr>
          <w:b/>
          <w:color w:val="000000" w:themeColor="text1"/>
        </w:rPr>
        <w:t>združením</w:t>
      </w:r>
      <w:r w:rsidR="00F94075">
        <w:rPr>
          <w:color w:val="000000" w:themeColor="text1"/>
        </w:rPr>
        <w:t xml:space="preserve"> </w:t>
      </w:r>
      <w:r w:rsidR="00F94075" w:rsidRPr="00357310">
        <w:rPr>
          <w:b/>
          <w:color w:val="000000" w:themeColor="text1"/>
        </w:rPr>
        <w:t>ASEAN</w:t>
      </w:r>
      <w:r w:rsidR="00F94075">
        <w:rPr>
          <w:color w:val="000000" w:themeColor="text1"/>
        </w:rPr>
        <w:t xml:space="preserve">, ktorou </w:t>
      </w:r>
      <w:r w:rsidR="00F94075">
        <w:rPr>
          <w:color w:val="000000" w:themeColor="text1"/>
        </w:rPr>
        <w:lastRenderedPageBreak/>
        <w:t xml:space="preserve">sa nahrádza viac než 140 bilaterálnych dohôd o leteckých službách. Ide o vôbec prvú takúto dohodu medzi dvoma regionálnymi blokmi. </w:t>
      </w:r>
    </w:p>
    <w:p w14:paraId="7C980528" w14:textId="77777777" w:rsidR="00F94075" w:rsidRDefault="00F94075" w:rsidP="00F94075">
      <w:pPr>
        <w:spacing w:after="0"/>
      </w:pPr>
    </w:p>
    <w:p w14:paraId="2E546CFC" w14:textId="7537E6A4" w:rsidR="001A572B" w:rsidRPr="00F94075" w:rsidRDefault="001227C0" w:rsidP="00122325">
      <w:pPr>
        <w:spacing w:after="0" w:line="240" w:lineRule="auto"/>
      </w:pPr>
      <w:r w:rsidRPr="00F32790">
        <w:rPr>
          <w:rFonts w:cs="Times New Roman"/>
          <w:szCs w:val="24"/>
        </w:rPr>
        <w:t xml:space="preserve">V rámci </w:t>
      </w:r>
      <w:r w:rsidRPr="00F32790">
        <w:rPr>
          <w:rFonts w:cs="Times New Roman"/>
          <w:b/>
          <w:szCs w:val="24"/>
        </w:rPr>
        <w:t>legislatívnych iniciatív EÚ v oblasti medzinárodného obchodu</w:t>
      </w:r>
      <w:r w:rsidRPr="00F32790">
        <w:rPr>
          <w:rFonts w:cs="Times New Roman"/>
          <w:szCs w:val="24"/>
        </w:rPr>
        <w:t xml:space="preserve"> sa SR podieľala na úspešnom zavŕšení schvaľovacieho procesu v prípade legislatívy pre zlepšenie prístupu tovarov a služieb EÚ na trhy tretích krajín v rámci </w:t>
      </w:r>
      <w:r w:rsidRPr="00F32790">
        <w:rPr>
          <w:rFonts w:cs="Times New Roman"/>
          <w:b/>
          <w:szCs w:val="24"/>
        </w:rPr>
        <w:t>medzinárodného verejného obstarávania (nástroj IPI)</w:t>
      </w:r>
      <w:r w:rsidRPr="00F32790">
        <w:rPr>
          <w:rFonts w:cs="Times New Roman"/>
          <w:szCs w:val="24"/>
        </w:rPr>
        <w:t xml:space="preserve">. V roku 2022 sa SR zúčastňovala aj intenzívnych diskusií o návrhu legislatívneho </w:t>
      </w:r>
      <w:r w:rsidRPr="00F32790">
        <w:rPr>
          <w:rFonts w:cs="Times New Roman"/>
          <w:b/>
          <w:szCs w:val="24"/>
        </w:rPr>
        <w:t>nástroja namiereného proti ekonomickému nátlaku</w:t>
      </w:r>
      <w:r w:rsidRPr="00F32790">
        <w:rPr>
          <w:rFonts w:cs="Times New Roman"/>
          <w:szCs w:val="24"/>
        </w:rPr>
        <w:t xml:space="preserve"> zo strany tretích krajín.</w:t>
      </w:r>
    </w:p>
    <w:p w14:paraId="767F589E" w14:textId="77777777" w:rsidR="001A572B" w:rsidRPr="00F32790" w:rsidRDefault="001A572B" w:rsidP="001734FE">
      <w:pPr>
        <w:spacing w:after="0" w:line="240" w:lineRule="auto"/>
        <w:rPr>
          <w:rFonts w:cs="Times New Roman"/>
          <w:szCs w:val="24"/>
        </w:rPr>
      </w:pPr>
    </w:p>
    <w:p w14:paraId="2E77FB42" w14:textId="0CA6CFD2" w:rsidR="001227C0" w:rsidRPr="00F32790" w:rsidRDefault="001227C0" w:rsidP="00122325">
      <w:pPr>
        <w:spacing w:after="0" w:line="240" w:lineRule="auto"/>
        <w:rPr>
          <w:rFonts w:cs="Times New Roman"/>
          <w:szCs w:val="24"/>
        </w:rPr>
      </w:pPr>
      <w:r w:rsidRPr="00F32790">
        <w:rPr>
          <w:rFonts w:cs="Times New Roman"/>
          <w:szCs w:val="24"/>
        </w:rPr>
        <w:t xml:space="preserve">SR aktívne participovala na rokovaniach počas </w:t>
      </w:r>
      <w:r w:rsidRPr="00F32790">
        <w:rPr>
          <w:rFonts w:cs="Times New Roman"/>
          <w:b/>
          <w:szCs w:val="24"/>
        </w:rPr>
        <w:t>12. ministerskej konferencie WTO</w:t>
      </w:r>
      <w:r w:rsidRPr="00F32790">
        <w:rPr>
          <w:rFonts w:cs="Times New Roman"/>
          <w:szCs w:val="24"/>
        </w:rPr>
        <w:t xml:space="preserve"> v polovici júna 2022 v Ženeve. Napriek komplikáciám v globálnom obchode, ktoré sú spôsobené predovšetkým vojnou na Ukrajine, rapídnym nárastom cien </w:t>
      </w:r>
      <w:proofErr w:type="spellStart"/>
      <w:r w:rsidRPr="00F32790">
        <w:rPr>
          <w:rFonts w:cs="Times New Roman"/>
          <w:szCs w:val="24"/>
        </w:rPr>
        <w:t>agrokomodít</w:t>
      </w:r>
      <w:proofErr w:type="spellEnd"/>
      <w:r w:rsidRPr="00F32790">
        <w:rPr>
          <w:rFonts w:cs="Times New Roman"/>
          <w:szCs w:val="24"/>
        </w:rPr>
        <w:t xml:space="preserve"> a problémom v distribúcii sa na konferencii podarilo dosiahnuť výsledky v oblastiach, ako zabezpečenie rovnakého prístupu k vakcínam, stanovenia pravidiel v oblasti dotácií v morskom rybolove, či nezavádzanie ciel na elektronický prenos. Konferenciu je preto možné považovať za úspešnú, čím sa potvrdil význam </w:t>
      </w:r>
      <w:proofErr w:type="spellStart"/>
      <w:r w:rsidRPr="00F32790">
        <w:rPr>
          <w:rFonts w:cs="Times New Roman"/>
          <w:szCs w:val="24"/>
        </w:rPr>
        <w:t>multilateralizmu</w:t>
      </w:r>
      <w:proofErr w:type="spellEnd"/>
      <w:r w:rsidRPr="00F32790">
        <w:rPr>
          <w:rFonts w:cs="Times New Roman"/>
          <w:szCs w:val="24"/>
        </w:rPr>
        <w:t xml:space="preserve"> v medzinárodných obchodných vzťahoch. Z pohľadu SR je dôležité, že sa dosiahla dohoda o nezavádzaní ciel na elektronický prenos a o spustení procesu reformy WTO. V prvom kroku bude kľúčové obnovenie riadneho fungovania systému riešenia sporov v rámci WTO, a to najmä odblokovaním voľby členov odvolacieho orgánu (AB).</w:t>
      </w:r>
    </w:p>
    <w:p w14:paraId="7AEA3B7C" w14:textId="1D47C270" w:rsidR="001E1892" w:rsidRPr="00F32790" w:rsidRDefault="00A85402" w:rsidP="001734FE">
      <w:pPr>
        <w:spacing w:after="0" w:line="240" w:lineRule="auto"/>
        <w:rPr>
          <w:rFonts w:cs="Times New Roman"/>
          <w:szCs w:val="24"/>
        </w:rPr>
      </w:pPr>
      <w:r w:rsidRPr="00F32790">
        <w:rPr>
          <w:rFonts w:cs="Times New Roman"/>
          <w:color w:val="auto"/>
          <w:szCs w:val="24"/>
        </w:rPr>
        <w:t xml:space="preserve"> </w:t>
      </w:r>
    </w:p>
    <w:p w14:paraId="71968171" w14:textId="0ED5768C" w:rsidR="003B0629" w:rsidRPr="00F32790" w:rsidRDefault="003B0629" w:rsidP="001734FE">
      <w:pPr>
        <w:pStyle w:val="Nadpis1"/>
        <w:jc w:val="both"/>
        <w:rPr>
          <w:rFonts w:cs="Times New Roman"/>
          <w:color w:val="auto"/>
          <w:szCs w:val="24"/>
          <w:u w:val="single"/>
        </w:rPr>
      </w:pPr>
      <w:r w:rsidRPr="00F32790">
        <w:rPr>
          <w:rFonts w:cs="Times New Roman"/>
          <w:color w:val="auto"/>
          <w:szCs w:val="24"/>
          <w:u w:val="single"/>
        </w:rPr>
        <w:t>2.5. Podpora európskeho spôsobu života</w:t>
      </w:r>
    </w:p>
    <w:p w14:paraId="0B8892D3" w14:textId="37E6AA2D" w:rsidR="00593D42" w:rsidRPr="00F32790" w:rsidRDefault="00593D42" w:rsidP="001734FE">
      <w:pPr>
        <w:shd w:val="clear" w:color="auto" w:fill="FFFFFF"/>
        <w:spacing w:after="0" w:line="240" w:lineRule="auto"/>
        <w:rPr>
          <w:rFonts w:cs="Times New Roman"/>
          <w:b/>
          <w:color w:val="FF0000"/>
          <w:szCs w:val="24"/>
        </w:rPr>
      </w:pPr>
    </w:p>
    <w:p w14:paraId="466AE2C3" w14:textId="0BAF5DE4" w:rsidR="007D6676" w:rsidRPr="00F32790" w:rsidRDefault="007D6676" w:rsidP="001734FE">
      <w:pPr>
        <w:spacing w:after="0" w:line="240" w:lineRule="auto"/>
        <w:rPr>
          <w:rFonts w:cs="Times New Roman"/>
          <w:szCs w:val="24"/>
        </w:rPr>
      </w:pPr>
      <w:r w:rsidRPr="00F32790">
        <w:rPr>
          <w:rFonts w:cs="Times New Roman"/>
          <w:szCs w:val="24"/>
        </w:rPr>
        <w:t xml:space="preserve">Zásadnou udalosťou, ktorá mala značný dopad na </w:t>
      </w:r>
      <w:r w:rsidRPr="00F32790">
        <w:rPr>
          <w:rFonts w:cs="Times New Roman"/>
          <w:b/>
          <w:szCs w:val="24"/>
        </w:rPr>
        <w:t>oblasť vnútra v roku 2022</w:t>
      </w:r>
      <w:r w:rsidRPr="00F32790">
        <w:rPr>
          <w:rFonts w:cs="Times New Roman"/>
          <w:szCs w:val="24"/>
        </w:rPr>
        <w:t xml:space="preserve"> bola ruská agresia na Ukrajine. SR sa musela vysporiadať s následnou utečeneckou vlnou, patrili sme medzi najzasiahnutejšie členské štáty. Európska reakcia bola rýchla. Jednomyseľne sa prijalo rozhodnutie o poskytovaní dočasnej ochrany ukrajinským utečencom na obdobie jedného roka, na jeseň 2022 bola dočasná ochrana predĺžená o ďalší rok, zatiaľ do marca 2024. </w:t>
      </w:r>
      <w:r w:rsidR="00147C10">
        <w:rPr>
          <w:rFonts w:cs="Times New Roman"/>
          <w:szCs w:val="24"/>
        </w:rPr>
        <w:t>V SR</w:t>
      </w:r>
      <w:r w:rsidRPr="00F32790">
        <w:rPr>
          <w:rFonts w:cs="Times New Roman"/>
          <w:szCs w:val="24"/>
        </w:rPr>
        <w:t xml:space="preserve"> požiadalo o dočasné útočisko viac ako 100 tisíc osôb, ďalších 200 osôb požiadalo o azyl.</w:t>
      </w:r>
    </w:p>
    <w:p w14:paraId="0AB0016D" w14:textId="77777777" w:rsidR="007D6676" w:rsidRPr="00F32790" w:rsidRDefault="007D6676" w:rsidP="001734FE">
      <w:pPr>
        <w:spacing w:after="0" w:line="240" w:lineRule="auto"/>
        <w:ind w:firstLine="708"/>
        <w:rPr>
          <w:rFonts w:cs="Times New Roman"/>
          <w:szCs w:val="24"/>
        </w:rPr>
      </w:pPr>
    </w:p>
    <w:p w14:paraId="18F8062A" w14:textId="728E8F12" w:rsidR="001A572B" w:rsidRPr="00F32790" w:rsidRDefault="007D6676" w:rsidP="001734FE">
      <w:pPr>
        <w:spacing w:after="0" w:line="240" w:lineRule="auto"/>
        <w:rPr>
          <w:rFonts w:cs="Times New Roman"/>
          <w:szCs w:val="24"/>
        </w:rPr>
      </w:pPr>
      <w:r w:rsidRPr="00F32790">
        <w:rPr>
          <w:rFonts w:cs="Times New Roman"/>
          <w:szCs w:val="24"/>
        </w:rPr>
        <w:t xml:space="preserve">SR sa na implementácii rozhodnutí aktívne podieľala s výnimkou zapojenia sa do transferov z Moldavska. Ďalej, SR spolu s UNHCR participovala aj na vytvorení </w:t>
      </w:r>
      <w:r w:rsidRPr="00F32790">
        <w:rPr>
          <w:rFonts w:cs="Times New Roman"/>
          <w:b/>
          <w:szCs w:val="24"/>
        </w:rPr>
        <w:t>Spoločného aktualizovaného regionálneho akčného plánu reakcie na hromadný príchod utečencov z Ukrajiny</w:t>
      </w:r>
      <w:r w:rsidRPr="00F32790">
        <w:rPr>
          <w:rFonts w:cs="Times New Roman"/>
          <w:szCs w:val="24"/>
        </w:rPr>
        <w:t xml:space="preserve">, ktorého cieľom je podpora všetkých štátov susediacich s Ukrajinou pri prijatí až 2,4 milióna utečencov z Ukrajiny. Keďže vojna na Ukrajine pokračuje a zatiaľ sa nedá odhadnúť jej koniec, s plnením úloh je potrebné pokračovať aj v roku 2023. Aktuálnou prioritou je pripraviť sa na potenciálnu ďalšiu vlnu ukrajinských utečencov vyvolanú </w:t>
      </w:r>
      <w:r w:rsidR="00687BC4">
        <w:rPr>
          <w:rFonts w:cs="Times New Roman"/>
          <w:szCs w:val="24"/>
        </w:rPr>
        <w:t>chladným zimným počasím</w:t>
      </w:r>
      <w:r w:rsidRPr="00F32790">
        <w:rPr>
          <w:rFonts w:cs="Times New Roman"/>
          <w:szCs w:val="24"/>
        </w:rPr>
        <w:t>, nedostatkom tepla, potravín a vody v dôsled</w:t>
      </w:r>
      <w:r w:rsidR="001A572B" w:rsidRPr="00F32790">
        <w:rPr>
          <w:rFonts w:cs="Times New Roman"/>
          <w:szCs w:val="24"/>
        </w:rPr>
        <w:t>ku pokračujúcej ruskej agresie.</w:t>
      </w:r>
    </w:p>
    <w:p w14:paraId="305E78D6" w14:textId="77777777" w:rsidR="001A572B" w:rsidRPr="00F32790" w:rsidRDefault="001A572B" w:rsidP="001734FE">
      <w:pPr>
        <w:spacing w:after="0" w:line="240" w:lineRule="auto"/>
        <w:rPr>
          <w:rFonts w:cs="Times New Roman"/>
          <w:szCs w:val="24"/>
        </w:rPr>
      </w:pPr>
    </w:p>
    <w:p w14:paraId="2B0770BA" w14:textId="7D1FC989" w:rsidR="00687BC4" w:rsidRDefault="007D6676" w:rsidP="00687BC4">
      <w:pPr>
        <w:spacing w:after="0" w:line="240" w:lineRule="auto"/>
        <w:rPr>
          <w:szCs w:val="24"/>
        </w:rPr>
      </w:pPr>
      <w:r w:rsidRPr="00F32790">
        <w:rPr>
          <w:rFonts w:cs="Times New Roman"/>
          <w:szCs w:val="24"/>
        </w:rPr>
        <w:t xml:space="preserve">Popri vojne na Ukrajine bola </w:t>
      </w:r>
      <w:r w:rsidRPr="00F32790">
        <w:rPr>
          <w:rFonts w:cs="Times New Roman"/>
          <w:b/>
          <w:szCs w:val="24"/>
        </w:rPr>
        <w:t>migrácia</w:t>
      </w:r>
      <w:r w:rsidRPr="00F32790">
        <w:rPr>
          <w:rFonts w:cs="Times New Roman"/>
          <w:szCs w:val="24"/>
        </w:rPr>
        <w:t xml:space="preserve"> pre oblasť vnútra nosnou témou aj v roku 2022. Na ministerskej úrovni pokračovali rokovania o novom </w:t>
      </w:r>
      <w:r w:rsidRPr="00F32790">
        <w:rPr>
          <w:rFonts w:cs="Times New Roman"/>
          <w:b/>
          <w:szCs w:val="24"/>
        </w:rPr>
        <w:t>Pakte o migrácii a azyle</w:t>
      </w:r>
      <w:r w:rsidR="00AC2DC9">
        <w:rPr>
          <w:rStyle w:val="Odkaznapoznmkupodiarou"/>
          <w:b/>
          <w:szCs w:val="24"/>
        </w:rPr>
        <w:footnoteReference w:id="31"/>
      </w:r>
      <w:r w:rsidRPr="00F32790">
        <w:rPr>
          <w:rFonts w:cs="Times New Roman"/>
          <w:szCs w:val="24"/>
        </w:rPr>
        <w:t xml:space="preserve">, ktorý </w:t>
      </w:r>
      <w:r w:rsidR="008C1099">
        <w:rPr>
          <w:rFonts w:cs="Times New Roman"/>
          <w:szCs w:val="24"/>
        </w:rPr>
        <w:t>EK</w:t>
      </w:r>
      <w:r w:rsidR="008C1099" w:rsidRPr="00F32790">
        <w:rPr>
          <w:rFonts w:cs="Times New Roman"/>
          <w:szCs w:val="24"/>
        </w:rPr>
        <w:t xml:space="preserve"> </w:t>
      </w:r>
      <w:r w:rsidRPr="00F32790">
        <w:rPr>
          <w:rFonts w:cs="Times New Roman"/>
          <w:szCs w:val="24"/>
        </w:rPr>
        <w:t>predložila v roku 2020. Francúzske predsedníctvo v EÚ pristúpilo k rokovaniam „</w:t>
      </w:r>
      <w:proofErr w:type="spellStart"/>
      <w:r w:rsidRPr="00F32790">
        <w:rPr>
          <w:rFonts w:cs="Times New Roman"/>
          <w:szCs w:val="24"/>
        </w:rPr>
        <w:t>graduálne</w:t>
      </w:r>
      <w:proofErr w:type="spellEnd"/>
      <w:r w:rsidRPr="00F32790">
        <w:rPr>
          <w:rFonts w:cs="Times New Roman"/>
          <w:szCs w:val="24"/>
        </w:rPr>
        <w:t>“, teda sa snažilo o rovnomerný pokrok ako v oblasti zodpovednosti, tak aj v oblasti solidarity. Za oblasť zodpovednosti boli v Rade v júni 2022 schválené mandáty pre rokovania s Európskym parlamentom k nariadeniu o </w:t>
      </w:r>
      <w:proofErr w:type="spellStart"/>
      <w:r w:rsidRPr="00F32790">
        <w:rPr>
          <w:rFonts w:cs="Times New Roman"/>
          <w:szCs w:val="24"/>
        </w:rPr>
        <w:t>Eurodacu</w:t>
      </w:r>
      <w:proofErr w:type="spellEnd"/>
      <w:r w:rsidRPr="00F32790">
        <w:rPr>
          <w:rFonts w:cs="Times New Roman"/>
          <w:szCs w:val="24"/>
        </w:rPr>
        <w:t xml:space="preserve"> a k nariadeniu o skríningu na vonkajšej hranici. SR sa, vzhľadom na balíkový prístup k návrhom v rámci Paktu, hlasovania zdržala. </w:t>
      </w:r>
      <w:r w:rsidR="008967C8">
        <w:rPr>
          <w:rFonts w:cs="Times New Roman"/>
          <w:szCs w:val="24"/>
        </w:rPr>
        <w:br/>
      </w:r>
      <w:r w:rsidR="00687BC4" w:rsidRPr="001B363D">
        <w:rPr>
          <w:szCs w:val="24"/>
        </w:rPr>
        <w:lastRenderedPageBreak/>
        <w:t>V s</w:t>
      </w:r>
      <w:r w:rsidR="00687BC4">
        <w:rPr>
          <w:szCs w:val="24"/>
        </w:rPr>
        <w:t xml:space="preserve">eptembri sa </w:t>
      </w:r>
      <w:r w:rsidR="00A25D23">
        <w:rPr>
          <w:szCs w:val="24"/>
        </w:rPr>
        <w:t xml:space="preserve">podarilo dosiahnuť dohodu </w:t>
      </w:r>
      <w:r w:rsidR="00687BC4">
        <w:rPr>
          <w:szCs w:val="24"/>
        </w:rPr>
        <w:t>na cestovej mape k</w:t>
      </w:r>
      <w:r w:rsidR="00687BC4" w:rsidRPr="001B363D">
        <w:rPr>
          <w:szCs w:val="24"/>
        </w:rPr>
        <w:t xml:space="preserve"> azylovej reforme, ktorá umožňuje  realizáciu </w:t>
      </w:r>
      <w:proofErr w:type="spellStart"/>
      <w:r w:rsidR="00687BC4" w:rsidRPr="001B363D">
        <w:rPr>
          <w:szCs w:val="24"/>
        </w:rPr>
        <w:t>trialógov</w:t>
      </w:r>
      <w:proofErr w:type="spellEnd"/>
      <w:r w:rsidR="00687BC4" w:rsidRPr="001B363D">
        <w:rPr>
          <w:szCs w:val="24"/>
        </w:rPr>
        <w:t xml:space="preserve"> k jednotlivým návrhom s tým, že na záver procesu sa o všetkých neuzavretých legislatívnych návrhov má</w:t>
      </w:r>
      <w:r w:rsidR="00687BC4">
        <w:rPr>
          <w:szCs w:val="24"/>
        </w:rPr>
        <w:t xml:space="preserve"> rozhodnúť ako o jednom balíku.  </w:t>
      </w:r>
    </w:p>
    <w:p w14:paraId="125C1356" w14:textId="77777777" w:rsidR="00687BC4" w:rsidRDefault="00687BC4" w:rsidP="001734FE">
      <w:pPr>
        <w:spacing w:after="0" w:line="240" w:lineRule="auto"/>
        <w:rPr>
          <w:szCs w:val="24"/>
        </w:rPr>
      </w:pPr>
    </w:p>
    <w:p w14:paraId="425DEFF8" w14:textId="13A7FD45" w:rsidR="007D6676" w:rsidRPr="00687BC4" w:rsidRDefault="0019101E" w:rsidP="001734FE">
      <w:pPr>
        <w:spacing w:after="0" w:line="240" w:lineRule="auto"/>
        <w:rPr>
          <w:szCs w:val="24"/>
        </w:rPr>
      </w:pPr>
      <w:r>
        <w:rPr>
          <w:rFonts w:cs="Times New Roman"/>
          <w:szCs w:val="24"/>
        </w:rPr>
        <w:t xml:space="preserve">V oblasti solidarity </w:t>
      </w:r>
      <w:r w:rsidR="00F43B61">
        <w:rPr>
          <w:rFonts w:cs="Times New Roman"/>
          <w:szCs w:val="24"/>
        </w:rPr>
        <w:t xml:space="preserve">bola pripravená </w:t>
      </w:r>
      <w:r w:rsidR="007D6676" w:rsidRPr="00F32790">
        <w:rPr>
          <w:rFonts w:cs="Times New Roman"/>
          <w:szCs w:val="24"/>
        </w:rPr>
        <w:t>deklaráci</w:t>
      </w:r>
      <w:r w:rsidR="00F43B61">
        <w:rPr>
          <w:rFonts w:cs="Times New Roman"/>
          <w:szCs w:val="24"/>
        </w:rPr>
        <w:t>a</w:t>
      </w:r>
      <w:r w:rsidR="007D6676" w:rsidRPr="00F32790">
        <w:rPr>
          <w:rFonts w:cs="Times New Roman"/>
          <w:szCs w:val="24"/>
        </w:rPr>
        <w:t xml:space="preserve"> s názvom „</w:t>
      </w:r>
      <w:r w:rsidR="007D6676" w:rsidRPr="00F32790">
        <w:rPr>
          <w:rFonts w:cs="Times New Roman"/>
          <w:b/>
          <w:szCs w:val="24"/>
        </w:rPr>
        <w:t xml:space="preserve">Prvý krok v postupnej implementácii Európskeho paktu o migrácii a azyle: modus </w:t>
      </w:r>
      <w:proofErr w:type="spellStart"/>
      <w:r w:rsidR="007D6676" w:rsidRPr="00F32790">
        <w:rPr>
          <w:rFonts w:cs="Times New Roman"/>
          <w:b/>
          <w:szCs w:val="24"/>
        </w:rPr>
        <w:t>operandi</w:t>
      </w:r>
      <w:proofErr w:type="spellEnd"/>
      <w:r w:rsidR="007D6676" w:rsidRPr="00F32790">
        <w:rPr>
          <w:rFonts w:cs="Times New Roman"/>
          <w:b/>
          <w:szCs w:val="24"/>
        </w:rPr>
        <w:t xml:space="preserve"> mechanizmu dobrovoľnej solidarity</w:t>
      </w:r>
      <w:r w:rsidR="007D6676" w:rsidRPr="00F32790">
        <w:rPr>
          <w:rFonts w:cs="Times New Roman"/>
          <w:szCs w:val="24"/>
        </w:rPr>
        <w:t xml:space="preserve">“, ku ktorej mali členské štáty možnosť dobrovoľne sa pripojiť. SR sa vzhľadom na svoje nereflektované zásadné pripomienky (všetky formy solidarity sa mali považovať za rovnako dôležité a </w:t>
      </w:r>
      <w:proofErr w:type="spellStart"/>
      <w:r w:rsidR="007D6676" w:rsidRPr="00F32790">
        <w:rPr>
          <w:rFonts w:cs="Times New Roman"/>
          <w:szCs w:val="24"/>
        </w:rPr>
        <w:t>relokácie</w:t>
      </w:r>
      <w:proofErr w:type="spellEnd"/>
      <w:r w:rsidR="007D6676" w:rsidRPr="00F32790">
        <w:rPr>
          <w:rFonts w:cs="Times New Roman"/>
          <w:szCs w:val="24"/>
        </w:rPr>
        <w:t xml:space="preserve"> by nemali byť preferované</w:t>
      </w:r>
      <w:r w:rsidR="00C56F12">
        <w:rPr>
          <w:rFonts w:cs="Times New Roman"/>
          <w:szCs w:val="24"/>
        </w:rPr>
        <w:t>;</w:t>
      </w:r>
      <w:r w:rsidR="007D6676" w:rsidRPr="00F32790">
        <w:rPr>
          <w:rFonts w:cs="Times New Roman"/>
          <w:szCs w:val="24"/>
        </w:rPr>
        <w:t xml:space="preserve"> deklarácia by mala zahŕňať celú Úniu, aby sa stala flexibilným nástrojom, ktorý by zahŕňal všetky existujúce, ako aj potenciálne migračné trasy</w:t>
      </w:r>
      <w:r w:rsidR="00C56F12">
        <w:rPr>
          <w:rFonts w:cs="Times New Roman"/>
          <w:szCs w:val="24"/>
        </w:rPr>
        <w:t>;</w:t>
      </w:r>
      <w:r w:rsidR="007D6676" w:rsidRPr="00F32790">
        <w:rPr>
          <w:rFonts w:cs="Times New Roman"/>
          <w:szCs w:val="24"/>
        </w:rPr>
        <w:t xml:space="preserve">  návrh tak, ako bol na stole, neznamenal rovnomerný pokrok v solidarite a zodpovednosti) k deklarácii nepripojila. </w:t>
      </w:r>
    </w:p>
    <w:p w14:paraId="28CBDCDB" w14:textId="77777777" w:rsidR="007D6676" w:rsidRPr="00F32790" w:rsidRDefault="007D6676" w:rsidP="001734FE">
      <w:pPr>
        <w:spacing w:after="0" w:line="240" w:lineRule="auto"/>
        <w:rPr>
          <w:rFonts w:cs="Times New Roman"/>
          <w:szCs w:val="24"/>
        </w:rPr>
      </w:pPr>
    </w:p>
    <w:p w14:paraId="2FE47648" w14:textId="6AF4C61E" w:rsidR="007D6676" w:rsidRPr="00F32790" w:rsidRDefault="007D6676" w:rsidP="001734FE">
      <w:pPr>
        <w:spacing w:after="0" w:line="240" w:lineRule="auto"/>
        <w:rPr>
          <w:rFonts w:cs="Times New Roman"/>
          <w:szCs w:val="24"/>
        </w:rPr>
      </w:pPr>
      <w:r w:rsidRPr="00F32790">
        <w:rPr>
          <w:rFonts w:cs="Times New Roman"/>
          <w:szCs w:val="24"/>
        </w:rPr>
        <w:t xml:space="preserve">Zásadnou udalosťou pre SR bolo zavedenie hraničných kontrol na slovensko-českej a slovensko-rakúskej vnútornej hranici, čo bolo spôsobené neúmerným nárastom nelegálnej migrácie pochádzajúcej z krajín západného Balkánu. Následne </w:t>
      </w:r>
      <w:r w:rsidR="00147C10">
        <w:rPr>
          <w:rFonts w:cs="Times New Roman"/>
          <w:szCs w:val="24"/>
        </w:rPr>
        <w:t>SR</w:t>
      </w:r>
      <w:r w:rsidRPr="00F32790">
        <w:rPr>
          <w:rFonts w:cs="Times New Roman"/>
          <w:szCs w:val="24"/>
        </w:rPr>
        <w:t xml:space="preserve"> </w:t>
      </w:r>
      <w:r w:rsidR="00147C10">
        <w:rPr>
          <w:rFonts w:cs="Times New Roman"/>
          <w:szCs w:val="24"/>
        </w:rPr>
        <w:t>z</w:t>
      </w:r>
      <w:r w:rsidRPr="00F32790">
        <w:rPr>
          <w:rFonts w:cs="Times New Roman"/>
          <w:szCs w:val="24"/>
        </w:rPr>
        <w:t>volal</w:t>
      </w:r>
      <w:r w:rsidR="00147C10">
        <w:rPr>
          <w:rFonts w:cs="Times New Roman"/>
          <w:szCs w:val="24"/>
        </w:rPr>
        <w:t>a</w:t>
      </w:r>
      <w:r w:rsidRPr="00F32790">
        <w:rPr>
          <w:rFonts w:cs="Times New Roman"/>
          <w:szCs w:val="24"/>
        </w:rPr>
        <w:t xml:space="preserve"> rokovania na rôznych úrovniach, od technickej až po ministerskú. Na európskej úrovni bolo na 25. november zvolané mimoriadne rokovanie Rady</w:t>
      </w:r>
      <w:r w:rsidR="00006427">
        <w:rPr>
          <w:rFonts w:cs="Times New Roman"/>
          <w:szCs w:val="24"/>
        </w:rPr>
        <w:t xml:space="preserve"> EÚ</w:t>
      </w:r>
      <w:r w:rsidRPr="00F32790">
        <w:rPr>
          <w:rFonts w:cs="Times New Roman"/>
          <w:szCs w:val="24"/>
        </w:rPr>
        <w:t xml:space="preserve"> pre </w:t>
      </w:r>
      <w:r w:rsidR="00687BC4">
        <w:rPr>
          <w:rFonts w:cs="Times New Roman"/>
          <w:szCs w:val="24"/>
        </w:rPr>
        <w:t>spravodlivosť a </w:t>
      </w:r>
      <w:r w:rsidRPr="00F32790">
        <w:rPr>
          <w:rFonts w:cs="Times New Roman"/>
          <w:szCs w:val="24"/>
        </w:rPr>
        <w:t>vnút</w:t>
      </w:r>
      <w:r w:rsidR="00687BC4">
        <w:rPr>
          <w:rFonts w:cs="Times New Roman"/>
          <w:szCs w:val="24"/>
        </w:rPr>
        <w:t>orné záležitosti</w:t>
      </w:r>
      <w:r w:rsidRPr="00F32790">
        <w:rPr>
          <w:rFonts w:cs="Times New Roman"/>
          <w:szCs w:val="24"/>
        </w:rPr>
        <w:t>, ktorej hlavnou témou bola práve nelegálna migrácia. Pre západný Balkán boli formulované základné opatrenia, ktoré v plnej miere zohľadnili aj požiadavky SR:</w:t>
      </w:r>
    </w:p>
    <w:p w14:paraId="6A9A6EE3" w14:textId="77777777" w:rsidR="007D6676" w:rsidRPr="00F32790" w:rsidRDefault="007D6676" w:rsidP="001734FE">
      <w:pPr>
        <w:pStyle w:val="Odsekzoznamu"/>
        <w:numPr>
          <w:ilvl w:val="0"/>
          <w:numId w:val="11"/>
        </w:numPr>
        <w:spacing w:after="0" w:line="240" w:lineRule="auto"/>
        <w:ind w:left="357" w:hanging="357"/>
        <w:rPr>
          <w:rFonts w:cs="Times New Roman"/>
          <w:szCs w:val="24"/>
        </w:rPr>
      </w:pPr>
      <w:r w:rsidRPr="00F32790">
        <w:rPr>
          <w:rFonts w:cs="Times New Roman"/>
          <w:szCs w:val="24"/>
        </w:rPr>
        <w:t>vytvárať dostatočný tlak na štáty západného Balkánu prostredníctvom inštitúcií EÚ, aby harmonizovali svoju vízovú politiku s vízovou politikou EÚ, pričom pri zápornom výsledku by mala byť EÚ pripravená suspendovať bezvízový režim,</w:t>
      </w:r>
    </w:p>
    <w:p w14:paraId="419CE649" w14:textId="2EABF411" w:rsidR="007D6676" w:rsidRPr="00F32790" w:rsidRDefault="00386646" w:rsidP="001734FE">
      <w:pPr>
        <w:pStyle w:val="Odsekzoznamu"/>
        <w:numPr>
          <w:ilvl w:val="0"/>
          <w:numId w:val="11"/>
        </w:numPr>
        <w:spacing w:after="0" w:line="240" w:lineRule="auto"/>
        <w:ind w:left="357" w:hanging="357"/>
        <w:rPr>
          <w:rFonts w:cs="Times New Roman"/>
          <w:szCs w:val="24"/>
        </w:rPr>
      </w:pPr>
      <w:r>
        <w:t xml:space="preserve">dôsledne plniť záväzky z  readmisných dohôd </w:t>
      </w:r>
      <w:r w:rsidR="00515EEC">
        <w:t xml:space="preserve">EÚ </w:t>
      </w:r>
      <w:r>
        <w:t>uzavretých s krajinami západného Balkánu a</w:t>
      </w:r>
      <w:r w:rsidRPr="002D77E5">
        <w:t xml:space="preserve"> </w:t>
      </w:r>
      <w:r w:rsidR="007D6676" w:rsidRPr="00F32790">
        <w:rPr>
          <w:rFonts w:cs="Times New Roman"/>
          <w:szCs w:val="24"/>
        </w:rPr>
        <w:t>vytvárať tlak aj na Turecko, aby plnilo svoje záväzky, keďže veľký počet nelegálnych migrantov prichádza práve z Turecka,</w:t>
      </w:r>
    </w:p>
    <w:p w14:paraId="3B3B66F8" w14:textId="77777777" w:rsidR="007D6676" w:rsidRPr="00F32790" w:rsidRDefault="007D6676" w:rsidP="001734FE">
      <w:pPr>
        <w:pStyle w:val="Odsekzoznamu"/>
        <w:numPr>
          <w:ilvl w:val="0"/>
          <w:numId w:val="11"/>
        </w:numPr>
        <w:spacing w:after="0" w:line="240" w:lineRule="auto"/>
        <w:ind w:left="357" w:hanging="357"/>
        <w:rPr>
          <w:rFonts w:cs="Times New Roman"/>
          <w:szCs w:val="24"/>
        </w:rPr>
      </w:pPr>
      <w:r w:rsidRPr="00F32790">
        <w:rPr>
          <w:rFonts w:cs="Times New Roman"/>
          <w:szCs w:val="24"/>
        </w:rPr>
        <w:t xml:space="preserve">ďalej posilniť ochranu vonkajšej hranice EÚ, </w:t>
      </w:r>
    </w:p>
    <w:p w14:paraId="70EA19DF" w14:textId="77777777" w:rsidR="007D6676" w:rsidRPr="00F32790" w:rsidRDefault="007D6676" w:rsidP="001734FE">
      <w:pPr>
        <w:pStyle w:val="Odsekzoznamu"/>
        <w:numPr>
          <w:ilvl w:val="0"/>
          <w:numId w:val="11"/>
        </w:numPr>
        <w:spacing w:after="0" w:line="240" w:lineRule="auto"/>
        <w:ind w:left="357" w:hanging="357"/>
        <w:rPr>
          <w:rFonts w:cs="Times New Roman"/>
          <w:szCs w:val="24"/>
        </w:rPr>
      </w:pPr>
      <w:r w:rsidRPr="00F32790">
        <w:rPr>
          <w:rFonts w:cs="Times New Roman"/>
          <w:szCs w:val="24"/>
        </w:rPr>
        <w:t xml:space="preserve">zintenzívniť spoluprácu agentúry </w:t>
      </w:r>
      <w:proofErr w:type="spellStart"/>
      <w:r w:rsidRPr="00F32790">
        <w:rPr>
          <w:rFonts w:cs="Times New Roman"/>
          <w:szCs w:val="24"/>
        </w:rPr>
        <w:t>Frontex</w:t>
      </w:r>
      <w:proofErr w:type="spellEnd"/>
      <w:r w:rsidRPr="00F32790">
        <w:rPr>
          <w:rFonts w:cs="Times New Roman"/>
          <w:szCs w:val="24"/>
        </w:rPr>
        <w:t xml:space="preserve"> so štátmi západného Balkánu, </w:t>
      </w:r>
    </w:p>
    <w:p w14:paraId="5FEF81C9" w14:textId="77777777" w:rsidR="007D6676" w:rsidRPr="00F32790" w:rsidRDefault="007D6676" w:rsidP="001734FE">
      <w:pPr>
        <w:pStyle w:val="Odsekzoznamu"/>
        <w:numPr>
          <w:ilvl w:val="0"/>
          <w:numId w:val="11"/>
        </w:numPr>
        <w:spacing w:after="0" w:line="240" w:lineRule="auto"/>
        <w:ind w:left="357" w:hanging="357"/>
        <w:rPr>
          <w:rFonts w:cs="Times New Roman"/>
          <w:szCs w:val="24"/>
        </w:rPr>
      </w:pPr>
      <w:r w:rsidRPr="00F32790">
        <w:rPr>
          <w:rFonts w:cs="Times New Roman"/>
          <w:szCs w:val="24"/>
        </w:rPr>
        <w:t xml:space="preserve">stupňovať boj proti </w:t>
      </w:r>
      <w:proofErr w:type="spellStart"/>
      <w:r w:rsidRPr="00F32790">
        <w:rPr>
          <w:rFonts w:cs="Times New Roman"/>
          <w:szCs w:val="24"/>
        </w:rPr>
        <w:t>prevádzačstvu</w:t>
      </w:r>
      <w:proofErr w:type="spellEnd"/>
      <w:r w:rsidRPr="00F32790">
        <w:rPr>
          <w:rFonts w:cs="Times New Roman"/>
          <w:szCs w:val="24"/>
        </w:rPr>
        <w:t xml:space="preserve">, </w:t>
      </w:r>
    </w:p>
    <w:p w14:paraId="0252ECF1" w14:textId="77777777" w:rsidR="007D6676" w:rsidRPr="00F32790" w:rsidRDefault="007D6676" w:rsidP="001734FE">
      <w:pPr>
        <w:pStyle w:val="Odsekzoznamu"/>
        <w:numPr>
          <w:ilvl w:val="0"/>
          <w:numId w:val="11"/>
        </w:numPr>
        <w:spacing w:after="0" w:line="240" w:lineRule="auto"/>
        <w:ind w:left="357" w:hanging="357"/>
        <w:rPr>
          <w:rFonts w:cs="Times New Roman"/>
          <w:szCs w:val="24"/>
        </w:rPr>
      </w:pPr>
      <w:r w:rsidRPr="00F32790">
        <w:rPr>
          <w:rFonts w:cs="Times New Roman"/>
          <w:szCs w:val="24"/>
        </w:rPr>
        <w:t>zefektívniť návraty do krajín pôvodu alebo tranzitu.</w:t>
      </w:r>
    </w:p>
    <w:p w14:paraId="425882C3" w14:textId="77777777" w:rsidR="007D6676" w:rsidRPr="00F32790" w:rsidRDefault="007D6676" w:rsidP="001734FE">
      <w:pPr>
        <w:spacing w:after="0" w:line="240" w:lineRule="auto"/>
        <w:ind w:firstLine="708"/>
        <w:rPr>
          <w:rFonts w:cs="Times New Roman"/>
          <w:szCs w:val="24"/>
        </w:rPr>
      </w:pPr>
    </w:p>
    <w:p w14:paraId="589D48EF" w14:textId="0EFBF720" w:rsidR="007D6676" w:rsidRPr="00F32790" w:rsidRDefault="007D6676" w:rsidP="001734FE">
      <w:pPr>
        <w:spacing w:after="0" w:line="240" w:lineRule="auto"/>
        <w:rPr>
          <w:rFonts w:cs="Times New Roman"/>
          <w:szCs w:val="24"/>
        </w:rPr>
      </w:pPr>
      <w:r w:rsidRPr="00F32790">
        <w:rPr>
          <w:rFonts w:cs="Times New Roman"/>
          <w:b/>
          <w:szCs w:val="24"/>
        </w:rPr>
        <w:t xml:space="preserve">SR </w:t>
      </w:r>
      <w:r w:rsidR="00386646">
        <w:rPr>
          <w:rFonts w:cs="Times New Roman"/>
          <w:b/>
          <w:szCs w:val="24"/>
        </w:rPr>
        <w:t xml:space="preserve">okrem uvedeného </w:t>
      </w:r>
      <w:r w:rsidRPr="00F32790">
        <w:rPr>
          <w:rFonts w:cs="Times New Roman"/>
          <w:b/>
          <w:szCs w:val="24"/>
        </w:rPr>
        <w:t>prijala opatrenia aj na vnútroštátnej úrovni</w:t>
      </w:r>
      <w:r w:rsidRPr="00F32790">
        <w:rPr>
          <w:rFonts w:cs="Times New Roman"/>
          <w:szCs w:val="24"/>
        </w:rPr>
        <w:t>: ďalej sa zintenzívnila spoločná regionálna operatívna spoluprác</w:t>
      </w:r>
      <w:r w:rsidR="00892879">
        <w:rPr>
          <w:rFonts w:cs="Times New Roman"/>
          <w:szCs w:val="24"/>
        </w:rPr>
        <w:t xml:space="preserve">a pri eliminácii </w:t>
      </w:r>
      <w:proofErr w:type="spellStart"/>
      <w:r w:rsidR="00892879">
        <w:rPr>
          <w:rFonts w:cs="Times New Roman"/>
          <w:szCs w:val="24"/>
        </w:rPr>
        <w:t>prevádzačstva</w:t>
      </w:r>
      <w:proofErr w:type="spellEnd"/>
      <w:r w:rsidR="00892879">
        <w:rPr>
          <w:rFonts w:cs="Times New Roman"/>
          <w:szCs w:val="24"/>
        </w:rPr>
        <w:t xml:space="preserve"> </w:t>
      </w:r>
      <w:r w:rsidRPr="00F32790">
        <w:rPr>
          <w:rFonts w:cs="Times New Roman"/>
          <w:szCs w:val="24"/>
        </w:rPr>
        <w:t xml:space="preserve">a zvýšil sa počet spoločných hliadok na hranici a v prihraničnom území s Maďarskom, zriadili </w:t>
      </w:r>
      <w:r w:rsidR="00892879">
        <w:rPr>
          <w:rFonts w:cs="Times New Roman"/>
          <w:szCs w:val="24"/>
        </w:rPr>
        <w:t xml:space="preserve">sa </w:t>
      </w:r>
      <w:r w:rsidRPr="00F32790">
        <w:rPr>
          <w:rFonts w:cs="Times New Roman"/>
          <w:szCs w:val="24"/>
        </w:rPr>
        <w:t>ďalšie hliadky s novými partnermi, zintenzívnila sa aktivizácia policajných hliadok vo vnútrozemí smerom k </w:t>
      </w:r>
      <w:proofErr w:type="spellStart"/>
      <w:r w:rsidRPr="00F32790">
        <w:rPr>
          <w:rFonts w:cs="Times New Roman"/>
          <w:szCs w:val="24"/>
        </w:rPr>
        <w:t>prevádzačstvu</w:t>
      </w:r>
      <w:proofErr w:type="spellEnd"/>
      <w:r w:rsidRPr="00F32790">
        <w:rPr>
          <w:rFonts w:cs="Times New Roman"/>
          <w:szCs w:val="24"/>
        </w:rPr>
        <w:t xml:space="preserve"> a nelegálnej sekundárnej migrácii, boli vyslaní policajti na plnenie úloh na vonkajšej hranici Maďarska so Srbskom. </w:t>
      </w:r>
    </w:p>
    <w:p w14:paraId="2503DE5B" w14:textId="77777777" w:rsidR="007D6676" w:rsidRPr="00F32790" w:rsidRDefault="007D6676" w:rsidP="001734FE">
      <w:pPr>
        <w:spacing w:after="0" w:line="240" w:lineRule="auto"/>
        <w:rPr>
          <w:rFonts w:cs="Times New Roman"/>
          <w:szCs w:val="24"/>
        </w:rPr>
      </w:pPr>
    </w:p>
    <w:p w14:paraId="1189B703" w14:textId="01EAA2FA" w:rsidR="003A425F" w:rsidRPr="00F32790" w:rsidRDefault="003A425F" w:rsidP="001734FE">
      <w:pPr>
        <w:shd w:val="clear" w:color="auto" w:fill="FFFFFF"/>
        <w:spacing w:after="0" w:line="240" w:lineRule="auto"/>
        <w:rPr>
          <w:rFonts w:cs="Times New Roman"/>
          <w:szCs w:val="24"/>
        </w:rPr>
      </w:pPr>
      <w:r w:rsidRPr="00F32790">
        <w:rPr>
          <w:rFonts w:cs="Times New Roman"/>
          <w:szCs w:val="24"/>
        </w:rPr>
        <w:t xml:space="preserve">Aktivity EÚ sa v roku 2022 odvíjali </w:t>
      </w:r>
      <w:r w:rsidRPr="00F32790">
        <w:rPr>
          <w:rFonts w:cs="Times New Roman"/>
          <w:b/>
          <w:szCs w:val="24"/>
        </w:rPr>
        <w:t>v oblasti zdravotníctva</w:t>
      </w:r>
      <w:r w:rsidRPr="00F32790">
        <w:rPr>
          <w:rFonts w:cs="Times New Roman"/>
          <w:szCs w:val="24"/>
        </w:rPr>
        <w:t xml:space="preserve"> najmä od doznievajúcej pandémie COVID19, spoločného obstarávania na úrovni EÚ v súvislosti s pandémiou a vojny na Ukrajine. Boli predložené nové dôležité legislatívne aj nelegislatívne návrhy s cieľom vytvoriť silnú Európsku zdravotnú úniu</w:t>
      </w:r>
      <w:r w:rsidR="0022206E" w:rsidRPr="00F32790">
        <w:rPr>
          <w:rFonts w:cs="Times New Roman"/>
          <w:szCs w:val="24"/>
        </w:rPr>
        <w:t xml:space="preserve">. </w:t>
      </w:r>
      <w:r w:rsidRPr="00F32790">
        <w:rPr>
          <w:rFonts w:eastAsia="Calibri" w:cs="Times New Roman"/>
          <w:szCs w:val="24"/>
        </w:rPr>
        <w:t>Súhrnne do decembra 2022 bolo (na základe zmluvných záväzkov z predchádzajúcich roko</w:t>
      </w:r>
      <w:r w:rsidR="0019101E">
        <w:rPr>
          <w:rFonts w:eastAsia="Calibri" w:cs="Times New Roman"/>
          <w:szCs w:val="24"/>
        </w:rPr>
        <w:t>v</w:t>
      </w:r>
      <w:r w:rsidRPr="00F32790">
        <w:rPr>
          <w:rFonts w:eastAsia="Calibri" w:cs="Times New Roman"/>
          <w:szCs w:val="24"/>
        </w:rPr>
        <w:t xml:space="preserve">), do EÚ dodaných takmer 1,4 miliardy dávok vakcín, pričom SR bolo v priebehu roka 2022, súhrnne od všetkých výrobcov </w:t>
      </w:r>
      <w:r w:rsidRPr="00F32790">
        <w:rPr>
          <w:rFonts w:eastAsia="Calibri" w:cs="Times New Roman"/>
          <w:b/>
          <w:szCs w:val="24"/>
        </w:rPr>
        <w:t>doručených takmer 6 650 000 dávok vakcín proti ochoreniu C</w:t>
      </w:r>
      <w:r w:rsidR="0019101E">
        <w:rPr>
          <w:rFonts w:eastAsia="Calibri" w:cs="Times New Roman"/>
          <w:b/>
          <w:szCs w:val="24"/>
        </w:rPr>
        <w:t>OVID</w:t>
      </w:r>
      <w:r w:rsidRPr="00F32790">
        <w:rPr>
          <w:rFonts w:eastAsia="Calibri" w:cs="Times New Roman"/>
          <w:b/>
          <w:szCs w:val="24"/>
        </w:rPr>
        <w:t>-19</w:t>
      </w:r>
      <w:r w:rsidRPr="00F32790">
        <w:rPr>
          <w:rFonts w:eastAsia="Calibri" w:cs="Times New Roman"/>
          <w:szCs w:val="24"/>
        </w:rPr>
        <w:t xml:space="preserve">. Od septembra 2022 boli do SR </w:t>
      </w:r>
      <w:r w:rsidR="00892879">
        <w:rPr>
          <w:rFonts w:eastAsia="Calibri" w:cs="Times New Roman"/>
          <w:szCs w:val="24"/>
        </w:rPr>
        <w:t>dovážané</w:t>
      </w:r>
      <w:r w:rsidRPr="00F32790">
        <w:rPr>
          <w:rFonts w:eastAsia="Calibri" w:cs="Times New Roman"/>
          <w:szCs w:val="24"/>
        </w:rPr>
        <w:t xml:space="preserve"> najnovšie adaptované </w:t>
      </w:r>
      <w:proofErr w:type="spellStart"/>
      <w:r w:rsidRPr="00F32790">
        <w:rPr>
          <w:rFonts w:eastAsia="Calibri" w:cs="Times New Roman"/>
          <w:szCs w:val="24"/>
        </w:rPr>
        <w:t>bivalentné</w:t>
      </w:r>
      <w:proofErr w:type="spellEnd"/>
      <w:r w:rsidRPr="00F32790">
        <w:rPr>
          <w:rFonts w:eastAsia="Calibri" w:cs="Times New Roman"/>
          <w:szCs w:val="24"/>
        </w:rPr>
        <w:t xml:space="preserve"> vakcíny, účinné voči prevládajúcim </w:t>
      </w:r>
      <w:proofErr w:type="spellStart"/>
      <w:r w:rsidRPr="00F32790">
        <w:rPr>
          <w:rFonts w:eastAsia="Calibri" w:cs="Times New Roman"/>
          <w:szCs w:val="24"/>
        </w:rPr>
        <w:t>subvariantom</w:t>
      </w:r>
      <w:proofErr w:type="spellEnd"/>
      <w:r w:rsidRPr="00F32790">
        <w:rPr>
          <w:rFonts w:eastAsia="Calibri" w:cs="Times New Roman"/>
          <w:szCs w:val="24"/>
        </w:rPr>
        <w:t xml:space="preserve"> </w:t>
      </w:r>
      <w:proofErr w:type="spellStart"/>
      <w:r w:rsidRPr="00F32790">
        <w:rPr>
          <w:rFonts w:eastAsia="Calibri" w:cs="Times New Roman"/>
          <w:szCs w:val="24"/>
        </w:rPr>
        <w:t>Omikron</w:t>
      </w:r>
      <w:proofErr w:type="spellEnd"/>
      <w:r w:rsidRPr="00F32790">
        <w:rPr>
          <w:rFonts w:eastAsia="Calibri" w:cs="Times New Roman"/>
          <w:szCs w:val="24"/>
        </w:rPr>
        <w:t xml:space="preserve"> BA.1/2 a BA.4/5.</w:t>
      </w:r>
    </w:p>
    <w:p w14:paraId="188FBF6D" w14:textId="77777777" w:rsidR="0022206E" w:rsidRPr="00F32790" w:rsidRDefault="0022206E" w:rsidP="001734FE">
      <w:pPr>
        <w:spacing w:after="0" w:line="240" w:lineRule="auto"/>
        <w:rPr>
          <w:rFonts w:eastAsia="Calibri" w:cs="Times New Roman"/>
          <w:szCs w:val="24"/>
        </w:rPr>
      </w:pPr>
    </w:p>
    <w:p w14:paraId="5AFFFDE9" w14:textId="3702842C" w:rsidR="003A425F" w:rsidRPr="00F32790" w:rsidRDefault="003A425F" w:rsidP="001734FE">
      <w:pPr>
        <w:spacing w:after="0" w:line="240" w:lineRule="auto"/>
        <w:rPr>
          <w:rFonts w:eastAsia="Calibri" w:cs="Times New Roman"/>
          <w:szCs w:val="24"/>
        </w:rPr>
      </w:pPr>
      <w:r w:rsidRPr="00F32790">
        <w:rPr>
          <w:rFonts w:eastAsia="Calibri" w:cs="Times New Roman"/>
          <w:szCs w:val="24"/>
        </w:rPr>
        <w:t>Podľa dát uverejnených ECDC (</w:t>
      </w:r>
      <w:hyperlink r:id="rId11" w:anchor="uptake-tab" w:history="1">
        <w:r w:rsidRPr="00F32790">
          <w:rPr>
            <w:rFonts w:eastAsia="Calibri" w:cs="Times New Roman"/>
            <w:szCs w:val="24"/>
          </w:rPr>
          <w:t xml:space="preserve">COVID-19 </w:t>
        </w:r>
        <w:proofErr w:type="spellStart"/>
        <w:r w:rsidRPr="00F32790">
          <w:rPr>
            <w:rFonts w:eastAsia="Calibri" w:cs="Times New Roman"/>
            <w:szCs w:val="24"/>
          </w:rPr>
          <w:t>Vaccine</w:t>
        </w:r>
        <w:proofErr w:type="spellEnd"/>
        <w:r w:rsidRPr="00F32790">
          <w:rPr>
            <w:rFonts w:eastAsia="Calibri" w:cs="Times New Roman"/>
            <w:szCs w:val="24"/>
          </w:rPr>
          <w:t xml:space="preserve"> </w:t>
        </w:r>
        <w:proofErr w:type="spellStart"/>
        <w:r w:rsidRPr="00F32790">
          <w:rPr>
            <w:rFonts w:eastAsia="Calibri" w:cs="Times New Roman"/>
            <w:szCs w:val="24"/>
          </w:rPr>
          <w:t>Tracker</w:t>
        </w:r>
        <w:proofErr w:type="spellEnd"/>
        <w:r w:rsidRPr="00F32790">
          <w:rPr>
            <w:rFonts w:eastAsia="Calibri" w:cs="Times New Roman"/>
            <w:szCs w:val="24"/>
          </w:rPr>
          <w:t xml:space="preserve"> | </w:t>
        </w:r>
        <w:proofErr w:type="spellStart"/>
        <w:r w:rsidRPr="00F32790">
          <w:rPr>
            <w:rFonts w:eastAsia="Calibri" w:cs="Times New Roman"/>
            <w:szCs w:val="24"/>
          </w:rPr>
          <w:t>European</w:t>
        </w:r>
        <w:proofErr w:type="spellEnd"/>
        <w:r w:rsidRPr="00F32790">
          <w:rPr>
            <w:rFonts w:eastAsia="Calibri" w:cs="Times New Roman"/>
            <w:szCs w:val="24"/>
          </w:rPr>
          <w:t xml:space="preserve"> Centre </w:t>
        </w:r>
        <w:proofErr w:type="spellStart"/>
        <w:r w:rsidRPr="00F32790">
          <w:rPr>
            <w:rFonts w:eastAsia="Calibri" w:cs="Times New Roman"/>
            <w:szCs w:val="24"/>
          </w:rPr>
          <w:t>for</w:t>
        </w:r>
        <w:proofErr w:type="spellEnd"/>
        <w:r w:rsidRPr="00F32790">
          <w:rPr>
            <w:rFonts w:eastAsia="Calibri" w:cs="Times New Roman"/>
            <w:szCs w:val="24"/>
          </w:rPr>
          <w:t xml:space="preserve"> </w:t>
        </w:r>
        <w:proofErr w:type="spellStart"/>
        <w:r w:rsidRPr="00F32790">
          <w:rPr>
            <w:rFonts w:eastAsia="Calibri" w:cs="Times New Roman"/>
            <w:szCs w:val="24"/>
          </w:rPr>
          <w:t>Disease</w:t>
        </w:r>
        <w:proofErr w:type="spellEnd"/>
        <w:r w:rsidRPr="00F32790">
          <w:rPr>
            <w:rFonts w:eastAsia="Calibri" w:cs="Times New Roman"/>
            <w:szCs w:val="24"/>
          </w:rPr>
          <w:t xml:space="preserve"> </w:t>
        </w:r>
        <w:proofErr w:type="spellStart"/>
        <w:r w:rsidRPr="00F32790">
          <w:rPr>
            <w:rFonts w:eastAsia="Calibri" w:cs="Times New Roman"/>
            <w:szCs w:val="24"/>
          </w:rPr>
          <w:t>Prevention</w:t>
        </w:r>
        <w:proofErr w:type="spellEnd"/>
        <w:r w:rsidRPr="00F32790">
          <w:rPr>
            <w:rFonts w:eastAsia="Calibri" w:cs="Times New Roman"/>
            <w:szCs w:val="24"/>
          </w:rPr>
          <w:t xml:space="preserve"> and </w:t>
        </w:r>
        <w:proofErr w:type="spellStart"/>
        <w:r w:rsidRPr="00F32790">
          <w:rPr>
            <w:rFonts w:eastAsia="Calibri" w:cs="Times New Roman"/>
            <w:szCs w:val="24"/>
          </w:rPr>
          <w:t>Control</w:t>
        </w:r>
        <w:proofErr w:type="spellEnd"/>
      </w:hyperlink>
      <w:r w:rsidR="0022206E" w:rsidRPr="00F32790">
        <w:rPr>
          <w:rFonts w:eastAsia="Calibri" w:cs="Times New Roman"/>
          <w:szCs w:val="24"/>
        </w:rPr>
        <w:t>)</w:t>
      </w:r>
      <w:r w:rsidRPr="00F32790">
        <w:rPr>
          <w:rFonts w:eastAsia="Calibri" w:cs="Times New Roman"/>
          <w:szCs w:val="24"/>
        </w:rPr>
        <w:t xml:space="preserve"> k decembru 2022 malo plne ukončenú primárnu </w:t>
      </w:r>
      <w:r w:rsidRPr="00F32790">
        <w:rPr>
          <w:rFonts w:eastAsia="Calibri" w:cs="Times New Roman"/>
          <w:b/>
          <w:szCs w:val="24"/>
        </w:rPr>
        <w:t>schému očkovania</w:t>
      </w:r>
      <w:r w:rsidRPr="00F32790">
        <w:rPr>
          <w:rFonts w:eastAsia="Calibri" w:cs="Times New Roman"/>
          <w:szCs w:val="24"/>
        </w:rPr>
        <w:t xml:space="preserve"> </w:t>
      </w:r>
      <w:r w:rsidRPr="00F32790">
        <w:rPr>
          <w:rFonts w:eastAsia="Calibri" w:cs="Times New Roman"/>
          <w:szCs w:val="24"/>
        </w:rPr>
        <w:lastRenderedPageBreak/>
        <w:t xml:space="preserve">51,1 %, prvú posilňovaciu dávku </w:t>
      </w:r>
      <w:proofErr w:type="spellStart"/>
      <w:r w:rsidRPr="00F32790">
        <w:rPr>
          <w:rFonts w:eastAsia="Calibri" w:cs="Times New Roman"/>
          <w:szCs w:val="24"/>
        </w:rPr>
        <w:t>obdržalo</w:t>
      </w:r>
      <w:proofErr w:type="spellEnd"/>
      <w:r w:rsidRPr="00F32790">
        <w:rPr>
          <w:rFonts w:eastAsia="Calibri" w:cs="Times New Roman"/>
          <w:szCs w:val="24"/>
        </w:rPr>
        <w:t xml:space="preserve"> 30, 9%, druhú posilňovaciu dávku 1,2 % z celkovej populácie SR.</w:t>
      </w:r>
      <w:r w:rsidR="0022206E" w:rsidRPr="00F32790">
        <w:rPr>
          <w:rFonts w:eastAsia="Calibri" w:cs="Times New Roman"/>
          <w:szCs w:val="24"/>
        </w:rPr>
        <w:t xml:space="preserve"> </w:t>
      </w:r>
      <w:r w:rsidRPr="00F32790">
        <w:rPr>
          <w:rFonts w:eastAsia="Calibri" w:cs="Times New Roman"/>
          <w:szCs w:val="24"/>
        </w:rPr>
        <w:t>EÚ aj v roku 2022 stála v čele globálnej iniciatívy COVAX, zabezpečujúc</w:t>
      </w:r>
      <w:r w:rsidR="0019101E">
        <w:rPr>
          <w:rFonts w:eastAsia="Calibri" w:cs="Times New Roman"/>
          <w:szCs w:val="24"/>
        </w:rPr>
        <w:t>ej</w:t>
      </w:r>
      <w:r w:rsidRPr="00F32790">
        <w:rPr>
          <w:rFonts w:eastAsia="Calibri" w:cs="Times New Roman"/>
          <w:szCs w:val="24"/>
        </w:rPr>
        <w:t xml:space="preserve"> globálny prístup k vakcínam proti C</w:t>
      </w:r>
      <w:r w:rsidR="0019101E">
        <w:rPr>
          <w:rFonts w:eastAsia="Calibri" w:cs="Times New Roman"/>
          <w:szCs w:val="24"/>
        </w:rPr>
        <w:t>OVID</w:t>
      </w:r>
      <w:r w:rsidRPr="00F32790">
        <w:rPr>
          <w:rFonts w:eastAsia="Calibri" w:cs="Times New Roman"/>
          <w:szCs w:val="24"/>
        </w:rPr>
        <w:t xml:space="preserve">-19. SR sa v uplynulom roku zaviazala darovať prostredníctvom tohto mechanizmu viac než 1,1 mil. dávok, z toho viac než 931 tisíc už bolo doručených príjemcom. V kontexte bilaterálneho darovania, SR ako </w:t>
      </w:r>
      <w:proofErr w:type="spellStart"/>
      <w:r w:rsidRPr="00F32790">
        <w:rPr>
          <w:rFonts w:eastAsia="Calibri" w:cs="Times New Roman"/>
          <w:szCs w:val="24"/>
        </w:rPr>
        <w:t>donorská</w:t>
      </w:r>
      <w:proofErr w:type="spellEnd"/>
      <w:r w:rsidRPr="00F32790">
        <w:rPr>
          <w:rFonts w:eastAsia="Calibri" w:cs="Times New Roman"/>
          <w:szCs w:val="24"/>
        </w:rPr>
        <w:t xml:space="preserve"> krajina už úspešne ukončila proces darovania pediatrických vakcín Belize, pričom ostatné darovania v celkovom objeme viac než 820 tis. dávok sú v procese.</w:t>
      </w:r>
    </w:p>
    <w:p w14:paraId="29BCB02F" w14:textId="77777777" w:rsidR="003A425F" w:rsidRPr="00F32790" w:rsidRDefault="003A425F" w:rsidP="001734FE">
      <w:pPr>
        <w:spacing w:after="0" w:line="240" w:lineRule="auto"/>
        <w:rPr>
          <w:rFonts w:eastAsia="Calibri" w:cs="Times New Roman"/>
          <w:szCs w:val="24"/>
        </w:rPr>
      </w:pPr>
    </w:p>
    <w:p w14:paraId="46BFBB10" w14:textId="5D46493E" w:rsidR="003A425F" w:rsidRPr="00F32790" w:rsidRDefault="0022206E" w:rsidP="001734FE">
      <w:pPr>
        <w:spacing w:after="0" w:line="240" w:lineRule="auto"/>
        <w:rPr>
          <w:rFonts w:eastAsia="Calibri" w:cs="Times New Roman"/>
          <w:szCs w:val="24"/>
        </w:rPr>
      </w:pPr>
      <w:r w:rsidRPr="00F32790">
        <w:rPr>
          <w:rFonts w:eastAsia="Calibri" w:cs="Times New Roman"/>
          <w:szCs w:val="24"/>
        </w:rPr>
        <w:t>Európsky d</w:t>
      </w:r>
      <w:r w:rsidR="003A425F" w:rsidRPr="00F32790">
        <w:rPr>
          <w:rFonts w:eastAsia="Calibri" w:cs="Times New Roman"/>
          <w:szCs w:val="24"/>
        </w:rPr>
        <w:t xml:space="preserve">vor audítorov (ECA) predstavil </w:t>
      </w:r>
      <w:r w:rsidR="003A425F" w:rsidRPr="00F32790">
        <w:rPr>
          <w:rFonts w:eastAsia="Calibri" w:cs="Times New Roman"/>
          <w:b/>
          <w:szCs w:val="24"/>
        </w:rPr>
        <w:t>Správu k obstarávaniu vakcín proti COVID-19</w:t>
      </w:r>
      <w:r w:rsidR="003A425F" w:rsidRPr="00F32790">
        <w:rPr>
          <w:rFonts w:eastAsia="Calibri" w:cs="Times New Roman"/>
          <w:szCs w:val="24"/>
        </w:rPr>
        <w:t xml:space="preserve">, ktorú sa rozhodli pripraviť vzhľadom na vplyv nákupu vakcín na verejné financie, keďže na vakcíny bolo vynaložených 2 mld. </w:t>
      </w:r>
      <w:r w:rsidR="007C6D2D">
        <w:rPr>
          <w:rFonts w:eastAsia="Calibri" w:cs="Times New Roman"/>
          <w:szCs w:val="24"/>
        </w:rPr>
        <w:t>EUR</w:t>
      </w:r>
      <w:r w:rsidR="003A425F" w:rsidRPr="00F32790">
        <w:rPr>
          <w:rFonts w:eastAsia="Calibri" w:cs="Times New Roman"/>
          <w:szCs w:val="24"/>
        </w:rPr>
        <w:t xml:space="preserve"> z rozpočtu EÚ a 71 mld. </w:t>
      </w:r>
      <w:r w:rsidR="008819E9">
        <w:rPr>
          <w:rFonts w:eastAsia="Calibri" w:cs="Times New Roman"/>
          <w:szCs w:val="24"/>
        </w:rPr>
        <w:t xml:space="preserve">EUR </w:t>
      </w:r>
      <w:r w:rsidR="003A425F" w:rsidRPr="00F32790">
        <w:rPr>
          <w:rFonts w:eastAsia="Calibri" w:cs="Times New Roman"/>
          <w:szCs w:val="24"/>
        </w:rPr>
        <w:t>z rozpočtov členských štátov po podpísaní kontraktov. Záverom správy bolo, že EÚ konala neskoršie ale celkovo efektívne, neskoršie kontrakty boli lepšie ako prvé, preto Dvor audítorov odporúča vytvoriť „</w:t>
      </w:r>
      <w:proofErr w:type="spellStart"/>
      <w:r w:rsidR="003A425F" w:rsidRPr="00F32790">
        <w:rPr>
          <w:rFonts w:eastAsia="Calibri" w:cs="Times New Roman"/>
          <w:szCs w:val="24"/>
        </w:rPr>
        <w:t>lessons</w:t>
      </w:r>
      <w:proofErr w:type="spellEnd"/>
      <w:r w:rsidR="003A425F" w:rsidRPr="00F32790">
        <w:rPr>
          <w:rFonts w:eastAsia="Calibri" w:cs="Times New Roman"/>
          <w:szCs w:val="24"/>
        </w:rPr>
        <w:t xml:space="preserve"> </w:t>
      </w:r>
      <w:proofErr w:type="spellStart"/>
      <w:r w:rsidR="003A425F" w:rsidRPr="00F32790">
        <w:rPr>
          <w:rFonts w:eastAsia="Calibri" w:cs="Times New Roman"/>
          <w:szCs w:val="24"/>
        </w:rPr>
        <w:t>learned</w:t>
      </w:r>
      <w:proofErr w:type="spellEnd"/>
      <w:r w:rsidR="003A425F" w:rsidRPr="00F32790">
        <w:rPr>
          <w:rFonts w:eastAsia="Calibri" w:cs="Times New Roman"/>
          <w:szCs w:val="24"/>
        </w:rPr>
        <w:t xml:space="preserve"> </w:t>
      </w:r>
      <w:proofErr w:type="spellStart"/>
      <w:r w:rsidR="003A425F" w:rsidRPr="00F32790">
        <w:rPr>
          <w:rFonts w:eastAsia="Calibri" w:cs="Times New Roman"/>
          <w:szCs w:val="24"/>
        </w:rPr>
        <w:t>guidelines</w:t>
      </w:r>
      <w:proofErr w:type="spellEnd"/>
      <w:r w:rsidR="003A425F" w:rsidRPr="00F32790">
        <w:rPr>
          <w:rFonts w:eastAsia="Calibri" w:cs="Times New Roman"/>
          <w:szCs w:val="24"/>
        </w:rPr>
        <w:t xml:space="preserve">“ a systém </w:t>
      </w:r>
      <w:r w:rsidR="00A25D23">
        <w:rPr>
          <w:rFonts w:eastAsia="Calibri" w:cs="Times New Roman"/>
          <w:szCs w:val="24"/>
        </w:rPr>
        <w:t xml:space="preserve">záťažových </w:t>
      </w:r>
      <w:r w:rsidR="003A425F" w:rsidRPr="00F32790">
        <w:rPr>
          <w:rFonts w:eastAsia="Calibri" w:cs="Times New Roman"/>
          <w:szCs w:val="24"/>
        </w:rPr>
        <w:t>testov pre lepšie fungovanie budúcich obstarávaní.</w:t>
      </w:r>
    </w:p>
    <w:p w14:paraId="4478334C" w14:textId="77777777" w:rsidR="003A425F" w:rsidRPr="00F32790" w:rsidRDefault="003A425F" w:rsidP="001734FE">
      <w:pPr>
        <w:spacing w:after="0" w:line="240" w:lineRule="auto"/>
        <w:rPr>
          <w:rFonts w:eastAsia="Calibri" w:cs="Times New Roman"/>
          <w:szCs w:val="24"/>
        </w:rPr>
      </w:pPr>
    </w:p>
    <w:p w14:paraId="6B203F15" w14:textId="3A472AE8" w:rsidR="00F94075" w:rsidRPr="008F321B" w:rsidRDefault="003A425F" w:rsidP="00F94075">
      <w:pPr>
        <w:shd w:val="clear" w:color="auto" w:fill="FFFFFF"/>
        <w:spacing w:after="0" w:line="240" w:lineRule="auto"/>
        <w:rPr>
          <w:rFonts w:cs="Times New Roman"/>
          <w:szCs w:val="24"/>
        </w:rPr>
      </w:pPr>
      <w:r w:rsidRPr="00F32790">
        <w:rPr>
          <w:rFonts w:cs="Times New Roman"/>
          <w:szCs w:val="24"/>
        </w:rPr>
        <w:t xml:space="preserve">V </w:t>
      </w:r>
      <w:r w:rsidR="0022206E" w:rsidRPr="00F32790">
        <w:rPr>
          <w:rFonts w:cs="Times New Roman"/>
          <w:szCs w:val="24"/>
        </w:rPr>
        <w:t>n</w:t>
      </w:r>
      <w:r w:rsidRPr="00F32790">
        <w:rPr>
          <w:rFonts w:cs="Times New Roman"/>
          <w:szCs w:val="24"/>
        </w:rPr>
        <w:t xml:space="preserve">ávrhu </w:t>
      </w:r>
      <w:r w:rsidRPr="00F32790">
        <w:rPr>
          <w:rFonts w:cs="Times New Roman"/>
          <w:b/>
          <w:szCs w:val="24"/>
        </w:rPr>
        <w:t>Nariadenia o európskom priestore pre zdravotné údaje</w:t>
      </w:r>
      <w:r w:rsidR="0022206E" w:rsidRPr="00F32790">
        <w:rPr>
          <w:rFonts w:cs="Times New Roman"/>
          <w:szCs w:val="24"/>
        </w:rPr>
        <w:t xml:space="preserve"> (EHDS)</w:t>
      </w:r>
      <w:r w:rsidR="00A25D23">
        <w:rPr>
          <w:rStyle w:val="Odkaznapoznmkupodiarou"/>
          <w:szCs w:val="24"/>
        </w:rPr>
        <w:footnoteReference w:id="32"/>
      </w:r>
      <w:r w:rsidRPr="00F32790">
        <w:rPr>
          <w:rFonts w:cs="Times New Roman"/>
          <w:szCs w:val="24"/>
        </w:rPr>
        <w:t xml:space="preserve"> ide o prvý spoločný európsky dátový priestor navrhnutý v oznámení "Európska stratégia pre údaje " z roku 2020, v ktorom sa oznámilo vytvorenie deviatich dátových priestorov špecifických pre jednotlivé odvetvia a oblasti. Cieľom návrhu bude zlepšiť prístup jednotlivcov k ich osobným elektronickým zdravotným údajom a kontrolu nad nimi (primárne využívanie údajov), a to aj na vnút</w:t>
      </w:r>
      <w:r w:rsidR="00892879">
        <w:rPr>
          <w:rFonts w:cs="Times New Roman"/>
          <w:szCs w:val="24"/>
        </w:rPr>
        <w:t>roštátnej úrovni a na úrovni EÚ</w:t>
      </w:r>
      <w:r w:rsidRPr="00F32790">
        <w:rPr>
          <w:rFonts w:cs="Times New Roman"/>
          <w:szCs w:val="24"/>
        </w:rPr>
        <w:t xml:space="preserve"> a uľahčiť opakované využívanie údajov (sekundárne využívanie údajov) na účely výskumu, inovácií a verejnej politiky v celej EÚ. </w:t>
      </w:r>
      <w:r w:rsidR="00F94075" w:rsidRPr="004B4514">
        <w:rPr>
          <w:rFonts w:cs="Times New Roman"/>
          <w:szCs w:val="24"/>
        </w:rPr>
        <w:t xml:space="preserve">Návrh nariadenia o EHDS </w:t>
      </w:r>
      <w:r w:rsidR="00F94075">
        <w:rPr>
          <w:rFonts w:cs="Times New Roman"/>
          <w:szCs w:val="24"/>
        </w:rPr>
        <w:t xml:space="preserve">je kľúčovým pilierom </w:t>
      </w:r>
      <w:r w:rsidR="00F94075" w:rsidRPr="004B4514">
        <w:rPr>
          <w:rFonts w:cs="Times New Roman"/>
          <w:szCs w:val="24"/>
        </w:rPr>
        <w:t>Európskej zdravotníckej únie.</w:t>
      </w:r>
    </w:p>
    <w:p w14:paraId="4C8BBEEA" w14:textId="77777777" w:rsidR="003A425F" w:rsidRPr="00F32790" w:rsidRDefault="003A425F" w:rsidP="001734FE">
      <w:pPr>
        <w:shd w:val="clear" w:color="auto" w:fill="FFFFFF"/>
        <w:spacing w:after="0" w:line="240" w:lineRule="auto"/>
        <w:rPr>
          <w:rFonts w:cs="Times New Roman"/>
          <w:b/>
          <w:szCs w:val="24"/>
        </w:rPr>
      </w:pPr>
    </w:p>
    <w:p w14:paraId="2827FDD0" w14:textId="56F8F3C3" w:rsidR="003A425F" w:rsidRPr="00F32790" w:rsidRDefault="008C1099" w:rsidP="001734FE">
      <w:pPr>
        <w:shd w:val="clear" w:color="auto" w:fill="FFFFFF"/>
        <w:spacing w:after="0" w:line="240" w:lineRule="auto"/>
        <w:rPr>
          <w:rFonts w:cs="Times New Roman"/>
          <w:szCs w:val="24"/>
        </w:rPr>
      </w:pPr>
      <w:r>
        <w:rPr>
          <w:rFonts w:cs="Times New Roman"/>
          <w:szCs w:val="24"/>
        </w:rPr>
        <w:t>EK</w:t>
      </w:r>
      <w:r w:rsidRPr="00F32790">
        <w:rPr>
          <w:rFonts w:cs="Times New Roman"/>
          <w:szCs w:val="24"/>
        </w:rPr>
        <w:t xml:space="preserve"> </w:t>
      </w:r>
      <w:r w:rsidR="003A425F" w:rsidRPr="00F32790">
        <w:rPr>
          <w:rFonts w:cs="Times New Roman"/>
          <w:szCs w:val="24"/>
        </w:rPr>
        <w:t xml:space="preserve">predložila v roku 2022 aj </w:t>
      </w:r>
      <w:r w:rsidR="003A425F" w:rsidRPr="00F32790">
        <w:rPr>
          <w:rFonts w:cs="Times New Roman"/>
          <w:b/>
          <w:szCs w:val="24"/>
        </w:rPr>
        <w:t>Návrh nariadenia o normách kvality a bezpečnosti látok ľudského pôvodu určených na humánne použitie, ktorým sa zrušujú smernice 2002/98/ES a 2004/23/ES</w:t>
      </w:r>
      <w:r w:rsidR="005D0FFD">
        <w:rPr>
          <w:rStyle w:val="Odkaznapoznmkupodiarou"/>
          <w:b/>
          <w:szCs w:val="24"/>
        </w:rPr>
        <w:footnoteReference w:id="33"/>
      </w:r>
      <w:r w:rsidR="003A425F" w:rsidRPr="00F32790">
        <w:rPr>
          <w:rFonts w:cs="Times New Roman"/>
          <w:b/>
          <w:szCs w:val="24"/>
        </w:rPr>
        <w:t>.</w:t>
      </w:r>
      <w:r w:rsidR="003A425F" w:rsidRPr="00F32790">
        <w:rPr>
          <w:rFonts w:cs="Times New Roman"/>
          <w:szCs w:val="24"/>
        </w:rPr>
        <w:t xml:space="preserve"> Cieľom návrhu je posilniť existujúci právny rámec týkajúci sa krvi, tkanív </w:t>
      </w:r>
      <w:r w:rsidR="008967C8">
        <w:rPr>
          <w:rFonts w:cs="Times New Roman"/>
          <w:szCs w:val="24"/>
        </w:rPr>
        <w:br/>
      </w:r>
      <w:r w:rsidR="003A425F" w:rsidRPr="00F32790">
        <w:rPr>
          <w:rFonts w:cs="Times New Roman"/>
          <w:szCs w:val="24"/>
        </w:rPr>
        <w:t>a buniek upravením pravidiel a ich rozšírením na ďalšie látky ľudského pôvodu, plánovaný rámec umožní pružnejšiu aktualizáciu ustanovení v súlade s budúcim vedeckým  pokrokom, ako aj umožní lepšiu ochranu darcov, príjemcov a potomkov z lekársky asistovanej reprodukcie.</w:t>
      </w:r>
    </w:p>
    <w:p w14:paraId="35296A4E" w14:textId="77777777" w:rsidR="0022206E" w:rsidRPr="00F32790" w:rsidRDefault="0022206E" w:rsidP="001734FE">
      <w:pPr>
        <w:shd w:val="clear" w:color="auto" w:fill="FFFFFF"/>
        <w:spacing w:after="0" w:line="240" w:lineRule="auto"/>
        <w:rPr>
          <w:rFonts w:cs="Times New Roman"/>
          <w:szCs w:val="24"/>
        </w:rPr>
      </w:pPr>
    </w:p>
    <w:p w14:paraId="5528C9B1" w14:textId="761DD71B" w:rsidR="003A425F" w:rsidRPr="00F32790" w:rsidRDefault="005629DB" w:rsidP="001734FE">
      <w:pPr>
        <w:shd w:val="clear" w:color="auto" w:fill="FFFFFF"/>
        <w:spacing w:after="0" w:line="240" w:lineRule="auto"/>
        <w:rPr>
          <w:rFonts w:cs="Times New Roman"/>
          <w:szCs w:val="24"/>
        </w:rPr>
      </w:pPr>
      <w:r w:rsidRPr="00F32790">
        <w:rPr>
          <w:rFonts w:cs="Times New Roman"/>
          <w:szCs w:val="24"/>
        </w:rPr>
        <w:t xml:space="preserve">Rada EPSCO v decembri 2022 schválila </w:t>
      </w:r>
      <w:r w:rsidR="003A425F" w:rsidRPr="00F32790">
        <w:rPr>
          <w:rFonts w:cs="Times New Roman"/>
          <w:b/>
          <w:szCs w:val="24"/>
        </w:rPr>
        <w:t>Odporúčani</w:t>
      </w:r>
      <w:r w:rsidRPr="00F32790">
        <w:rPr>
          <w:rFonts w:cs="Times New Roman"/>
          <w:b/>
          <w:szCs w:val="24"/>
        </w:rPr>
        <w:t>e</w:t>
      </w:r>
      <w:r w:rsidR="003A425F" w:rsidRPr="00F32790">
        <w:rPr>
          <w:rFonts w:cs="Times New Roman"/>
          <w:b/>
          <w:szCs w:val="24"/>
        </w:rPr>
        <w:t xml:space="preserve"> Rady </w:t>
      </w:r>
      <w:r w:rsidR="00006427">
        <w:rPr>
          <w:rFonts w:cs="Times New Roman"/>
          <w:b/>
          <w:szCs w:val="24"/>
        </w:rPr>
        <w:t xml:space="preserve">EÚ </w:t>
      </w:r>
      <w:r w:rsidR="003A425F" w:rsidRPr="00F32790">
        <w:rPr>
          <w:rFonts w:cs="Times New Roman"/>
          <w:b/>
          <w:szCs w:val="24"/>
        </w:rPr>
        <w:t>o posilnení prevencie prostredníctvom skorej detekcie: Nový prístup EÚ ku skríningu rakoviny</w:t>
      </w:r>
      <w:r w:rsidR="003A425F" w:rsidRPr="00F32790">
        <w:rPr>
          <w:rFonts w:cs="Times New Roman"/>
          <w:szCs w:val="24"/>
        </w:rPr>
        <w:t xml:space="preserve">. </w:t>
      </w:r>
      <w:r w:rsidRPr="00F32790">
        <w:rPr>
          <w:rFonts w:cs="Times New Roman"/>
          <w:szCs w:val="24"/>
        </w:rPr>
        <w:t>O</w:t>
      </w:r>
      <w:r w:rsidR="003A425F" w:rsidRPr="00F32790">
        <w:rPr>
          <w:rFonts w:cs="Times New Roman"/>
          <w:szCs w:val="24"/>
        </w:rPr>
        <w:t xml:space="preserve">dporúčanie navrhuje rozšíriť skríningové programy  o ďalšie typy rakoviny (pľúc, žalúdka a prostaty). </w:t>
      </w:r>
    </w:p>
    <w:p w14:paraId="18CE80B7" w14:textId="77777777" w:rsidR="003A425F" w:rsidRPr="00F32790" w:rsidRDefault="003A425F" w:rsidP="001734FE">
      <w:pPr>
        <w:shd w:val="clear" w:color="auto" w:fill="FFFFFF"/>
        <w:spacing w:after="0" w:line="240" w:lineRule="auto"/>
        <w:rPr>
          <w:rFonts w:cs="Times New Roman"/>
          <w:b/>
          <w:szCs w:val="24"/>
        </w:rPr>
      </w:pPr>
    </w:p>
    <w:p w14:paraId="5B989FEC" w14:textId="30AD9B0D" w:rsidR="003A425F" w:rsidRPr="00F32790" w:rsidRDefault="00422C09" w:rsidP="001734FE">
      <w:pPr>
        <w:shd w:val="clear" w:color="auto" w:fill="FFFFFF"/>
        <w:spacing w:after="0" w:line="240" w:lineRule="auto"/>
        <w:rPr>
          <w:rFonts w:cs="Times New Roman"/>
          <w:szCs w:val="24"/>
        </w:rPr>
      </w:pPr>
      <w:r w:rsidRPr="00F32790">
        <w:rPr>
          <w:rFonts w:cs="Times New Roman"/>
          <w:szCs w:val="24"/>
        </w:rPr>
        <w:t xml:space="preserve">ER v decembri 2022 </w:t>
      </w:r>
      <w:r w:rsidR="0022206E" w:rsidRPr="00F32790">
        <w:rPr>
          <w:rFonts w:cs="Times New Roman"/>
          <w:szCs w:val="24"/>
        </w:rPr>
        <w:t>prijala</w:t>
      </w:r>
      <w:r w:rsidR="0022206E" w:rsidRPr="00F32790">
        <w:rPr>
          <w:rFonts w:cs="Times New Roman"/>
          <w:b/>
          <w:szCs w:val="24"/>
        </w:rPr>
        <w:t xml:space="preserve"> </w:t>
      </w:r>
      <w:r w:rsidR="00A374FF" w:rsidRPr="00A374FF">
        <w:rPr>
          <w:rFonts w:cs="Times New Roman"/>
          <w:szCs w:val="24"/>
        </w:rPr>
        <w:t>závery o</w:t>
      </w:r>
      <w:r w:rsidR="003A425F" w:rsidRPr="00F32790">
        <w:rPr>
          <w:rFonts w:cs="Times New Roman"/>
          <w:b/>
          <w:szCs w:val="24"/>
        </w:rPr>
        <w:t xml:space="preserve"> </w:t>
      </w:r>
      <w:r w:rsidR="003A425F" w:rsidRPr="00336376">
        <w:rPr>
          <w:rFonts w:cs="Times New Roman"/>
          <w:szCs w:val="24"/>
        </w:rPr>
        <w:t xml:space="preserve">očkovaní </w:t>
      </w:r>
      <w:r w:rsidR="003A425F" w:rsidRPr="00F32790">
        <w:rPr>
          <w:rFonts w:cs="Times New Roman"/>
          <w:szCs w:val="24"/>
        </w:rPr>
        <w:t>ako jednom z najúčinnejších nástrojov na prevenciu chorôb a zlepšenie verejného zdravia.</w:t>
      </w:r>
      <w:r w:rsidRPr="00F32790">
        <w:rPr>
          <w:rFonts w:cs="Times New Roman"/>
          <w:szCs w:val="24"/>
        </w:rPr>
        <w:t xml:space="preserve"> </w:t>
      </w:r>
      <w:r w:rsidR="003A425F" w:rsidRPr="00F32790">
        <w:rPr>
          <w:rFonts w:cs="Times New Roman"/>
          <w:szCs w:val="24"/>
        </w:rPr>
        <w:t xml:space="preserve">Závery </w:t>
      </w:r>
      <w:r w:rsidRPr="00F32790">
        <w:rPr>
          <w:rFonts w:cs="Times New Roman"/>
          <w:szCs w:val="24"/>
        </w:rPr>
        <w:t xml:space="preserve">ER </w:t>
      </w:r>
      <w:r w:rsidR="003A425F" w:rsidRPr="00F32790">
        <w:rPr>
          <w:rFonts w:cs="Times New Roman"/>
          <w:szCs w:val="24"/>
        </w:rPr>
        <w:t xml:space="preserve">sa zaoberajú problémom váhania s očkovaním a vyzdvihujú hodnotu spolupráce EÚ pri prevencii </w:t>
      </w:r>
      <w:r w:rsidR="008967C8">
        <w:rPr>
          <w:rFonts w:cs="Times New Roman"/>
          <w:szCs w:val="24"/>
        </w:rPr>
        <w:br/>
      </w:r>
      <w:r w:rsidR="003A425F" w:rsidRPr="00F32790">
        <w:rPr>
          <w:rFonts w:cs="Times New Roman"/>
          <w:szCs w:val="24"/>
        </w:rPr>
        <w:t xml:space="preserve">a obmedzovaní šírenia ochorení, ktorým možno predchádzať očkovaním. </w:t>
      </w:r>
    </w:p>
    <w:p w14:paraId="093BF4E2" w14:textId="77777777" w:rsidR="003A425F" w:rsidRPr="00F32790" w:rsidRDefault="003A425F" w:rsidP="001734FE">
      <w:pPr>
        <w:shd w:val="clear" w:color="auto" w:fill="FFFFFF"/>
        <w:spacing w:after="0" w:line="240" w:lineRule="auto"/>
        <w:rPr>
          <w:rFonts w:cs="Times New Roman"/>
          <w:szCs w:val="24"/>
        </w:rPr>
      </w:pPr>
    </w:p>
    <w:p w14:paraId="509D290F" w14:textId="200DDA3B" w:rsidR="003A425F" w:rsidRPr="00F32790" w:rsidRDefault="00422C09" w:rsidP="001734FE">
      <w:pPr>
        <w:shd w:val="clear" w:color="auto" w:fill="FFFFFF"/>
        <w:spacing w:after="0" w:line="240" w:lineRule="auto"/>
        <w:rPr>
          <w:rFonts w:cs="Times New Roman"/>
          <w:szCs w:val="24"/>
        </w:rPr>
      </w:pPr>
      <w:r w:rsidRPr="00F32790">
        <w:rPr>
          <w:rFonts w:cs="Times New Roman"/>
          <w:szCs w:val="24"/>
        </w:rPr>
        <w:lastRenderedPageBreak/>
        <w:t>N</w:t>
      </w:r>
      <w:r w:rsidR="003A425F" w:rsidRPr="00F32790">
        <w:rPr>
          <w:rFonts w:cs="Times New Roman"/>
          <w:szCs w:val="24"/>
        </w:rPr>
        <w:t xml:space="preserve">a pravidelnom zasadnutí </w:t>
      </w:r>
      <w:r w:rsidR="003A425F" w:rsidRPr="00F32790">
        <w:rPr>
          <w:rFonts w:cs="Times New Roman"/>
          <w:b/>
          <w:szCs w:val="24"/>
        </w:rPr>
        <w:t>Integrovanej politickej krízovej odozvy</w:t>
      </w:r>
      <w:r w:rsidR="003A425F" w:rsidRPr="00F32790">
        <w:rPr>
          <w:rFonts w:cs="Times New Roman"/>
          <w:szCs w:val="24"/>
        </w:rPr>
        <w:t xml:space="preserve"> sa zdieľali informácie o epidemiologickej situácii a epidemiologických  opatreniach členských štátov  a koordinovali sa harmonizované podmienky cestovania</w:t>
      </w:r>
      <w:r w:rsidRPr="00F32790">
        <w:rPr>
          <w:rFonts w:cs="Times New Roman"/>
          <w:szCs w:val="24"/>
        </w:rPr>
        <w:t xml:space="preserve">. </w:t>
      </w:r>
      <w:r w:rsidR="008C1099">
        <w:rPr>
          <w:rFonts w:cs="Times New Roman"/>
          <w:szCs w:val="24"/>
        </w:rPr>
        <w:t>EK</w:t>
      </w:r>
      <w:r w:rsidR="008C1099" w:rsidRPr="00F32790">
        <w:rPr>
          <w:rFonts w:cs="Times New Roman"/>
          <w:szCs w:val="24"/>
        </w:rPr>
        <w:t xml:space="preserve"> </w:t>
      </w:r>
      <w:r w:rsidR="003A425F" w:rsidRPr="00F32790">
        <w:rPr>
          <w:rFonts w:cs="Times New Roman"/>
          <w:szCs w:val="24"/>
        </w:rPr>
        <w:t xml:space="preserve">predložila </w:t>
      </w:r>
      <w:r w:rsidRPr="00F32790">
        <w:rPr>
          <w:rFonts w:cs="Times New Roman"/>
          <w:szCs w:val="24"/>
        </w:rPr>
        <w:t>n</w:t>
      </w:r>
      <w:r w:rsidR="003A425F" w:rsidRPr="00F32790">
        <w:rPr>
          <w:rFonts w:cs="Times New Roman"/>
          <w:szCs w:val="24"/>
        </w:rPr>
        <w:t xml:space="preserve">ávrh Odporúčania Rady </w:t>
      </w:r>
      <w:r w:rsidR="00006427">
        <w:rPr>
          <w:rFonts w:cs="Times New Roman"/>
          <w:szCs w:val="24"/>
        </w:rPr>
        <w:t xml:space="preserve">EÚ </w:t>
      </w:r>
      <w:r w:rsidR="008967C8">
        <w:rPr>
          <w:rFonts w:cs="Times New Roman"/>
          <w:szCs w:val="24"/>
        </w:rPr>
        <w:br/>
      </w:r>
      <w:r w:rsidR="003A425F" w:rsidRPr="00F32790">
        <w:rPr>
          <w:rFonts w:cs="Times New Roman"/>
          <w:szCs w:val="24"/>
        </w:rPr>
        <w:t>o</w:t>
      </w:r>
      <w:r w:rsidR="003A425F" w:rsidRPr="00F32790">
        <w:rPr>
          <w:rFonts w:cs="Times New Roman"/>
          <w:b/>
          <w:szCs w:val="24"/>
        </w:rPr>
        <w:t xml:space="preserve"> koordinovanom prístupe k cestovaniu do Únie počas pandémie COVID-19</w:t>
      </w:r>
      <w:r w:rsidR="00006427">
        <w:rPr>
          <w:rStyle w:val="Odkaznapoznmkupodiarou"/>
          <w:b/>
          <w:szCs w:val="24"/>
        </w:rPr>
        <w:footnoteReference w:id="34"/>
      </w:r>
      <w:r w:rsidR="003A425F" w:rsidRPr="00F32790">
        <w:rPr>
          <w:rFonts w:cs="Times New Roman"/>
          <w:b/>
          <w:szCs w:val="24"/>
        </w:rPr>
        <w:t xml:space="preserve">, </w:t>
      </w:r>
      <w:r w:rsidR="003A425F" w:rsidRPr="00F32790">
        <w:rPr>
          <w:rFonts w:cs="Times New Roman"/>
          <w:szCs w:val="24"/>
        </w:rPr>
        <w:t>ktorým sa nahrádza o</w:t>
      </w:r>
      <w:r w:rsidRPr="00F32790">
        <w:rPr>
          <w:rFonts w:cs="Times New Roman"/>
          <w:szCs w:val="24"/>
        </w:rPr>
        <w:t xml:space="preserve">dporúčanie Rady (EÚ) 2020/912. </w:t>
      </w:r>
      <w:r w:rsidR="003A425F" w:rsidRPr="00F32790">
        <w:rPr>
          <w:rFonts w:cs="Times New Roman"/>
          <w:szCs w:val="24"/>
        </w:rPr>
        <w:t xml:space="preserve">Najdôležitejšou úpravou v návrhu odporúčania je odstránenie prílohy II - zoznamu bezpečných tretích krajín, čím sa odstráni zbytočná administratívna záťaž vzhľadom na jej pravidelné </w:t>
      </w:r>
      <w:r w:rsidR="005D0FFD">
        <w:rPr>
          <w:rFonts w:cs="Times New Roman"/>
          <w:szCs w:val="24"/>
        </w:rPr>
        <w:t>zmeny</w:t>
      </w:r>
      <w:r w:rsidR="003A425F" w:rsidRPr="00F32790">
        <w:rPr>
          <w:rFonts w:cs="Times New Roman"/>
          <w:szCs w:val="24"/>
        </w:rPr>
        <w:t xml:space="preserve">. </w:t>
      </w:r>
      <w:r w:rsidR="008C1099">
        <w:rPr>
          <w:rFonts w:cs="Times New Roman"/>
          <w:szCs w:val="24"/>
        </w:rPr>
        <w:t>EK</w:t>
      </w:r>
      <w:r w:rsidR="008C1099" w:rsidRPr="00F32790">
        <w:rPr>
          <w:rFonts w:cs="Times New Roman"/>
          <w:szCs w:val="24"/>
        </w:rPr>
        <w:t xml:space="preserve"> </w:t>
      </w:r>
      <w:r w:rsidR="003A425F" w:rsidRPr="00F32790">
        <w:rPr>
          <w:rFonts w:cs="Times New Roman"/>
          <w:szCs w:val="24"/>
        </w:rPr>
        <w:t xml:space="preserve">predložila aj </w:t>
      </w:r>
      <w:r w:rsidR="003A425F" w:rsidRPr="0057393C">
        <w:rPr>
          <w:rFonts w:cs="Times New Roman"/>
          <w:szCs w:val="24"/>
        </w:rPr>
        <w:t>Návrh odporúčania Rady</w:t>
      </w:r>
      <w:r w:rsidR="00255782">
        <w:rPr>
          <w:rFonts w:cs="Times New Roman"/>
          <w:szCs w:val="24"/>
        </w:rPr>
        <w:t xml:space="preserve"> EÚ</w:t>
      </w:r>
      <w:r w:rsidR="003A425F" w:rsidRPr="0057393C">
        <w:rPr>
          <w:rFonts w:cs="Times New Roman"/>
          <w:szCs w:val="24"/>
        </w:rPr>
        <w:t>, ktorým sa mení odporúčanie Rady EÚ 2022/107 o koordinovanom prístupe na uľahčenie bezpečného voľného pohybu počas pandémie COVID-19.</w:t>
      </w:r>
      <w:r w:rsidR="003A425F" w:rsidRPr="00F32790">
        <w:rPr>
          <w:rFonts w:cs="Times New Roman"/>
          <w:b/>
          <w:szCs w:val="24"/>
        </w:rPr>
        <w:t xml:space="preserve"> </w:t>
      </w:r>
      <w:r w:rsidR="003A425F" w:rsidRPr="00F32790">
        <w:rPr>
          <w:rFonts w:cs="Times New Roman"/>
          <w:szCs w:val="24"/>
        </w:rPr>
        <w:t xml:space="preserve">Boli </w:t>
      </w:r>
      <w:proofErr w:type="spellStart"/>
      <w:r w:rsidR="003A425F" w:rsidRPr="00F32790">
        <w:rPr>
          <w:rFonts w:cs="Times New Roman"/>
          <w:szCs w:val="24"/>
        </w:rPr>
        <w:t>prekvalifikované</w:t>
      </w:r>
      <w:proofErr w:type="spellEnd"/>
      <w:r w:rsidR="003A425F" w:rsidRPr="00F32790">
        <w:rPr>
          <w:rFonts w:cs="Times New Roman"/>
          <w:szCs w:val="24"/>
        </w:rPr>
        <w:t xml:space="preserve"> pojmy ako „vážne zhoršenie situácie“, zmenili sa podmienky platnosti certifikátu o testovaní pri NAAT (PCR) testoch,  pri RAT testoch sa 24 hodín pred príchodom zmenilo na 24 hodín pred odchodom. Do výnimiek boli doplnené </w:t>
      </w:r>
      <w:r w:rsidR="005D0FFD">
        <w:rPr>
          <w:rFonts w:cs="Times New Roman"/>
          <w:szCs w:val="24"/>
        </w:rPr>
        <w:t>ď</w:t>
      </w:r>
      <w:r w:rsidR="003A425F" w:rsidRPr="00F32790">
        <w:rPr>
          <w:rFonts w:cs="Times New Roman"/>
          <w:szCs w:val="24"/>
        </w:rPr>
        <w:t>alšie kategórie osôb s esenciálnou funkciou. Pred spustením núdzovej brzdy členským štátom by sa malo v priebehu do 48 hodín  zvolať  IPCR, aby sa prerokovala potreba koordinovaných opatrení v celej EÚ s cieľom oddialiť šírenie nového variantu. Odporúčania boli schválené na Rade GAC 13/12.</w:t>
      </w:r>
    </w:p>
    <w:p w14:paraId="383D15AB" w14:textId="77777777" w:rsidR="003A425F" w:rsidRPr="00F32790" w:rsidRDefault="003A425F" w:rsidP="001734FE">
      <w:pPr>
        <w:shd w:val="clear" w:color="auto" w:fill="FFFFFF"/>
        <w:spacing w:after="0" w:line="240" w:lineRule="auto"/>
        <w:rPr>
          <w:rFonts w:cs="Times New Roman"/>
          <w:szCs w:val="24"/>
        </w:rPr>
      </w:pPr>
    </w:p>
    <w:p w14:paraId="167BE4DD" w14:textId="55FB821C" w:rsidR="003A425F" w:rsidRPr="00F32790" w:rsidRDefault="005D0FFD" w:rsidP="001734FE">
      <w:pPr>
        <w:spacing w:after="0" w:line="240" w:lineRule="auto"/>
        <w:rPr>
          <w:rFonts w:cs="Times New Roman"/>
          <w:szCs w:val="24"/>
        </w:rPr>
      </w:pPr>
      <w:r>
        <w:rPr>
          <w:rFonts w:cs="Times New Roman"/>
          <w:szCs w:val="24"/>
        </w:rPr>
        <w:t>Jednou</w:t>
      </w:r>
      <w:r w:rsidR="003A425F" w:rsidRPr="00F32790">
        <w:rPr>
          <w:rFonts w:cs="Times New Roman"/>
          <w:szCs w:val="24"/>
        </w:rPr>
        <w:t xml:space="preserve"> z kľúčových tém </w:t>
      </w:r>
      <w:r w:rsidR="003A425F" w:rsidRPr="00F32790">
        <w:rPr>
          <w:rFonts w:cs="Times New Roman"/>
          <w:b/>
          <w:szCs w:val="24"/>
        </w:rPr>
        <w:t>Výboru pre zdravotnú bezpečnosť</w:t>
      </w:r>
      <w:r w:rsidR="003A425F" w:rsidRPr="00F32790">
        <w:rPr>
          <w:rFonts w:cs="Times New Roman"/>
          <w:szCs w:val="24"/>
        </w:rPr>
        <w:t xml:space="preserve"> </w:t>
      </w:r>
      <w:r w:rsidR="00BD76AD" w:rsidRPr="00F32790">
        <w:rPr>
          <w:rFonts w:eastAsia="Calibri" w:cs="Times New Roman"/>
          <w:bCs/>
          <w:szCs w:val="24"/>
        </w:rPr>
        <w:t>(</w:t>
      </w:r>
      <w:r w:rsidR="0057393C">
        <w:rPr>
          <w:rFonts w:eastAsia="Calibri" w:cs="Times New Roman"/>
          <w:bCs/>
          <w:szCs w:val="24"/>
        </w:rPr>
        <w:t>ďalej „</w:t>
      </w:r>
      <w:r w:rsidR="00BD76AD" w:rsidRPr="00F32790">
        <w:rPr>
          <w:rFonts w:eastAsia="Calibri" w:cs="Times New Roman"/>
          <w:bCs/>
          <w:szCs w:val="24"/>
        </w:rPr>
        <w:t>HSC</w:t>
      </w:r>
      <w:r w:rsidR="0057393C">
        <w:rPr>
          <w:rFonts w:eastAsia="Calibri" w:cs="Times New Roman"/>
          <w:bCs/>
          <w:szCs w:val="24"/>
        </w:rPr>
        <w:t>“</w:t>
      </w:r>
      <w:r w:rsidR="00BD76AD" w:rsidRPr="00F32790">
        <w:rPr>
          <w:rFonts w:eastAsia="Calibri" w:cs="Times New Roman"/>
          <w:bCs/>
          <w:szCs w:val="24"/>
        </w:rPr>
        <w:t xml:space="preserve">) </w:t>
      </w:r>
      <w:r w:rsidR="003A425F" w:rsidRPr="00F32790">
        <w:rPr>
          <w:rFonts w:cs="Times New Roman"/>
          <w:szCs w:val="24"/>
        </w:rPr>
        <w:t xml:space="preserve">naďalej </w:t>
      </w:r>
      <w:r>
        <w:rPr>
          <w:rFonts w:cs="Times New Roman"/>
          <w:szCs w:val="24"/>
        </w:rPr>
        <w:t>bola</w:t>
      </w:r>
      <w:r w:rsidRPr="00F32790">
        <w:rPr>
          <w:rFonts w:cs="Times New Roman"/>
          <w:szCs w:val="24"/>
        </w:rPr>
        <w:t xml:space="preserve"> </w:t>
      </w:r>
      <w:r w:rsidR="003A425F" w:rsidRPr="00F32790">
        <w:rPr>
          <w:rFonts w:cs="Times New Roman"/>
          <w:szCs w:val="24"/>
        </w:rPr>
        <w:t xml:space="preserve">pandémia ochorenia COVID-19 (pravidelná výmena aktuálnych epidemiologických informácií medzi členskými štátmi), ako aj </w:t>
      </w:r>
      <w:proofErr w:type="spellStart"/>
      <w:r w:rsidR="003A425F" w:rsidRPr="00F32790">
        <w:rPr>
          <w:rFonts w:cs="Times New Roman"/>
          <w:szCs w:val="24"/>
        </w:rPr>
        <w:t>postpandemické</w:t>
      </w:r>
      <w:proofErr w:type="spellEnd"/>
      <w:r w:rsidR="003A425F" w:rsidRPr="00F32790">
        <w:rPr>
          <w:rFonts w:cs="Times New Roman"/>
          <w:szCs w:val="24"/>
        </w:rPr>
        <w:t xml:space="preserve"> inštrumenty riešenia závažných cezhraničných ohrození zdravia v budúcnosti. Medzi </w:t>
      </w:r>
      <w:r w:rsidR="003A425F" w:rsidRPr="00F32790">
        <w:rPr>
          <w:rFonts w:cs="Times New Roman"/>
          <w:i/>
          <w:iCs/>
          <w:szCs w:val="24"/>
        </w:rPr>
        <w:t>ad hoc</w:t>
      </w:r>
      <w:r w:rsidR="003A425F" w:rsidRPr="00F32790">
        <w:rPr>
          <w:rFonts w:cs="Times New Roman"/>
          <w:szCs w:val="24"/>
        </w:rPr>
        <w:t xml:space="preserve"> témy, ktoré boli medzi členskými štátmi na úrovni HSC diskutované, patrila situácia v súvislosti s vypuknutím vojnového konfliktu na Ukrajine a s tým súvisiaca migračná vlna, manažment poskytovania zdravotnej starostlivosti ukrajinským odídencom, medicínska evakuácia ukrajinských pacientov prostredníctvom systému </w:t>
      </w:r>
      <w:proofErr w:type="spellStart"/>
      <w:r w:rsidR="003A425F" w:rsidRPr="00F32790">
        <w:rPr>
          <w:rFonts w:cs="Times New Roman"/>
          <w:szCs w:val="24"/>
        </w:rPr>
        <w:t>Early</w:t>
      </w:r>
      <w:proofErr w:type="spellEnd"/>
      <w:r w:rsidR="003A425F" w:rsidRPr="00F32790">
        <w:rPr>
          <w:rFonts w:cs="Times New Roman"/>
          <w:szCs w:val="24"/>
        </w:rPr>
        <w:t xml:space="preserve"> </w:t>
      </w:r>
      <w:proofErr w:type="spellStart"/>
      <w:r w:rsidR="003A425F" w:rsidRPr="00F32790">
        <w:rPr>
          <w:rFonts w:cs="Times New Roman"/>
          <w:szCs w:val="24"/>
        </w:rPr>
        <w:t>Warning</w:t>
      </w:r>
      <w:proofErr w:type="spellEnd"/>
      <w:r w:rsidR="003A425F" w:rsidRPr="00F32790">
        <w:rPr>
          <w:rFonts w:cs="Times New Roman"/>
          <w:szCs w:val="24"/>
        </w:rPr>
        <w:t xml:space="preserve"> and </w:t>
      </w:r>
      <w:proofErr w:type="spellStart"/>
      <w:r w:rsidR="003A425F" w:rsidRPr="00F32790">
        <w:rPr>
          <w:rFonts w:cs="Times New Roman"/>
          <w:szCs w:val="24"/>
        </w:rPr>
        <w:t>Response</w:t>
      </w:r>
      <w:proofErr w:type="spellEnd"/>
      <w:r w:rsidR="003A425F" w:rsidRPr="00F32790">
        <w:rPr>
          <w:rFonts w:cs="Times New Roman"/>
          <w:szCs w:val="24"/>
        </w:rPr>
        <w:t xml:space="preserve"> </w:t>
      </w:r>
      <w:proofErr w:type="spellStart"/>
      <w:r w:rsidR="003A425F" w:rsidRPr="00F32790">
        <w:rPr>
          <w:rFonts w:cs="Times New Roman"/>
          <w:szCs w:val="24"/>
        </w:rPr>
        <w:t>System</w:t>
      </w:r>
      <w:proofErr w:type="spellEnd"/>
      <w:r w:rsidR="003A425F" w:rsidRPr="00F32790">
        <w:rPr>
          <w:rFonts w:cs="Times New Roman"/>
          <w:szCs w:val="24"/>
        </w:rPr>
        <w:t xml:space="preserve"> (</w:t>
      </w:r>
      <w:r w:rsidR="0057393C">
        <w:rPr>
          <w:rFonts w:cs="Times New Roman"/>
          <w:szCs w:val="24"/>
        </w:rPr>
        <w:t>ďalej „</w:t>
      </w:r>
      <w:r w:rsidR="003A425F" w:rsidRPr="00F32790">
        <w:rPr>
          <w:rFonts w:cs="Times New Roman"/>
          <w:szCs w:val="24"/>
        </w:rPr>
        <w:t>EWRS</w:t>
      </w:r>
      <w:r w:rsidR="0057393C">
        <w:rPr>
          <w:rFonts w:cs="Times New Roman"/>
          <w:szCs w:val="24"/>
        </w:rPr>
        <w:t>“</w:t>
      </w:r>
      <w:r w:rsidR="003A425F" w:rsidRPr="00F32790">
        <w:rPr>
          <w:rFonts w:cs="Times New Roman"/>
          <w:szCs w:val="24"/>
        </w:rPr>
        <w:t>) – v tejto súvislosti zorganizovala HSC niekoľko samostatných online stretnutí so susediacimi štátmi Ukrajiny</w:t>
      </w:r>
      <w:r w:rsidR="00BD76AD" w:rsidRPr="00F32790">
        <w:rPr>
          <w:rFonts w:cs="Times New Roman"/>
          <w:szCs w:val="24"/>
        </w:rPr>
        <w:t>.</w:t>
      </w:r>
    </w:p>
    <w:p w14:paraId="2A07C24F" w14:textId="77777777" w:rsidR="003A425F" w:rsidRPr="00F32790" w:rsidRDefault="003A425F" w:rsidP="001734FE">
      <w:pPr>
        <w:spacing w:after="0" w:line="240" w:lineRule="auto"/>
        <w:rPr>
          <w:rFonts w:eastAsia="Calibri" w:cs="Times New Roman"/>
          <w:b/>
          <w:bCs/>
          <w:szCs w:val="24"/>
        </w:rPr>
      </w:pPr>
    </w:p>
    <w:p w14:paraId="43849F7C" w14:textId="3943D116" w:rsidR="003A425F" w:rsidRPr="00F32790" w:rsidRDefault="00FF40FB" w:rsidP="001734FE">
      <w:pPr>
        <w:spacing w:after="0" w:line="240" w:lineRule="auto"/>
        <w:rPr>
          <w:rFonts w:cs="Times New Roman"/>
          <w:szCs w:val="24"/>
        </w:rPr>
      </w:pPr>
      <w:r w:rsidRPr="00F32790">
        <w:rPr>
          <w:rFonts w:eastAsia="Calibri" w:cs="Times New Roman"/>
          <w:b/>
          <w:bCs/>
          <w:szCs w:val="24"/>
        </w:rPr>
        <w:t xml:space="preserve">Európske centrum pre prevenciu a kontrolu chorôb </w:t>
      </w:r>
      <w:r w:rsidR="003A425F" w:rsidRPr="0057393C">
        <w:rPr>
          <w:rFonts w:eastAsia="Calibri" w:cs="Times New Roman"/>
          <w:bCs/>
          <w:szCs w:val="24"/>
        </w:rPr>
        <w:t>(</w:t>
      </w:r>
      <w:r w:rsidR="0057393C" w:rsidRPr="0057393C">
        <w:rPr>
          <w:rFonts w:eastAsia="Calibri" w:cs="Times New Roman"/>
          <w:bCs/>
          <w:szCs w:val="24"/>
        </w:rPr>
        <w:t>ďalej „</w:t>
      </w:r>
      <w:r w:rsidR="003A425F" w:rsidRPr="0057393C">
        <w:rPr>
          <w:rFonts w:eastAsia="Calibri" w:cs="Times New Roman"/>
          <w:bCs/>
          <w:szCs w:val="24"/>
        </w:rPr>
        <w:t>ECDC</w:t>
      </w:r>
      <w:r w:rsidR="0057393C" w:rsidRPr="0057393C">
        <w:rPr>
          <w:rFonts w:eastAsia="Calibri" w:cs="Times New Roman"/>
          <w:bCs/>
          <w:szCs w:val="24"/>
        </w:rPr>
        <w:t>“</w:t>
      </w:r>
      <w:r w:rsidR="003A425F" w:rsidRPr="0057393C">
        <w:rPr>
          <w:rFonts w:eastAsia="Calibri" w:cs="Times New Roman"/>
          <w:bCs/>
          <w:szCs w:val="24"/>
        </w:rPr>
        <w:t>)</w:t>
      </w:r>
      <w:r w:rsidR="00BD76AD" w:rsidRPr="00F32790">
        <w:rPr>
          <w:rFonts w:eastAsia="Calibri" w:cs="Times New Roman"/>
          <w:b/>
          <w:bCs/>
          <w:szCs w:val="24"/>
        </w:rPr>
        <w:t xml:space="preserve"> </w:t>
      </w:r>
      <w:r w:rsidR="00BD76AD" w:rsidRPr="00F32790">
        <w:rPr>
          <w:rFonts w:eastAsia="Calibri" w:cs="Times New Roman"/>
          <w:bCs/>
          <w:szCs w:val="24"/>
        </w:rPr>
        <w:t>n</w:t>
      </w:r>
      <w:r w:rsidR="003A425F" w:rsidRPr="00F32790">
        <w:rPr>
          <w:rFonts w:cs="Times New Roman"/>
          <w:szCs w:val="24"/>
        </w:rPr>
        <w:t xml:space="preserve">aďalej poskytovalo členským štátom </w:t>
      </w:r>
      <w:r w:rsidR="003A425F" w:rsidRPr="0057393C">
        <w:rPr>
          <w:rFonts w:cs="Times New Roman"/>
          <w:b/>
          <w:iCs/>
          <w:szCs w:val="24"/>
        </w:rPr>
        <w:t xml:space="preserve">Rapid Risk </w:t>
      </w:r>
      <w:proofErr w:type="spellStart"/>
      <w:r w:rsidR="003A425F" w:rsidRPr="0057393C">
        <w:rPr>
          <w:rFonts w:cs="Times New Roman"/>
          <w:b/>
          <w:iCs/>
          <w:szCs w:val="24"/>
        </w:rPr>
        <w:t>Assessments</w:t>
      </w:r>
      <w:proofErr w:type="spellEnd"/>
      <w:r w:rsidR="003A425F" w:rsidRPr="00F32790">
        <w:rPr>
          <w:rFonts w:cs="Times New Roman"/>
          <w:szCs w:val="24"/>
        </w:rPr>
        <w:t xml:space="preserve"> ohľadom ochorenia COVID-19, ako aj o iných vyskytujúcich sa ochoreniach (opičie kiahne, hepatitída neznámeho pôvodu u detí, starostlivosť o odídencov z Ukrajiny a i.). V súvislosti so situáciou na Ukrajine bola vo februári 2022 vytvorená </w:t>
      </w:r>
      <w:proofErr w:type="spellStart"/>
      <w:r w:rsidR="003A425F" w:rsidRPr="00F32790">
        <w:rPr>
          <w:rFonts w:cs="Times New Roman"/>
          <w:b/>
          <w:szCs w:val="24"/>
        </w:rPr>
        <w:t>Ukraine</w:t>
      </w:r>
      <w:proofErr w:type="spellEnd"/>
      <w:r w:rsidR="003A425F" w:rsidRPr="00F32790">
        <w:rPr>
          <w:rFonts w:cs="Times New Roman"/>
          <w:b/>
          <w:szCs w:val="24"/>
        </w:rPr>
        <w:t xml:space="preserve"> </w:t>
      </w:r>
      <w:proofErr w:type="spellStart"/>
      <w:r w:rsidR="003A425F" w:rsidRPr="00F32790">
        <w:rPr>
          <w:rFonts w:cs="Times New Roman"/>
          <w:b/>
          <w:szCs w:val="24"/>
        </w:rPr>
        <w:t>Task</w:t>
      </w:r>
      <w:proofErr w:type="spellEnd"/>
      <w:r w:rsidR="003A425F" w:rsidRPr="00F32790">
        <w:rPr>
          <w:rFonts w:cs="Times New Roman"/>
          <w:b/>
          <w:szCs w:val="24"/>
        </w:rPr>
        <w:t xml:space="preserve"> </w:t>
      </w:r>
      <w:proofErr w:type="spellStart"/>
      <w:r w:rsidR="003A425F" w:rsidRPr="00F32790">
        <w:rPr>
          <w:rFonts w:cs="Times New Roman"/>
          <w:b/>
          <w:szCs w:val="24"/>
        </w:rPr>
        <w:t>Force</w:t>
      </w:r>
      <w:proofErr w:type="spellEnd"/>
      <w:r w:rsidR="003A425F" w:rsidRPr="00F32790">
        <w:rPr>
          <w:rFonts w:cs="Times New Roman"/>
          <w:b/>
          <w:szCs w:val="24"/>
        </w:rPr>
        <w:t xml:space="preserve"> ECDC</w:t>
      </w:r>
      <w:r w:rsidR="003A425F" w:rsidRPr="00F32790">
        <w:rPr>
          <w:rFonts w:cs="Times New Roman"/>
          <w:szCs w:val="24"/>
        </w:rPr>
        <w:t>, ktorá na pravidelnej báze organizovala stretnutia so susediacimi štátmi s</w:t>
      </w:r>
      <w:r w:rsidR="00D51558">
        <w:rPr>
          <w:rFonts w:cs="Times New Roman"/>
          <w:szCs w:val="24"/>
        </w:rPr>
        <w:t> </w:t>
      </w:r>
      <w:r w:rsidR="003A425F" w:rsidRPr="00F32790">
        <w:rPr>
          <w:rFonts w:cs="Times New Roman"/>
          <w:szCs w:val="24"/>
        </w:rPr>
        <w:t>Ukrajinou</w:t>
      </w:r>
      <w:r w:rsidR="00D51558">
        <w:rPr>
          <w:rFonts w:cs="Times New Roman"/>
          <w:szCs w:val="24"/>
        </w:rPr>
        <w:t>.</w:t>
      </w:r>
      <w:r w:rsidR="003A425F" w:rsidRPr="00F32790">
        <w:rPr>
          <w:rFonts w:cs="Times New Roman"/>
          <w:szCs w:val="24"/>
        </w:rPr>
        <w:t xml:space="preserve"> </w:t>
      </w:r>
      <w:r w:rsidR="00D51558" w:rsidRPr="00F32790">
        <w:rPr>
          <w:rFonts w:cs="Times New Roman"/>
          <w:szCs w:val="24"/>
        </w:rPr>
        <w:t xml:space="preserve">Uskutočnilo </w:t>
      </w:r>
      <w:r w:rsidR="003A425F" w:rsidRPr="00F32790">
        <w:rPr>
          <w:rFonts w:cs="Times New Roman"/>
          <w:szCs w:val="24"/>
        </w:rPr>
        <w:t>sa</w:t>
      </w:r>
      <w:r w:rsidR="00D51558">
        <w:rPr>
          <w:rFonts w:cs="Times New Roman"/>
          <w:szCs w:val="24"/>
        </w:rPr>
        <w:t xml:space="preserve"> taktiež</w:t>
      </w:r>
      <w:r w:rsidR="003A425F" w:rsidRPr="00F32790">
        <w:rPr>
          <w:rFonts w:cs="Times New Roman"/>
          <w:szCs w:val="24"/>
        </w:rPr>
        <w:t xml:space="preserve"> bilaterálne stretnutie ECDC komunikačného tímu s</w:t>
      </w:r>
      <w:r w:rsidR="00BD76AD" w:rsidRPr="00F32790">
        <w:rPr>
          <w:rFonts w:cs="Times New Roman"/>
          <w:szCs w:val="24"/>
        </w:rPr>
        <w:t xml:space="preserve"> Úradom verejného zdravotníctva </w:t>
      </w:r>
      <w:r w:rsidR="003A425F" w:rsidRPr="00F32790">
        <w:rPr>
          <w:rFonts w:cs="Times New Roman"/>
          <w:szCs w:val="24"/>
        </w:rPr>
        <w:t>SR ohľadom možnosti pomôcť pri kampaniach pre ukrajinských odídencov – ECDC zdarma poskytlo komunikačné nástroje a príklady komunikácie.</w:t>
      </w:r>
    </w:p>
    <w:p w14:paraId="51E731E3" w14:textId="77777777" w:rsidR="003A425F" w:rsidRPr="00F32790" w:rsidRDefault="003A425F" w:rsidP="001734FE">
      <w:pPr>
        <w:shd w:val="clear" w:color="auto" w:fill="FFFFFF"/>
        <w:spacing w:after="0" w:line="240" w:lineRule="auto"/>
        <w:rPr>
          <w:rFonts w:cs="Times New Roman"/>
          <w:b/>
          <w:bCs/>
          <w:szCs w:val="24"/>
        </w:rPr>
      </w:pPr>
    </w:p>
    <w:p w14:paraId="58714CDD" w14:textId="77777777" w:rsidR="00B75F4E" w:rsidRDefault="003A425F" w:rsidP="00B75F4E">
      <w:pPr>
        <w:spacing w:after="0" w:line="240" w:lineRule="auto"/>
        <w:rPr>
          <w:rFonts w:cs="Times New Roman"/>
          <w:b/>
          <w:szCs w:val="24"/>
        </w:rPr>
      </w:pPr>
      <w:r w:rsidRPr="00F32790">
        <w:rPr>
          <w:rFonts w:cs="Times New Roman"/>
          <w:b/>
          <w:szCs w:val="24"/>
        </w:rPr>
        <w:t xml:space="preserve">Úrad pre pripravenosť a reakcie na núdzové zdravotné situácie </w:t>
      </w:r>
      <w:r w:rsidRPr="0057393C">
        <w:rPr>
          <w:rFonts w:cs="Times New Roman"/>
          <w:szCs w:val="24"/>
        </w:rPr>
        <w:t>(</w:t>
      </w:r>
      <w:r w:rsidR="0057393C" w:rsidRPr="0057393C">
        <w:rPr>
          <w:rFonts w:cs="Times New Roman"/>
          <w:szCs w:val="24"/>
        </w:rPr>
        <w:t>ďalej „</w:t>
      </w:r>
      <w:r w:rsidRPr="0057393C">
        <w:rPr>
          <w:rFonts w:cs="Times New Roman"/>
          <w:szCs w:val="24"/>
        </w:rPr>
        <w:t>HERA</w:t>
      </w:r>
      <w:r w:rsidR="0057393C" w:rsidRPr="0057393C">
        <w:rPr>
          <w:rFonts w:cs="Times New Roman"/>
          <w:szCs w:val="24"/>
        </w:rPr>
        <w:t>“</w:t>
      </w:r>
      <w:r w:rsidRPr="0057393C">
        <w:rPr>
          <w:rFonts w:cs="Times New Roman"/>
          <w:szCs w:val="24"/>
        </w:rPr>
        <w:t>)</w:t>
      </w:r>
      <w:r w:rsidR="00FF40FB" w:rsidRPr="00F32790">
        <w:rPr>
          <w:rFonts w:cs="Times New Roman"/>
          <w:b/>
          <w:szCs w:val="24"/>
        </w:rPr>
        <w:t xml:space="preserve"> </w:t>
      </w:r>
      <w:r w:rsidRPr="00F32790">
        <w:rPr>
          <w:rFonts w:cs="Times New Roman"/>
          <w:szCs w:val="24"/>
        </w:rPr>
        <w:t xml:space="preserve">sa v priebehu </w:t>
      </w:r>
      <w:r w:rsidR="00FF40FB" w:rsidRPr="00F32790">
        <w:rPr>
          <w:rFonts w:cs="Times New Roman"/>
          <w:szCs w:val="24"/>
        </w:rPr>
        <w:t>roka svojej existencie prejavil</w:t>
      </w:r>
      <w:r w:rsidRPr="00F32790">
        <w:rPr>
          <w:rFonts w:cs="Times New Roman"/>
          <w:szCs w:val="24"/>
        </w:rPr>
        <w:t xml:space="preserve"> ako </w:t>
      </w:r>
      <w:r w:rsidR="00F94075">
        <w:rPr>
          <w:rFonts w:cs="Times New Roman"/>
          <w:szCs w:val="24"/>
        </w:rPr>
        <w:t>užitočný</w:t>
      </w:r>
      <w:r w:rsidRPr="00F32790">
        <w:rPr>
          <w:rFonts w:cs="Times New Roman"/>
          <w:szCs w:val="24"/>
        </w:rPr>
        <w:t xml:space="preserve"> nástroj pre spoločný prístup členských štátov EÚ pri riešení cezhraničných zdravotných hrozieb, prostredníctvom tohto úradu </w:t>
      </w:r>
      <w:r w:rsidR="008C1099">
        <w:rPr>
          <w:rFonts w:cs="Times New Roman"/>
          <w:szCs w:val="24"/>
        </w:rPr>
        <w:t>EK</w:t>
      </w:r>
      <w:r w:rsidRPr="00F32790">
        <w:rPr>
          <w:rFonts w:cs="Times New Roman"/>
          <w:szCs w:val="24"/>
        </w:rPr>
        <w:t xml:space="preserve"> podnikla dôležité kroky vo všetkých oblastiach zdravotnej pripravenosti vrátane odhaľovania, prevencie, výskumu, medzinárodnej spolupráce, reakcie, investícií a boja proti dezinformáciám – nielen v súvislosti s COVID-19, ale aj v súvislosti s vírusom </w:t>
      </w:r>
      <w:proofErr w:type="spellStart"/>
      <w:r w:rsidRPr="00F32790">
        <w:rPr>
          <w:rFonts w:cs="Times New Roman"/>
          <w:szCs w:val="24"/>
        </w:rPr>
        <w:t>Ebola</w:t>
      </w:r>
      <w:proofErr w:type="spellEnd"/>
      <w:r w:rsidRPr="00F32790">
        <w:rPr>
          <w:rFonts w:cs="Times New Roman"/>
          <w:szCs w:val="24"/>
        </w:rPr>
        <w:t xml:space="preserve"> a</w:t>
      </w:r>
      <w:r w:rsidR="005D0FFD">
        <w:rPr>
          <w:rFonts w:cs="Times New Roman"/>
          <w:szCs w:val="24"/>
        </w:rPr>
        <w:t> opičie kiahne</w:t>
      </w:r>
      <w:r w:rsidRPr="00F32790">
        <w:rPr>
          <w:rFonts w:cs="Times New Roman"/>
          <w:szCs w:val="24"/>
        </w:rPr>
        <w:t xml:space="preserve">, ako aj iných možných patogénov s veľkým </w:t>
      </w:r>
      <w:proofErr w:type="spellStart"/>
      <w:r w:rsidRPr="00F32790">
        <w:rPr>
          <w:rFonts w:cs="Times New Roman"/>
          <w:szCs w:val="24"/>
        </w:rPr>
        <w:t>pandemickým</w:t>
      </w:r>
      <w:proofErr w:type="spellEnd"/>
      <w:r w:rsidRPr="00F32790">
        <w:rPr>
          <w:rFonts w:cs="Times New Roman"/>
          <w:szCs w:val="24"/>
        </w:rPr>
        <w:t xml:space="preserve"> rizikom, chemickým, biologickým a radiačným ohrozením  – či už koordináciou členských štátov a ich pripravenosti, ale aj dostupnosti a distribúciou očkovacích látok či </w:t>
      </w:r>
      <w:proofErr w:type="spellStart"/>
      <w:r w:rsidRPr="00F32790">
        <w:rPr>
          <w:rFonts w:cs="Times New Roman"/>
          <w:szCs w:val="24"/>
        </w:rPr>
        <w:t>terapeutík</w:t>
      </w:r>
      <w:proofErr w:type="spellEnd"/>
      <w:r w:rsidRPr="00F32790">
        <w:rPr>
          <w:rFonts w:cs="Times New Roman"/>
          <w:szCs w:val="24"/>
        </w:rPr>
        <w:t xml:space="preserve"> na tieto ochorenia. </w:t>
      </w:r>
    </w:p>
    <w:p w14:paraId="110CC377" w14:textId="77777777" w:rsidR="00B75F4E" w:rsidRDefault="00B75F4E" w:rsidP="00B75F4E">
      <w:pPr>
        <w:spacing w:after="0" w:line="240" w:lineRule="auto"/>
        <w:rPr>
          <w:rFonts w:cs="Times New Roman"/>
          <w:b/>
          <w:szCs w:val="24"/>
        </w:rPr>
      </w:pPr>
    </w:p>
    <w:p w14:paraId="44D45F81" w14:textId="09C6F7C0" w:rsidR="001A572B" w:rsidRDefault="003A425F" w:rsidP="001734FE">
      <w:pPr>
        <w:spacing w:after="0" w:line="240" w:lineRule="auto"/>
        <w:rPr>
          <w:rFonts w:cs="Times New Roman"/>
          <w:szCs w:val="24"/>
        </w:rPr>
      </w:pPr>
      <w:r w:rsidRPr="00F32790">
        <w:rPr>
          <w:rFonts w:cs="Times New Roman"/>
          <w:szCs w:val="24"/>
        </w:rPr>
        <w:t xml:space="preserve">V oblasti </w:t>
      </w:r>
      <w:r w:rsidRPr="00F32790">
        <w:rPr>
          <w:rFonts w:cs="Times New Roman"/>
          <w:b/>
          <w:szCs w:val="24"/>
        </w:rPr>
        <w:t>sociálnych štatistík</w:t>
      </w:r>
      <w:r w:rsidRPr="00F32790">
        <w:rPr>
          <w:rFonts w:cs="Times New Roman"/>
          <w:szCs w:val="24"/>
        </w:rPr>
        <w:t xml:space="preserve"> </w:t>
      </w:r>
      <w:r w:rsidR="0059575F" w:rsidRPr="00F32790">
        <w:rPr>
          <w:rFonts w:cs="Times New Roman"/>
          <w:szCs w:val="24"/>
        </w:rPr>
        <w:t xml:space="preserve">sa </w:t>
      </w:r>
      <w:r w:rsidRPr="00F32790">
        <w:rPr>
          <w:rFonts w:cs="Times New Roman"/>
          <w:szCs w:val="24"/>
        </w:rPr>
        <w:t>SR pravidelne aktívne zapája do grantového projektu „</w:t>
      </w:r>
      <w:proofErr w:type="spellStart"/>
      <w:r w:rsidRPr="00F32790">
        <w:rPr>
          <w:rFonts w:cs="Times New Roman"/>
          <w:b/>
          <w:szCs w:val="24"/>
        </w:rPr>
        <w:t>Subnárodná</w:t>
      </w:r>
      <w:proofErr w:type="spellEnd"/>
      <w:r w:rsidRPr="00F32790">
        <w:rPr>
          <w:rFonts w:cs="Times New Roman"/>
          <w:b/>
          <w:szCs w:val="24"/>
        </w:rPr>
        <w:t xml:space="preserve"> štatistika</w:t>
      </w:r>
      <w:r w:rsidRPr="00F32790">
        <w:rPr>
          <w:rFonts w:cs="Times New Roman"/>
          <w:szCs w:val="24"/>
        </w:rPr>
        <w:t xml:space="preserve">“, ktorý je zameraný na zber štatistických informácií v oblasti mestskej štatistiky. Za </w:t>
      </w:r>
      <w:r w:rsidR="00147C10">
        <w:rPr>
          <w:rFonts w:cs="Times New Roman"/>
          <w:szCs w:val="24"/>
        </w:rPr>
        <w:t>SR</w:t>
      </w:r>
      <w:r w:rsidRPr="00F32790">
        <w:rPr>
          <w:rFonts w:cs="Times New Roman"/>
          <w:szCs w:val="24"/>
        </w:rPr>
        <w:t xml:space="preserve"> je v projekte zaradených osem krajských miest. Táto spoločná iniciatíva </w:t>
      </w:r>
      <w:r w:rsidR="00B75F4E">
        <w:rPr>
          <w:rFonts w:cs="Times New Roman"/>
          <w:szCs w:val="24"/>
        </w:rPr>
        <w:t>EK</w:t>
      </w:r>
      <w:r w:rsidRPr="00F32790">
        <w:rPr>
          <w:rFonts w:cs="Times New Roman"/>
          <w:szCs w:val="24"/>
        </w:rPr>
        <w:t xml:space="preserve"> a </w:t>
      </w:r>
      <w:proofErr w:type="spellStart"/>
      <w:r w:rsidRPr="00F32790">
        <w:rPr>
          <w:rFonts w:cs="Times New Roman"/>
          <w:szCs w:val="24"/>
        </w:rPr>
        <w:t>Eurostatu</w:t>
      </w:r>
      <w:proofErr w:type="spellEnd"/>
      <w:r w:rsidRPr="00F32790">
        <w:rPr>
          <w:rFonts w:cs="Times New Roman"/>
          <w:szCs w:val="24"/>
        </w:rPr>
        <w:t xml:space="preserve"> vznikla ako odozva na rastúci dopyt po hodnotení kvality života v mestách. Cieľom projektu je zber porovnateľných ukazovateľov za vybrané európske mestá, ktoré sú potrebné a využívané v rozhodovacích procesoch v rámci politík EÚ v oblasti rozvoja miest a vidieka, ako aj v rámci globálnych cieľov trvalo udržateľného rozvoja OSN do roku 2030. </w:t>
      </w:r>
    </w:p>
    <w:p w14:paraId="487E26C2" w14:textId="223BC8DB" w:rsidR="00AC2DC9" w:rsidRPr="00B75F4E" w:rsidRDefault="00AC2DC9" w:rsidP="00AC2DC9">
      <w:pPr>
        <w:spacing w:after="0" w:line="240" w:lineRule="auto"/>
        <w:rPr>
          <w:rFonts w:cs="Times New Roman"/>
          <w:b/>
          <w:szCs w:val="24"/>
        </w:rPr>
      </w:pPr>
      <w:r w:rsidRPr="00B75F4E">
        <w:rPr>
          <w:rFonts w:cs="Times New Roman"/>
          <w:szCs w:val="24"/>
        </w:rPr>
        <w:t xml:space="preserve">V rámci </w:t>
      </w:r>
      <w:r w:rsidRPr="00AC2DC9">
        <w:rPr>
          <w:rFonts w:cs="Times New Roman"/>
          <w:b/>
          <w:szCs w:val="24"/>
        </w:rPr>
        <w:t>štatistiky obyvateľstva</w:t>
      </w:r>
      <w:r w:rsidRPr="00B75F4E">
        <w:rPr>
          <w:rFonts w:cs="Times New Roman"/>
          <w:szCs w:val="24"/>
        </w:rPr>
        <w:t xml:space="preserve"> bolo pripravené a realizované </w:t>
      </w:r>
      <w:r>
        <w:rPr>
          <w:rFonts w:cs="Times New Roman"/>
          <w:szCs w:val="24"/>
        </w:rPr>
        <w:t>s</w:t>
      </w:r>
      <w:r w:rsidRPr="00B75F4E">
        <w:rPr>
          <w:rFonts w:cs="Times New Roman"/>
          <w:szCs w:val="24"/>
        </w:rPr>
        <w:t>čítanie obyvateľov, domov a bytov v roku 2021, v súlade s Nariadením Európskeho parlamentu a Rady (ES) č. 763/2008 o sčítaní obyvateľov, domov a bytov. Sčítanie je štatistické zisťovanie v desaťročnej periodicite s cieľom zaistiť spoľahlivé, podrobné a porovnateľné údaje na národnej i medzinárodnej úrovni. Poskytuje nenahraditeľné informácie o stave spoločnosti, o jej demografických, sociálno-ekonomických a kultúrnych štruktúrach a bývaní, ktoré umožňujú preskúmanie a definovanie sociálnych a environmentálnych politík na medzinárodnej, národnej, regionálnej i lokálnej úrovni.</w:t>
      </w:r>
    </w:p>
    <w:p w14:paraId="5250461E" w14:textId="77777777" w:rsidR="001A572B" w:rsidRPr="00F32790" w:rsidRDefault="001A572B" w:rsidP="001734FE">
      <w:pPr>
        <w:spacing w:after="0" w:line="240" w:lineRule="auto"/>
        <w:rPr>
          <w:rFonts w:cs="Times New Roman"/>
          <w:bCs/>
          <w:szCs w:val="24"/>
        </w:rPr>
      </w:pPr>
    </w:p>
    <w:p w14:paraId="45EC1CDA" w14:textId="41A52CC8" w:rsidR="00571373" w:rsidRPr="00571373" w:rsidRDefault="003A425F" w:rsidP="001734FE">
      <w:pPr>
        <w:spacing w:after="0" w:line="240" w:lineRule="auto"/>
        <w:rPr>
          <w:rFonts w:cs="Times New Roman"/>
          <w:szCs w:val="24"/>
        </w:rPr>
      </w:pPr>
      <w:r w:rsidRPr="00F32790">
        <w:rPr>
          <w:rFonts w:cs="Times New Roman"/>
          <w:szCs w:val="24"/>
        </w:rPr>
        <w:t xml:space="preserve">V </w:t>
      </w:r>
      <w:r w:rsidRPr="00F32790">
        <w:rPr>
          <w:rFonts w:cs="Times New Roman"/>
          <w:b/>
          <w:szCs w:val="24"/>
        </w:rPr>
        <w:t>štatistike poľnohospodárstva</w:t>
      </w:r>
      <w:r w:rsidRPr="00F32790">
        <w:rPr>
          <w:rFonts w:cs="Times New Roman"/>
          <w:szCs w:val="24"/>
        </w:rPr>
        <w:t xml:space="preserve"> pokračovali práce na spracovaní štatistických výstupov z poľnohospodárskeho cenzu 2020 v súlade s požiadavkami európskej legislatívy a požiadavkami národných užívateľov. V rámci modernizácie európskeho systému poľnohospodárskej štatistiky bolo prijaté nariadenie o štatistikách poľnohospodárskych vstupov a výstupov (SAIO) s cieľom prispieť k zlepšeniu znalostí o poľnohospodárskych postupoch a výrobe v súvislosti so Spoločnou poľnohospodárskou politiko</w:t>
      </w:r>
      <w:r w:rsidR="001A572B" w:rsidRPr="00F32790">
        <w:rPr>
          <w:rFonts w:cs="Times New Roman"/>
          <w:szCs w:val="24"/>
        </w:rPr>
        <w:t xml:space="preserve">u a Európskou zelenou dohodou. </w:t>
      </w:r>
      <w:r w:rsidR="00571373" w:rsidRPr="00571373">
        <w:rPr>
          <w:rFonts w:cs="Times New Roman"/>
          <w:szCs w:val="24"/>
        </w:rPr>
        <w:t xml:space="preserve">S cieľom zabezpečenia objektívnych a relevantných informácií o výkonnosti a udržateľnosti poľnohospodárskych podnikov </w:t>
      </w:r>
      <w:r w:rsidR="00571373">
        <w:rPr>
          <w:rFonts w:cs="Times New Roman"/>
          <w:szCs w:val="24"/>
        </w:rPr>
        <w:t>EÚ</w:t>
      </w:r>
      <w:r w:rsidR="00571373" w:rsidRPr="00571373">
        <w:rPr>
          <w:rFonts w:cs="Times New Roman"/>
          <w:szCs w:val="24"/>
        </w:rPr>
        <w:t xml:space="preserve"> bol v priebehu júna 2022 zverejnený návrh nariadenia k ISPU - Informačná sieť poľnohospodárskej udržateľnosti</w:t>
      </w:r>
      <w:r w:rsidR="00E6523E">
        <w:rPr>
          <w:rStyle w:val="Odkaznapoznmkupodiarou"/>
          <w:szCs w:val="24"/>
        </w:rPr>
        <w:footnoteReference w:id="35"/>
      </w:r>
      <w:r w:rsidR="00571373" w:rsidRPr="00571373">
        <w:rPr>
          <w:rFonts w:cs="Times New Roman"/>
          <w:szCs w:val="24"/>
        </w:rPr>
        <w:t xml:space="preserve">, ktorý bude založený na osvedčenej Informačnej sieti poľnohospodárskeho účtovníctva a bude užitočným a účinným nástrojom, ktorý umožní EÚ pomáhať pri plnení cieľov </w:t>
      </w:r>
      <w:r w:rsidR="00571373">
        <w:rPr>
          <w:rFonts w:cs="Times New Roman"/>
          <w:szCs w:val="24"/>
        </w:rPr>
        <w:t>spoločnej poľnohospodárskej politiky</w:t>
      </w:r>
      <w:r w:rsidR="00571373" w:rsidRPr="00571373">
        <w:rPr>
          <w:rFonts w:cs="Times New Roman"/>
          <w:szCs w:val="24"/>
        </w:rPr>
        <w:t xml:space="preserve"> a sprístupní hospodárske, environmentálne a sociálne údaje na úrovni poľnohospodárskeho podniku členským štátom, ako aj EÚ</w:t>
      </w:r>
      <w:r w:rsidR="00571373">
        <w:rPr>
          <w:rFonts w:cs="Times New Roman"/>
          <w:szCs w:val="24"/>
        </w:rPr>
        <w:t xml:space="preserve">. </w:t>
      </w:r>
    </w:p>
    <w:p w14:paraId="52042A4C" w14:textId="77777777" w:rsidR="00571373" w:rsidRPr="00F32790" w:rsidRDefault="00571373" w:rsidP="001734FE">
      <w:pPr>
        <w:spacing w:after="0" w:line="240" w:lineRule="auto"/>
        <w:rPr>
          <w:rFonts w:cs="Times New Roman"/>
          <w:szCs w:val="24"/>
        </w:rPr>
      </w:pPr>
    </w:p>
    <w:p w14:paraId="57288B37" w14:textId="2F80B5D9" w:rsidR="003A425F" w:rsidRPr="00F32790" w:rsidRDefault="003A425F" w:rsidP="001734FE">
      <w:pPr>
        <w:spacing w:after="0" w:line="240" w:lineRule="auto"/>
        <w:rPr>
          <w:rFonts w:cs="Times New Roman"/>
          <w:bCs/>
          <w:szCs w:val="24"/>
        </w:rPr>
      </w:pPr>
      <w:r w:rsidRPr="00F32790">
        <w:rPr>
          <w:rFonts w:cs="Times New Roman"/>
          <w:szCs w:val="24"/>
        </w:rPr>
        <w:t xml:space="preserve">Za účelom  zabezpečenia spoľahlivých informácií potrebných pre plnenie úloh súvisiacich so životným prostredím, udržateľnosťou a zmenou klímy bola v roku 2022 do schvaľovacieho procesu predložená </w:t>
      </w:r>
      <w:r w:rsidRPr="00F32790">
        <w:rPr>
          <w:rFonts w:cs="Times New Roman"/>
          <w:b/>
          <w:szCs w:val="24"/>
        </w:rPr>
        <w:t>novela nariadenia o </w:t>
      </w:r>
      <w:r w:rsidR="005629DB" w:rsidRPr="00F32790">
        <w:rPr>
          <w:rFonts w:cs="Times New Roman"/>
          <w:b/>
          <w:szCs w:val="24"/>
        </w:rPr>
        <w:t xml:space="preserve">environmentálnych </w:t>
      </w:r>
      <w:r w:rsidRPr="00F32790">
        <w:rPr>
          <w:rFonts w:cs="Times New Roman"/>
          <w:b/>
          <w:szCs w:val="24"/>
        </w:rPr>
        <w:t>ekonomických účtoch</w:t>
      </w:r>
      <w:r w:rsidRPr="00F32790">
        <w:rPr>
          <w:rFonts w:cs="Times New Roman"/>
          <w:szCs w:val="24"/>
        </w:rPr>
        <w:t xml:space="preserve">. </w:t>
      </w:r>
    </w:p>
    <w:p w14:paraId="1E8326CC" w14:textId="0B3E9FD1" w:rsidR="00FC32BC" w:rsidRDefault="00FC32BC" w:rsidP="001734FE">
      <w:pPr>
        <w:spacing w:after="200" w:line="240" w:lineRule="auto"/>
        <w:rPr>
          <w:rFonts w:cs="Times New Roman"/>
          <w:szCs w:val="24"/>
        </w:rPr>
      </w:pPr>
    </w:p>
    <w:p w14:paraId="35F0BD32" w14:textId="06DF7C94" w:rsidR="003B0629" w:rsidRPr="00F32790" w:rsidRDefault="003B0629" w:rsidP="001734FE">
      <w:pPr>
        <w:pStyle w:val="Nadpis1"/>
        <w:jc w:val="both"/>
        <w:rPr>
          <w:rFonts w:cs="Times New Roman"/>
          <w:color w:val="auto"/>
          <w:szCs w:val="24"/>
          <w:u w:val="single"/>
        </w:rPr>
      </w:pPr>
      <w:r w:rsidRPr="00F32790">
        <w:rPr>
          <w:rFonts w:cs="Times New Roman"/>
          <w:color w:val="auto"/>
          <w:szCs w:val="24"/>
          <w:u w:val="single"/>
        </w:rPr>
        <w:t>2.6. Nový impulz pre európsku demokraciu</w:t>
      </w:r>
    </w:p>
    <w:p w14:paraId="74FAB741" w14:textId="408FD8D1" w:rsidR="00DC3499" w:rsidRPr="00F32790" w:rsidRDefault="00DC3499" w:rsidP="001734FE">
      <w:pPr>
        <w:widowControl w:val="0"/>
        <w:autoSpaceDE w:val="0"/>
        <w:autoSpaceDN w:val="0"/>
        <w:adjustRightInd w:val="0"/>
        <w:spacing w:after="0" w:line="240" w:lineRule="auto"/>
        <w:rPr>
          <w:rFonts w:cs="Times New Roman"/>
          <w:color w:val="FF0000"/>
          <w:szCs w:val="24"/>
        </w:rPr>
      </w:pPr>
    </w:p>
    <w:p w14:paraId="48180C71" w14:textId="316F1C79" w:rsidR="00F22E75" w:rsidRPr="00386646" w:rsidRDefault="00545FF6" w:rsidP="001734FE">
      <w:pPr>
        <w:spacing w:after="0" w:line="240" w:lineRule="auto"/>
        <w:rPr>
          <w:bCs/>
        </w:rPr>
      </w:pPr>
      <w:r w:rsidRPr="00F32790">
        <w:rPr>
          <w:rFonts w:cs="Times New Roman"/>
          <w:color w:val="auto"/>
          <w:szCs w:val="24"/>
        </w:rPr>
        <w:t>Jedným z opatrení vychádzajúcich z Akčného plánu pre európsku demokraciu zameraných na posilnenie plurality a slobody médií v Európskej únii je</w:t>
      </w:r>
      <w:r w:rsidRPr="00F32790">
        <w:rPr>
          <w:rFonts w:cs="Times New Roman"/>
          <w:b/>
          <w:color w:val="auto"/>
          <w:szCs w:val="24"/>
        </w:rPr>
        <w:t xml:space="preserve"> </w:t>
      </w:r>
      <w:r w:rsidRPr="00F32790">
        <w:rPr>
          <w:rFonts w:cs="Times New Roman"/>
          <w:color w:val="auto"/>
          <w:szCs w:val="24"/>
        </w:rPr>
        <w:t xml:space="preserve">aj </w:t>
      </w:r>
      <w:r w:rsidRPr="00F32790">
        <w:rPr>
          <w:rFonts w:cs="Times New Roman"/>
          <w:b/>
          <w:color w:val="auto"/>
          <w:szCs w:val="24"/>
        </w:rPr>
        <w:t xml:space="preserve">návrh smernice o strategických žalobách proti verejnej účasti </w:t>
      </w:r>
      <w:r w:rsidRPr="00F32790">
        <w:rPr>
          <w:rFonts w:cs="Times New Roman"/>
          <w:color w:val="auto"/>
          <w:szCs w:val="24"/>
        </w:rPr>
        <w:t>(</w:t>
      </w:r>
      <w:r w:rsidR="0057393C">
        <w:rPr>
          <w:rFonts w:cs="Times New Roman"/>
          <w:color w:val="auto"/>
          <w:szCs w:val="24"/>
        </w:rPr>
        <w:t xml:space="preserve">ďalej </w:t>
      </w:r>
      <w:r w:rsidRPr="00F32790">
        <w:rPr>
          <w:rFonts w:cs="Times New Roman"/>
          <w:b/>
          <w:color w:val="auto"/>
          <w:szCs w:val="24"/>
        </w:rPr>
        <w:t>„</w:t>
      </w:r>
      <w:r w:rsidRPr="0057393C">
        <w:rPr>
          <w:rFonts w:cs="Times New Roman"/>
          <w:color w:val="auto"/>
          <w:szCs w:val="24"/>
        </w:rPr>
        <w:t>SLAPP“</w:t>
      </w:r>
      <w:r w:rsidRPr="00F32790">
        <w:rPr>
          <w:rFonts w:cs="Times New Roman"/>
          <w:color w:val="auto"/>
          <w:szCs w:val="24"/>
        </w:rPr>
        <w:t xml:space="preserve">), predložený v apríli </w:t>
      </w:r>
      <w:r w:rsidR="00240913" w:rsidRPr="00F32790">
        <w:rPr>
          <w:rFonts w:cs="Times New Roman"/>
          <w:color w:val="auto"/>
          <w:szCs w:val="24"/>
        </w:rPr>
        <w:t>2022</w:t>
      </w:r>
      <w:r w:rsidRPr="00F32790">
        <w:rPr>
          <w:rFonts w:cs="Times New Roman"/>
          <w:color w:val="auto"/>
          <w:szCs w:val="24"/>
        </w:rPr>
        <w:t xml:space="preserve"> Európskou komisiou. Cieľom návrhu je zavedenie proc</w:t>
      </w:r>
      <w:r w:rsidR="00386646">
        <w:rPr>
          <w:rFonts w:cs="Times New Roman"/>
          <w:color w:val="auto"/>
          <w:szCs w:val="24"/>
        </w:rPr>
        <w:t>esných záruk pre dotknuté osoby</w:t>
      </w:r>
      <w:r w:rsidR="00386646" w:rsidRPr="00240913">
        <w:rPr>
          <w:rFonts w:cstheme="minorHAnsi"/>
          <w:color w:val="auto"/>
        </w:rPr>
        <w:t xml:space="preserve"> </w:t>
      </w:r>
      <w:r w:rsidR="00386646" w:rsidRPr="00386646">
        <w:rPr>
          <w:bCs/>
        </w:rPr>
        <w:t xml:space="preserve">a poskytnutie procesných nástrojov týmto osobám, aby sa mohli efektívne brániť proti takýmto žalobám. </w:t>
      </w:r>
    </w:p>
    <w:p w14:paraId="0EA426AD" w14:textId="77777777" w:rsidR="00386646" w:rsidRPr="00F32790" w:rsidRDefault="00386646" w:rsidP="001734FE">
      <w:pPr>
        <w:spacing w:after="0" w:line="240" w:lineRule="auto"/>
        <w:rPr>
          <w:rFonts w:cs="Times New Roman"/>
          <w:color w:val="auto"/>
          <w:szCs w:val="24"/>
        </w:rPr>
      </w:pPr>
    </w:p>
    <w:p w14:paraId="2F889D6E" w14:textId="4C262AC2" w:rsidR="00F22E75" w:rsidRPr="00F32790" w:rsidRDefault="00C8712D" w:rsidP="001734FE">
      <w:pPr>
        <w:spacing w:after="0" w:line="240" w:lineRule="auto"/>
        <w:rPr>
          <w:rFonts w:cs="Times New Roman"/>
          <w:color w:val="auto"/>
          <w:szCs w:val="24"/>
        </w:rPr>
      </w:pPr>
      <w:r w:rsidRPr="00F32790">
        <w:rPr>
          <w:rStyle w:val="markedcontent"/>
          <w:rFonts w:cs="Times New Roman"/>
          <w:szCs w:val="24"/>
        </w:rPr>
        <w:lastRenderedPageBreak/>
        <w:t xml:space="preserve">V oblasti </w:t>
      </w:r>
      <w:r w:rsidRPr="00F32790">
        <w:rPr>
          <w:rStyle w:val="markedcontent"/>
          <w:rFonts w:cs="Times New Roman"/>
          <w:b/>
          <w:szCs w:val="24"/>
        </w:rPr>
        <w:t>slobody médií</w:t>
      </w:r>
      <w:r w:rsidRPr="00F32790">
        <w:rPr>
          <w:rStyle w:val="markedcontent"/>
          <w:rFonts w:cs="Times New Roman"/>
          <w:szCs w:val="24"/>
        </w:rPr>
        <w:t xml:space="preserve"> </w:t>
      </w:r>
      <w:r w:rsidR="00147C10">
        <w:rPr>
          <w:rStyle w:val="markedcontent"/>
          <w:rFonts w:cs="Times New Roman"/>
          <w:szCs w:val="24"/>
        </w:rPr>
        <w:t>SR</w:t>
      </w:r>
      <w:r w:rsidR="00F22E75" w:rsidRPr="00F32790">
        <w:rPr>
          <w:rStyle w:val="markedcontent"/>
          <w:rFonts w:cs="Times New Roman"/>
          <w:szCs w:val="24"/>
        </w:rPr>
        <w:t xml:space="preserve"> podpor</w:t>
      </w:r>
      <w:r w:rsidR="00F94075">
        <w:rPr>
          <w:rStyle w:val="markedcontent"/>
          <w:rFonts w:cs="Times New Roman"/>
          <w:szCs w:val="24"/>
        </w:rPr>
        <w:t xml:space="preserve">uje prijatie </w:t>
      </w:r>
      <w:r w:rsidRPr="00F32790">
        <w:rPr>
          <w:rStyle w:val="markedcontent"/>
          <w:rFonts w:cs="Times New Roman"/>
          <w:szCs w:val="24"/>
        </w:rPr>
        <w:t>Návrh</w:t>
      </w:r>
      <w:r w:rsidR="00F22E75" w:rsidRPr="00F32790">
        <w:rPr>
          <w:rStyle w:val="markedcontent"/>
          <w:rFonts w:cs="Times New Roman"/>
          <w:szCs w:val="24"/>
        </w:rPr>
        <w:t>u</w:t>
      </w:r>
      <w:r w:rsidRPr="00F32790">
        <w:rPr>
          <w:rStyle w:val="markedcontent"/>
          <w:rFonts w:cs="Times New Roman"/>
          <w:szCs w:val="24"/>
        </w:rPr>
        <w:t xml:space="preserve"> nariadenia Európskeho parlamentu </w:t>
      </w:r>
      <w:r w:rsidR="008967C8">
        <w:rPr>
          <w:rStyle w:val="markedcontent"/>
          <w:rFonts w:cs="Times New Roman"/>
          <w:szCs w:val="24"/>
        </w:rPr>
        <w:br/>
      </w:r>
      <w:r w:rsidRPr="00F32790">
        <w:rPr>
          <w:rStyle w:val="markedcontent"/>
          <w:rFonts w:cs="Times New Roman"/>
          <w:szCs w:val="24"/>
        </w:rPr>
        <w:t>a Rady</w:t>
      </w:r>
      <w:r w:rsidR="00255782">
        <w:rPr>
          <w:rStyle w:val="markedcontent"/>
          <w:rFonts w:cs="Times New Roman"/>
          <w:szCs w:val="24"/>
        </w:rPr>
        <w:t xml:space="preserve"> EÚ</w:t>
      </w:r>
      <w:r w:rsidRPr="00F32790">
        <w:rPr>
          <w:rStyle w:val="markedcontent"/>
          <w:rFonts w:cs="Times New Roman"/>
          <w:szCs w:val="24"/>
        </w:rPr>
        <w:t>, ktorým sa ustanovuje spoločný rámec mediálnych služieb na vnútornom trhu („</w:t>
      </w:r>
      <w:r w:rsidRPr="00F32790">
        <w:rPr>
          <w:rStyle w:val="markedcontent"/>
          <w:rFonts w:cs="Times New Roman"/>
          <w:b/>
          <w:szCs w:val="24"/>
        </w:rPr>
        <w:t>Európsky akt o slobode médií</w:t>
      </w:r>
      <w:r w:rsidRPr="00F32790">
        <w:rPr>
          <w:rStyle w:val="markedcontent"/>
          <w:rFonts w:cs="Times New Roman"/>
          <w:szCs w:val="24"/>
        </w:rPr>
        <w:t>“)</w:t>
      </w:r>
      <w:r w:rsidR="00AC023E">
        <w:rPr>
          <w:rStyle w:val="Odkaznapoznmkupodiarou"/>
          <w:szCs w:val="24"/>
        </w:rPr>
        <w:footnoteReference w:id="36"/>
      </w:r>
      <w:r w:rsidR="00F94075">
        <w:rPr>
          <w:rStyle w:val="markedcontent"/>
          <w:rFonts w:cs="Times New Roman"/>
          <w:szCs w:val="24"/>
        </w:rPr>
        <w:t>, ktorý EK zverejnila</w:t>
      </w:r>
      <w:r w:rsidRPr="00F32790">
        <w:rPr>
          <w:rStyle w:val="markedcontent"/>
          <w:rFonts w:cs="Times New Roman"/>
          <w:szCs w:val="24"/>
        </w:rPr>
        <w:t xml:space="preserve"> v </w:t>
      </w:r>
      <w:r w:rsidRPr="00F32790">
        <w:rPr>
          <w:rFonts w:eastAsia="Calibri" w:cs="Times New Roman"/>
          <w:iCs/>
          <w:szCs w:val="24"/>
        </w:rPr>
        <w:t>septembri 2022</w:t>
      </w:r>
      <w:r w:rsidR="00101392">
        <w:rPr>
          <w:rFonts w:eastAsia="Calibri" w:cs="Times New Roman"/>
          <w:iCs/>
          <w:szCs w:val="24"/>
        </w:rPr>
        <w:t>.</w:t>
      </w:r>
      <w:r w:rsidRPr="00F32790">
        <w:rPr>
          <w:rFonts w:eastAsia="Calibri" w:cs="Times New Roman"/>
          <w:iCs/>
          <w:szCs w:val="24"/>
        </w:rPr>
        <w:t xml:space="preserve"> Cieľom návrhu je podporiť cezhraničné pôsobenie a investície na mediálnom trhu harmonizovaním určitých prvkov odlišných vnútroštátnych rámcov upravujúcich pluralitu médií, zvýšiť regulačnú spoluprácu a konvergenciu prostredníctvom nástrojov cezhraničnej koordinácie, stanovísk a usmernení na úrovni EÚ, podporiť poskytovanie kvalitných mediálnych služieb zmiernením rizika nenáležitého zasahovania verejných a súkromných subjektov do redakčnej slobody, zabezpečiť transparentné a spravodlivé prideľovanie ekonomických zdrojov na vnútornom trhu s médiami prostredníctvom zvýšenia transparentnosti a spravodlivosti v meraní sledovanosti a prideľovaní štátnej reklamy. </w:t>
      </w:r>
    </w:p>
    <w:p w14:paraId="5B16834A" w14:textId="77777777" w:rsidR="00F22E75" w:rsidRPr="00F32790" w:rsidRDefault="00F22E75" w:rsidP="001734FE">
      <w:pPr>
        <w:spacing w:after="0" w:line="240" w:lineRule="auto"/>
        <w:rPr>
          <w:rFonts w:cs="Times New Roman"/>
          <w:color w:val="auto"/>
          <w:szCs w:val="24"/>
        </w:rPr>
      </w:pPr>
    </w:p>
    <w:p w14:paraId="00B6F10C" w14:textId="51E86278" w:rsidR="001A572B" w:rsidRPr="00F32790" w:rsidRDefault="00545FF6" w:rsidP="001734FE">
      <w:pPr>
        <w:spacing w:after="0" w:line="240" w:lineRule="auto"/>
        <w:rPr>
          <w:rFonts w:cs="Times New Roman"/>
          <w:color w:val="auto"/>
          <w:szCs w:val="24"/>
        </w:rPr>
      </w:pPr>
      <w:r w:rsidRPr="00F32790">
        <w:rPr>
          <w:rFonts w:cs="Times New Roman"/>
          <w:color w:val="auto"/>
          <w:szCs w:val="24"/>
        </w:rPr>
        <w:t xml:space="preserve">Významný posun nastal aj v rokovaniach o </w:t>
      </w:r>
      <w:r w:rsidRPr="00F32790">
        <w:rPr>
          <w:rFonts w:cs="Times New Roman"/>
          <w:b/>
          <w:bCs/>
          <w:color w:val="auto"/>
          <w:szCs w:val="24"/>
        </w:rPr>
        <w:t xml:space="preserve">pristúpení EÚ k Európskemu dohovoru o ochrane ľudských práv </w:t>
      </w:r>
      <w:r w:rsidRPr="00F32790">
        <w:rPr>
          <w:rFonts w:cs="Times New Roman"/>
          <w:bCs/>
          <w:color w:val="auto"/>
          <w:szCs w:val="24"/>
        </w:rPr>
        <w:t>kde sa proces dostáva do finálnej fázy. Uvedeným sa naplní záväzok z Lisabonskej zmluvy a umožní sa lepšia vymožiteľnosť základných práv občanov Únie voči inštitúciám EÚ. SK podporuje skoré ukončenie rokovaní.</w:t>
      </w:r>
    </w:p>
    <w:p w14:paraId="25BFDC9F" w14:textId="77777777" w:rsidR="001A572B" w:rsidRPr="00F32790" w:rsidRDefault="001A572B" w:rsidP="001734FE">
      <w:pPr>
        <w:spacing w:after="0" w:line="240" w:lineRule="auto"/>
        <w:rPr>
          <w:rFonts w:cs="Times New Roman"/>
          <w:color w:val="auto"/>
          <w:szCs w:val="24"/>
        </w:rPr>
      </w:pPr>
    </w:p>
    <w:p w14:paraId="1E2295DD" w14:textId="36702C6D" w:rsidR="001A572B" w:rsidRPr="00F32790" w:rsidRDefault="001505BC" w:rsidP="001734FE">
      <w:pPr>
        <w:spacing w:after="0" w:line="240" w:lineRule="auto"/>
        <w:rPr>
          <w:rFonts w:cs="Times New Roman"/>
          <w:color w:val="auto"/>
          <w:szCs w:val="24"/>
        </w:rPr>
      </w:pPr>
      <w:r w:rsidRPr="00F32790">
        <w:rPr>
          <w:rFonts w:cs="Times New Roman"/>
          <w:szCs w:val="24"/>
        </w:rPr>
        <w:t xml:space="preserve">Ku kľúčovým nástrojom zameraným na ochranu právneho štátu patrí </w:t>
      </w:r>
      <w:r w:rsidRPr="00F32790">
        <w:rPr>
          <w:rFonts w:cs="Times New Roman"/>
          <w:b/>
          <w:szCs w:val="24"/>
        </w:rPr>
        <w:t xml:space="preserve">Výročná správa EK </w:t>
      </w:r>
      <w:r w:rsidR="008967C8">
        <w:rPr>
          <w:rFonts w:cs="Times New Roman"/>
          <w:b/>
          <w:szCs w:val="24"/>
        </w:rPr>
        <w:br/>
      </w:r>
      <w:r w:rsidRPr="00F32790">
        <w:rPr>
          <w:rFonts w:cs="Times New Roman"/>
          <w:b/>
          <w:szCs w:val="24"/>
        </w:rPr>
        <w:t>o stave právneho štátu v EÚ</w:t>
      </w:r>
      <w:r w:rsidR="00AC023E">
        <w:rPr>
          <w:rStyle w:val="Odkaznapoznmkupodiarou"/>
          <w:b/>
          <w:szCs w:val="24"/>
        </w:rPr>
        <w:footnoteReference w:id="37"/>
      </w:r>
      <w:r w:rsidRPr="00F32790">
        <w:rPr>
          <w:rFonts w:cs="Times New Roman"/>
          <w:szCs w:val="24"/>
        </w:rPr>
        <w:t>, ktorá monitoruje vývoj v oblasti justície, protikorupčných opatr</w:t>
      </w:r>
      <w:r w:rsidR="00101392">
        <w:rPr>
          <w:rFonts w:cs="Times New Roman"/>
          <w:szCs w:val="24"/>
        </w:rPr>
        <w:t>e</w:t>
      </w:r>
      <w:r w:rsidRPr="00F32790">
        <w:rPr>
          <w:rFonts w:cs="Times New Roman"/>
          <w:szCs w:val="24"/>
        </w:rPr>
        <w:t>ní, slobody médií a systému bŕzd a protiváh v jednotlivých členských štátoch Únie. V jej treťom vydaní publikovanom v júli 2022 EK po prvýkrát uvádza nad rámec svojho hodnotenia aj konkrétne odporúčania s cieľom podporiť členské krajiny v ich úsilí o pokračovanie prebiehajúcich alebo plánovaných reforiem, vyzdvihnúť pozitívne trendy alebo naopak poukázať na oblasti, v ktorých vidí priestor pre zlepšenia. EK vo svojej správe zaznamenáva vývoj počnúc júlom 2021, pričom dominantný moment, ktorý podľa EK predstavuje priamu výzvu pre hodnoty EÚ a svetový poriadok založený na pravidlách predstavuje vojenská agresi</w:t>
      </w:r>
      <w:r w:rsidR="00AD6AAC">
        <w:rPr>
          <w:rFonts w:cs="Times New Roman"/>
          <w:szCs w:val="24"/>
        </w:rPr>
        <w:t>a</w:t>
      </w:r>
      <w:r w:rsidRPr="00F32790">
        <w:rPr>
          <w:rFonts w:cs="Times New Roman"/>
          <w:szCs w:val="24"/>
        </w:rPr>
        <w:t xml:space="preserve"> Ruska proti Ukrajine. Z toho pramení  silnejší dôraz na rešpektovanie princípov právneho štátu.  </w:t>
      </w:r>
    </w:p>
    <w:p w14:paraId="4F2B2619" w14:textId="77777777" w:rsidR="001A572B" w:rsidRPr="00F32790" w:rsidRDefault="001A572B" w:rsidP="001734FE">
      <w:pPr>
        <w:spacing w:after="0" w:line="240" w:lineRule="auto"/>
        <w:rPr>
          <w:rFonts w:cs="Times New Roman"/>
          <w:color w:val="auto"/>
          <w:szCs w:val="24"/>
        </w:rPr>
      </w:pPr>
    </w:p>
    <w:p w14:paraId="2602B0EC" w14:textId="0340472C" w:rsidR="00386646" w:rsidRDefault="000173EF" w:rsidP="00386646">
      <w:pPr>
        <w:spacing w:after="0"/>
        <w:rPr>
          <w:rFonts w:cstheme="minorHAnsi"/>
          <w:color w:val="auto"/>
        </w:rPr>
      </w:pPr>
      <w:r w:rsidRPr="00F32790">
        <w:rPr>
          <w:rFonts w:cs="Times New Roman"/>
          <w:szCs w:val="24"/>
        </w:rPr>
        <w:t xml:space="preserve">V septembri </w:t>
      </w:r>
      <w:r w:rsidR="008C1099">
        <w:rPr>
          <w:rFonts w:cs="Times New Roman"/>
          <w:szCs w:val="24"/>
        </w:rPr>
        <w:t>EK</w:t>
      </w:r>
      <w:r w:rsidRPr="00F32790">
        <w:rPr>
          <w:rFonts w:cs="Times New Roman"/>
          <w:szCs w:val="24"/>
        </w:rPr>
        <w:t xml:space="preserve"> predložila návrh vykonávacieho rozhodnutia Rady EÚ o opatreniach na</w:t>
      </w:r>
      <w:r w:rsidRPr="00F32790">
        <w:rPr>
          <w:rFonts w:cs="Times New Roman"/>
          <w:bCs/>
          <w:szCs w:val="24"/>
        </w:rPr>
        <w:t xml:space="preserve"> ochranu rozpočtu Únie pred porušovaním zásad právneho štátu v Maďarsku, ktorým prvýkrát formálne spustila </w:t>
      </w:r>
      <w:r w:rsidRPr="00F32790">
        <w:rPr>
          <w:rFonts w:cs="Times New Roman"/>
          <w:b/>
          <w:szCs w:val="24"/>
        </w:rPr>
        <w:t>konanie podľa nariadenia o všeobecnom režime podmienenosti na ochranu rozpočtu Únie</w:t>
      </w:r>
      <w:r w:rsidR="00255782">
        <w:rPr>
          <w:rStyle w:val="Odkaznapoznmkupodiarou"/>
          <w:b/>
          <w:szCs w:val="24"/>
        </w:rPr>
        <w:footnoteReference w:id="38"/>
      </w:r>
      <w:r w:rsidRPr="00F32790">
        <w:rPr>
          <w:rFonts w:cs="Times New Roman"/>
          <w:bCs/>
          <w:szCs w:val="24"/>
        </w:rPr>
        <w:t xml:space="preserve">. S cieľom odstrániť nedostatky identifikované Komisiou </w:t>
      </w:r>
      <w:r w:rsidRPr="00F32790">
        <w:rPr>
          <w:rFonts w:cs="Times New Roman"/>
          <w:szCs w:val="24"/>
        </w:rPr>
        <w:t>sa Maďarsko zaviazalo splniť 17 nápravných opatrení v oblasti boja proti korupcii, verejného obstarávania, konfliktu záujmov</w:t>
      </w:r>
      <w:r w:rsidR="00AD6AAC">
        <w:rPr>
          <w:rFonts w:cs="Times New Roman"/>
          <w:szCs w:val="24"/>
        </w:rPr>
        <w:t>,</w:t>
      </w:r>
      <w:r w:rsidRPr="00F32790">
        <w:rPr>
          <w:rFonts w:cs="Times New Roman"/>
          <w:szCs w:val="24"/>
        </w:rPr>
        <w:t xml:space="preserve"> auditu a kontroly. Koncom novembra </w:t>
      </w:r>
      <w:r w:rsidR="008C1099">
        <w:rPr>
          <w:rFonts w:cs="Times New Roman"/>
          <w:szCs w:val="24"/>
        </w:rPr>
        <w:t>EK</w:t>
      </w:r>
      <w:r w:rsidRPr="00F32790">
        <w:rPr>
          <w:rFonts w:cs="Times New Roman"/>
          <w:szCs w:val="24"/>
        </w:rPr>
        <w:t xml:space="preserve"> vyhodnotila ich plnenie a skonštatovala, že napriek krokom Maďarska riziko pre rozpočet Únie stále trvá. Vzhľadom na to, že Maďarsko realizovalo nápravné opatrenia iba čiastočne, </w:t>
      </w:r>
      <w:r w:rsidR="00AD6AAC" w:rsidRPr="00F32790">
        <w:rPr>
          <w:rFonts w:cs="Times New Roman"/>
          <w:szCs w:val="24"/>
        </w:rPr>
        <w:t xml:space="preserve">SR </w:t>
      </w:r>
      <w:r w:rsidR="005C0B64" w:rsidRPr="00F32790">
        <w:rPr>
          <w:rFonts w:cs="Times New Roman"/>
          <w:szCs w:val="24"/>
        </w:rPr>
        <w:t xml:space="preserve">podporila, rovnako ako ostatné </w:t>
      </w:r>
      <w:r w:rsidRPr="00F32790">
        <w:rPr>
          <w:rFonts w:cs="Times New Roman"/>
          <w:szCs w:val="24"/>
        </w:rPr>
        <w:t xml:space="preserve">členské štáty v </w:t>
      </w:r>
      <w:r w:rsidRPr="00F32790">
        <w:rPr>
          <w:rFonts w:cs="Times New Roman"/>
          <w:bCs/>
          <w:szCs w:val="24"/>
        </w:rPr>
        <w:t>Rade 14. decembra prija</w:t>
      </w:r>
      <w:r w:rsidR="005C0B64" w:rsidRPr="00F32790">
        <w:rPr>
          <w:rFonts w:cs="Times New Roman"/>
          <w:bCs/>
          <w:szCs w:val="24"/>
        </w:rPr>
        <w:t>tie</w:t>
      </w:r>
      <w:r w:rsidRPr="00F32790">
        <w:rPr>
          <w:rFonts w:cs="Times New Roman"/>
          <w:bCs/>
          <w:szCs w:val="24"/>
        </w:rPr>
        <w:t xml:space="preserve"> rozhodnuti</w:t>
      </w:r>
      <w:r w:rsidR="005C0B64" w:rsidRPr="00F32790">
        <w:rPr>
          <w:rFonts w:cs="Times New Roman"/>
          <w:bCs/>
          <w:szCs w:val="24"/>
        </w:rPr>
        <w:t>a</w:t>
      </w:r>
      <w:r w:rsidRPr="00F32790">
        <w:rPr>
          <w:rFonts w:cs="Times New Roman"/>
          <w:bCs/>
          <w:szCs w:val="24"/>
        </w:rPr>
        <w:t xml:space="preserve"> o pozastavení 6,3 mld. </w:t>
      </w:r>
      <w:r w:rsidR="007C6D2D">
        <w:rPr>
          <w:rFonts w:cs="Times New Roman"/>
          <w:bCs/>
          <w:szCs w:val="24"/>
        </w:rPr>
        <w:t>EUR</w:t>
      </w:r>
      <w:r w:rsidRPr="00F32790">
        <w:rPr>
          <w:rFonts w:cs="Times New Roman"/>
          <w:bCs/>
          <w:szCs w:val="24"/>
        </w:rPr>
        <w:t>, čo predstavuje 55 % záväzkov troch operačných programov politiky súdržnosti na roky 2021</w:t>
      </w:r>
      <w:r w:rsidR="0057393C">
        <w:rPr>
          <w:rFonts w:cs="Times New Roman"/>
          <w:bCs/>
          <w:szCs w:val="24"/>
        </w:rPr>
        <w:t>-</w:t>
      </w:r>
      <w:r w:rsidRPr="00F32790">
        <w:rPr>
          <w:rFonts w:cs="Times New Roman"/>
          <w:bCs/>
          <w:szCs w:val="24"/>
        </w:rPr>
        <w:t xml:space="preserve">2027. </w:t>
      </w:r>
      <w:r w:rsidR="00386646">
        <w:rPr>
          <w:rFonts w:cs="Times New Roman"/>
          <w:bCs/>
          <w:szCs w:val="24"/>
        </w:rPr>
        <w:t xml:space="preserve">Rovnako tak bol 21 maďarským </w:t>
      </w:r>
      <w:r w:rsidR="00386646" w:rsidRPr="004517A3">
        <w:rPr>
          <w:rFonts w:cs="Times New Roman"/>
          <w:bCs/>
          <w:szCs w:val="24"/>
        </w:rPr>
        <w:t>univerzitám pozastavený prístup k programom Horizont Európa</w:t>
      </w:r>
      <w:r w:rsidR="00255782">
        <w:rPr>
          <w:rFonts w:cs="Times New Roman"/>
          <w:bCs/>
          <w:szCs w:val="24"/>
        </w:rPr>
        <w:t xml:space="preserve"> </w:t>
      </w:r>
      <w:r w:rsidR="00386646" w:rsidRPr="004517A3">
        <w:rPr>
          <w:rFonts w:cs="Times New Roman"/>
          <w:bCs/>
          <w:szCs w:val="24"/>
        </w:rPr>
        <w:t>a Erasmus+ z dôvodov porušovania princípov právneho štátu a akademickej slobody a integrity.</w:t>
      </w:r>
      <w:r w:rsidR="00386646" w:rsidRPr="00DD5D41">
        <w:rPr>
          <w:rFonts w:cs="Times New Roman"/>
          <w:bCs/>
          <w:szCs w:val="24"/>
        </w:rPr>
        <w:t xml:space="preserve"> </w:t>
      </w:r>
      <w:r w:rsidR="00386646">
        <w:rPr>
          <w:rFonts w:cs="Times New Roman"/>
          <w:bCs/>
          <w:szCs w:val="24"/>
        </w:rPr>
        <w:t xml:space="preserve">Navyše má Maďarsko spolu s Poľskom zablokované všetky </w:t>
      </w:r>
      <w:r w:rsidR="00386646" w:rsidRPr="004517A3">
        <w:rPr>
          <w:rFonts w:cs="Times New Roman"/>
          <w:bCs/>
          <w:szCs w:val="24"/>
        </w:rPr>
        <w:lastRenderedPageBreak/>
        <w:t xml:space="preserve">kohézne zdroje z dôvodu nesplnenia </w:t>
      </w:r>
      <w:r w:rsidR="00386646">
        <w:rPr>
          <w:rFonts w:cs="Times New Roman"/>
          <w:bCs/>
          <w:szCs w:val="24"/>
        </w:rPr>
        <w:t xml:space="preserve">podmienky dodržiavania </w:t>
      </w:r>
      <w:r w:rsidR="00386646" w:rsidRPr="004517A3">
        <w:rPr>
          <w:rFonts w:cs="Times New Roman"/>
          <w:bCs/>
          <w:szCs w:val="24"/>
        </w:rPr>
        <w:t>Chart</w:t>
      </w:r>
      <w:r w:rsidR="00386646">
        <w:rPr>
          <w:rFonts w:cs="Times New Roman"/>
          <w:bCs/>
          <w:szCs w:val="24"/>
        </w:rPr>
        <w:t>y</w:t>
      </w:r>
      <w:r w:rsidR="00386646" w:rsidRPr="004517A3">
        <w:rPr>
          <w:rFonts w:cs="Times New Roman"/>
          <w:bCs/>
          <w:szCs w:val="24"/>
        </w:rPr>
        <w:t xml:space="preserve"> základných </w:t>
      </w:r>
      <w:r w:rsidR="00386646">
        <w:rPr>
          <w:rFonts w:cs="Times New Roman"/>
          <w:bCs/>
          <w:szCs w:val="24"/>
        </w:rPr>
        <w:t xml:space="preserve">ľudských </w:t>
      </w:r>
      <w:r w:rsidR="00386646" w:rsidRPr="004517A3">
        <w:rPr>
          <w:rFonts w:cs="Times New Roman"/>
          <w:bCs/>
          <w:szCs w:val="24"/>
        </w:rPr>
        <w:t>práv EÚ.</w:t>
      </w:r>
    </w:p>
    <w:p w14:paraId="4E2F06FE" w14:textId="77777777" w:rsidR="00386646" w:rsidRDefault="00386646" w:rsidP="00386646">
      <w:pPr>
        <w:spacing w:after="0"/>
        <w:rPr>
          <w:rFonts w:cstheme="minorHAnsi"/>
          <w:color w:val="auto"/>
        </w:rPr>
      </w:pPr>
    </w:p>
    <w:p w14:paraId="155D8229" w14:textId="6F22342F" w:rsidR="001A572B" w:rsidRPr="00386646" w:rsidRDefault="00240913" w:rsidP="00386646">
      <w:pPr>
        <w:spacing w:after="0"/>
        <w:rPr>
          <w:rFonts w:cstheme="minorHAnsi"/>
          <w:color w:val="auto"/>
        </w:rPr>
      </w:pPr>
      <w:r w:rsidRPr="00F32790">
        <w:rPr>
          <w:rFonts w:cs="Times New Roman"/>
          <w:szCs w:val="24"/>
        </w:rPr>
        <w:t xml:space="preserve">Projekt </w:t>
      </w:r>
      <w:r w:rsidRPr="00F32790">
        <w:rPr>
          <w:rFonts w:cs="Times New Roman"/>
          <w:b/>
          <w:szCs w:val="24"/>
        </w:rPr>
        <w:t>Konferencie o budúcnosti Európy</w:t>
      </w:r>
      <w:r w:rsidRPr="00F32790">
        <w:rPr>
          <w:rFonts w:cs="Times New Roman"/>
          <w:szCs w:val="24"/>
        </w:rPr>
        <w:t xml:space="preserve"> </w:t>
      </w:r>
      <w:r w:rsidR="0055196F" w:rsidRPr="00F32790">
        <w:rPr>
          <w:rFonts w:cs="Times New Roman"/>
          <w:szCs w:val="24"/>
        </w:rPr>
        <w:t>(</w:t>
      </w:r>
      <w:r w:rsidR="0057393C">
        <w:rPr>
          <w:rFonts w:cs="Times New Roman"/>
          <w:szCs w:val="24"/>
        </w:rPr>
        <w:t>ďalej „</w:t>
      </w:r>
      <w:proofErr w:type="spellStart"/>
      <w:r w:rsidR="0055196F" w:rsidRPr="00F32790">
        <w:rPr>
          <w:rFonts w:cs="Times New Roman"/>
          <w:szCs w:val="24"/>
        </w:rPr>
        <w:t>KoBE</w:t>
      </w:r>
      <w:proofErr w:type="spellEnd"/>
      <w:r w:rsidR="0057393C">
        <w:rPr>
          <w:rFonts w:cs="Times New Roman"/>
          <w:szCs w:val="24"/>
        </w:rPr>
        <w:t>“</w:t>
      </w:r>
      <w:r w:rsidR="0055196F" w:rsidRPr="00F32790">
        <w:rPr>
          <w:rFonts w:cs="Times New Roman"/>
          <w:szCs w:val="24"/>
        </w:rPr>
        <w:t xml:space="preserve">) </w:t>
      </w:r>
      <w:r w:rsidRPr="00F32790">
        <w:rPr>
          <w:rFonts w:cs="Times New Roman"/>
          <w:szCs w:val="24"/>
        </w:rPr>
        <w:t xml:space="preserve">bol úspešne ukončený v máji 2022. Zo série rôznorodých aktivít vzišla záverečná správa Konferencie, ktorá obsahovala 49 návrhov rozpracovaných v 326 konkrétnych odporúčaniach pre budúce smerovanie Únie. </w:t>
      </w:r>
      <w:r w:rsidR="008C1099">
        <w:rPr>
          <w:rFonts w:cs="Times New Roman"/>
          <w:szCs w:val="24"/>
        </w:rPr>
        <w:t>EK</w:t>
      </w:r>
      <w:r w:rsidRPr="00F32790">
        <w:rPr>
          <w:rFonts w:cs="Times New Roman"/>
          <w:szCs w:val="24"/>
        </w:rPr>
        <w:t xml:space="preserve"> ich využila pri príprave pracovného programu na rok 2023. MZVEZ SR iniciovalo medzirezortnú diskusiu k téme </w:t>
      </w:r>
      <w:r w:rsidRPr="00F32790">
        <w:rPr>
          <w:rFonts w:cs="Times New Roman"/>
          <w:b/>
          <w:szCs w:val="24"/>
        </w:rPr>
        <w:t>zefektívnenia rozhodovacích procesov Rady</w:t>
      </w:r>
      <w:r w:rsidR="003169FA">
        <w:rPr>
          <w:rFonts w:cs="Times New Roman"/>
          <w:b/>
          <w:szCs w:val="24"/>
        </w:rPr>
        <w:t xml:space="preserve"> EÚ</w:t>
      </w:r>
      <w:r w:rsidR="00265A4A" w:rsidRPr="00F32790">
        <w:rPr>
          <w:rFonts w:cs="Times New Roman"/>
          <w:b/>
          <w:szCs w:val="24"/>
        </w:rPr>
        <w:t xml:space="preserve"> </w:t>
      </w:r>
      <w:r w:rsidR="00265A4A" w:rsidRPr="00F32790">
        <w:rPr>
          <w:rFonts w:cs="Times New Roman"/>
          <w:szCs w:val="24"/>
        </w:rPr>
        <w:t>vrátane prechodu od jednomyseľného hlasovania ku hla</w:t>
      </w:r>
      <w:r w:rsidR="00386646">
        <w:rPr>
          <w:rFonts w:cs="Times New Roman"/>
          <w:szCs w:val="24"/>
        </w:rPr>
        <w:t>sovaniu kvalifikovanou väčšinou</w:t>
      </w:r>
      <w:r w:rsidRPr="00F32790">
        <w:rPr>
          <w:rFonts w:cs="Times New Roman"/>
          <w:szCs w:val="24"/>
        </w:rPr>
        <w:t xml:space="preserve">, ktorá bola jednou z najviac rezonujúcich požiadaviek občanov. </w:t>
      </w:r>
      <w:r w:rsidR="0055196F" w:rsidRPr="00F32790">
        <w:rPr>
          <w:rFonts w:cs="Times New Roman"/>
          <w:bCs/>
          <w:szCs w:val="24"/>
        </w:rPr>
        <w:t xml:space="preserve">Dňa 2. 12. 2022 sa v sídle EP v Bruseli uskutočnilo </w:t>
      </w:r>
      <w:r w:rsidR="0055196F" w:rsidRPr="00B5189F">
        <w:rPr>
          <w:rFonts w:cs="Times New Roman"/>
          <w:bCs/>
          <w:szCs w:val="24"/>
        </w:rPr>
        <w:t>podujatie</w:t>
      </w:r>
      <w:r w:rsidR="0055196F" w:rsidRPr="00F32790">
        <w:rPr>
          <w:rFonts w:cs="Times New Roman"/>
          <w:bCs/>
          <w:szCs w:val="24"/>
        </w:rPr>
        <w:t xml:space="preserve"> zamerané na poskytnutie spätnej väzby občanom o stave implementácie záverov </w:t>
      </w:r>
      <w:proofErr w:type="spellStart"/>
      <w:r w:rsidR="0055196F" w:rsidRPr="00F32790">
        <w:rPr>
          <w:rFonts w:cs="Times New Roman"/>
          <w:bCs/>
          <w:szCs w:val="24"/>
        </w:rPr>
        <w:t>KoBE</w:t>
      </w:r>
      <w:proofErr w:type="spellEnd"/>
      <w:r w:rsidR="0055196F" w:rsidRPr="00F32790">
        <w:rPr>
          <w:rFonts w:cs="Times New Roman"/>
          <w:szCs w:val="24"/>
        </w:rPr>
        <w:t> z 9. mája 2022 zo strany jednotlivých EÚ inštitúcií. Fyzicky sa ho zúčastnilo 535 o</w:t>
      </w:r>
      <w:r w:rsidR="00C9514C">
        <w:rPr>
          <w:rFonts w:cs="Times New Roman"/>
          <w:szCs w:val="24"/>
        </w:rPr>
        <w:t>sôb</w:t>
      </w:r>
      <w:r w:rsidR="0055196F" w:rsidRPr="00F32790">
        <w:rPr>
          <w:rFonts w:cs="Times New Roman"/>
          <w:szCs w:val="24"/>
        </w:rPr>
        <w:t xml:space="preserve">, </w:t>
      </w:r>
      <w:r w:rsidR="00C9514C">
        <w:rPr>
          <w:rFonts w:cs="Times New Roman"/>
          <w:szCs w:val="24"/>
        </w:rPr>
        <w:t xml:space="preserve">ďalších 20 osôb bolo pripojených </w:t>
      </w:r>
      <w:r w:rsidR="0055196F" w:rsidRPr="00F32790">
        <w:rPr>
          <w:rFonts w:cs="Times New Roman"/>
          <w:szCs w:val="24"/>
        </w:rPr>
        <w:t xml:space="preserve">online s možnosťou vystúpenia v diskusii. Občania sa dopytovali zástupcov inštitúcií na konkrétne kroky implementácie záverov </w:t>
      </w:r>
      <w:proofErr w:type="spellStart"/>
      <w:r w:rsidR="0055196F" w:rsidRPr="00F32790">
        <w:rPr>
          <w:rFonts w:cs="Times New Roman"/>
          <w:szCs w:val="24"/>
        </w:rPr>
        <w:t>KoBE</w:t>
      </w:r>
      <w:proofErr w:type="spellEnd"/>
      <w:r w:rsidR="0055196F" w:rsidRPr="00F32790">
        <w:rPr>
          <w:rFonts w:cs="Times New Roman"/>
          <w:szCs w:val="24"/>
        </w:rPr>
        <w:t xml:space="preserve">. Diskusii dominovali </w:t>
      </w:r>
      <w:proofErr w:type="spellStart"/>
      <w:r w:rsidR="0055196F" w:rsidRPr="00F32790">
        <w:rPr>
          <w:rFonts w:cs="Times New Roman"/>
          <w:szCs w:val="24"/>
        </w:rPr>
        <w:t>sektorálne</w:t>
      </w:r>
      <w:proofErr w:type="spellEnd"/>
      <w:r w:rsidR="0055196F" w:rsidRPr="00F32790">
        <w:rPr>
          <w:rFonts w:cs="Times New Roman"/>
          <w:szCs w:val="24"/>
        </w:rPr>
        <w:t xml:space="preserve"> otázky – občania sa zaujímali o implementáciu návrhov v oblasti klimatických zmien, energetiky, digitalizácie, migrácie, právneho štátu, vzdelávania, politiky mládeže, či v oblasti sociálnych politík </w:t>
      </w:r>
      <w:r w:rsidR="0055196F" w:rsidRPr="00F32790">
        <w:rPr>
          <w:rFonts w:cs="Times New Roman"/>
          <w:i/>
          <w:iCs/>
          <w:szCs w:val="24"/>
        </w:rPr>
        <w:t>. </w:t>
      </w:r>
      <w:r w:rsidR="0055196F" w:rsidRPr="00F32790">
        <w:rPr>
          <w:rFonts w:cs="Times New Roman"/>
          <w:szCs w:val="24"/>
        </w:rPr>
        <w:t xml:space="preserve">Viacero otázok sa však dotýkalo aj inštitucionálnej reformy – </w:t>
      </w:r>
      <w:r w:rsidR="00B52C6D">
        <w:rPr>
          <w:rFonts w:cs="Times New Roman"/>
          <w:szCs w:val="24"/>
        </w:rPr>
        <w:t>ako napríklad</w:t>
      </w:r>
      <w:r w:rsidR="0055196F" w:rsidRPr="00F32790">
        <w:rPr>
          <w:rFonts w:cs="Times New Roman"/>
          <w:szCs w:val="24"/>
        </w:rPr>
        <w:t xml:space="preserve"> či a kedy </w:t>
      </w:r>
      <w:r w:rsidR="00B52C6D">
        <w:rPr>
          <w:rFonts w:cs="Times New Roman"/>
          <w:szCs w:val="24"/>
        </w:rPr>
        <w:t xml:space="preserve">sa </w:t>
      </w:r>
      <w:r w:rsidR="0055196F" w:rsidRPr="00F32790">
        <w:rPr>
          <w:rFonts w:cs="Times New Roman"/>
          <w:szCs w:val="24"/>
        </w:rPr>
        <w:t>môž</w:t>
      </w:r>
      <w:r w:rsidR="00B52C6D">
        <w:rPr>
          <w:rFonts w:cs="Times New Roman"/>
          <w:szCs w:val="24"/>
        </w:rPr>
        <w:t>e</w:t>
      </w:r>
      <w:r w:rsidR="0055196F" w:rsidRPr="00F32790">
        <w:rPr>
          <w:rFonts w:cs="Times New Roman"/>
          <w:szCs w:val="24"/>
        </w:rPr>
        <w:t xml:space="preserve"> očakávať otvorenie Konventu za účelom revízie zmlúv, prípadne kedy dôjde k zmene hlasovania v Rade z jednomyseľného hlasovania na hlasovanie kvalifikovanou väčšinou. P</w:t>
      </w:r>
      <w:r w:rsidR="0055196F" w:rsidRPr="00F32790">
        <w:rPr>
          <w:rFonts w:cs="Times New Roman"/>
          <w:bCs/>
          <w:szCs w:val="24"/>
        </w:rPr>
        <w:t>o skončení podujatia</w:t>
      </w:r>
      <w:r w:rsidR="00B52C6D">
        <w:rPr>
          <w:rFonts w:cs="Times New Roman"/>
          <w:bCs/>
          <w:szCs w:val="24"/>
        </w:rPr>
        <w:t xml:space="preserve"> účastníci</w:t>
      </w:r>
      <w:r w:rsidR="0055196F" w:rsidRPr="00F32790">
        <w:rPr>
          <w:rFonts w:cs="Times New Roman"/>
          <w:bCs/>
          <w:szCs w:val="24"/>
        </w:rPr>
        <w:t xml:space="preserve">  odovzdali </w:t>
      </w:r>
      <w:r w:rsidR="003876B0">
        <w:rPr>
          <w:rFonts w:cs="Times New Roman"/>
          <w:bCs/>
          <w:szCs w:val="24"/>
        </w:rPr>
        <w:t>EK</w:t>
      </w:r>
      <w:r w:rsidR="0055196F" w:rsidRPr="00F32790">
        <w:rPr>
          <w:rFonts w:cs="Times New Roman"/>
          <w:bCs/>
          <w:szCs w:val="24"/>
        </w:rPr>
        <w:t xml:space="preserve"> a </w:t>
      </w:r>
      <w:r w:rsidR="003876B0">
        <w:rPr>
          <w:rFonts w:cs="Times New Roman"/>
          <w:bCs/>
          <w:szCs w:val="24"/>
        </w:rPr>
        <w:t>ER</w:t>
      </w:r>
      <w:r w:rsidR="0055196F" w:rsidRPr="00F32790">
        <w:rPr>
          <w:rFonts w:cs="Times New Roman"/>
          <w:bCs/>
          <w:szCs w:val="24"/>
        </w:rPr>
        <w:t xml:space="preserve"> podpísané listy, ktorými tieto inštitúcie vyzývajú na splnenie všetkých návrhov </w:t>
      </w:r>
      <w:proofErr w:type="spellStart"/>
      <w:r w:rsidR="0055196F" w:rsidRPr="00F32790">
        <w:rPr>
          <w:rFonts w:cs="Times New Roman"/>
          <w:bCs/>
          <w:szCs w:val="24"/>
        </w:rPr>
        <w:t>KoBE</w:t>
      </w:r>
      <w:proofErr w:type="spellEnd"/>
      <w:r w:rsidR="0055196F" w:rsidRPr="00F32790">
        <w:rPr>
          <w:rFonts w:cs="Times New Roman"/>
          <w:bCs/>
          <w:szCs w:val="24"/>
        </w:rPr>
        <w:t>, vrátane inštitucionálnej reformy</w:t>
      </w:r>
      <w:r w:rsidR="0055196F" w:rsidRPr="00F32790">
        <w:rPr>
          <w:rFonts w:cs="Times New Roman"/>
          <w:i/>
          <w:iCs/>
          <w:szCs w:val="24"/>
        </w:rPr>
        <w:t>. </w:t>
      </w:r>
    </w:p>
    <w:p w14:paraId="7BC80306" w14:textId="77777777" w:rsidR="001A572B" w:rsidRPr="00F32790" w:rsidRDefault="001A572B" w:rsidP="001734FE">
      <w:pPr>
        <w:spacing w:after="0" w:line="240" w:lineRule="auto"/>
        <w:rPr>
          <w:rFonts w:cs="Times New Roman"/>
          <w:color w:val="auto"/>
          <w:szCs w:val="24"/>
        </w:rPr>
      </w:pPr>
    </w:p>
    <w:p w14:paraId="1EE11506" w14:textId="0014D4F2" w:rsidR="00240913" w:rsidRPr="00F32790" w:rsidRDefault="00240913" w:rsidP="001734FE">
      <w:pPr>
        <w:spacing w:after="0" w:line="240" w:lineRule="auto"/>
        <w:rPr>
          <w:rFonts w:cs="Times New Roman"/>
          <w:color w:val="auto"/>
          <w:szCs w:val="24"/>
        </w:rPr>
      </w:pPr>
      <w:r w:rsidRPr="00F32790">
        <w:rPr>
          <w:rFonts w:cs="Times New Roman"/>
          <w:szCs w:val="24"/>
        </w:rPr>
        <w:t xml:space="preserve">V oblasti </w:t>
      </w:r>
      <w:r w:rsidRPr="00F32790">
        <w:rPr>
          <w:rFonts w:cs="Times New Roman"/>
          <w:b/>
          <w:szCs w:val="24"/>
        </w:rPr>
        <w:t>rovnosti žien a mužov</w:t>
      </w:r>
      <w:r w:rsidRPr="00F32790">
        <w:rPr>
          <w:rFonts w:cs="Times New Roman"/>
          <w:szCs w:val="24"/>
        </w:rPr>
        <w:t xml:space="preserve"> bolo prelomovým odblokovanie </w:t>
      </w:r>
      <w:r w:rsidRPr="00F32790">
        <w:rPr>
          <w:rFonts w:cs="Times New Roman"/>
          <w:b/>
          <w:szCs w:val="24"/>
        </w:rPr>
        <w:t>návrhu smernice o zlepšení rodovej vyváženosti medzi riadiacimi pracovníkmi kótovaných spoločností</w:t>
      </w:r>
      <w:r w:rsidRPr="00F32790">
        <w:rPr>
          <w:rFonts w:cs="Times New Roman"/>
          <w:szCs w:val="24"/>
        </w:rPr>
        <w:t xml:space="preserve"> na poli Rady EÚ po 10 rokoch </w:t>
      </w:r>
      <w:r w:rsidR="0055196F" w:rsidRPr="00F32790">
        <w:rPr>
          <w:rFonts w:cs="Times New Roman"/>
          <w:szCs w:val="24"/>
        </w:rPr>
        <w:t>a jej prijati</w:t>
      </w:r>
      <w:r w:rsidR="0019101E">
        <w:rPr>
          <w:rFonts w:cs="Times New Roman"/>
          <w:szCs w:val="24"/>
        </w:rPr>
        <w:t>e</w:t>
      </w:r>
      <w:r w:rsidR="0055196F" w:rsidRPr="00F32790">
        <w:rPr>
          <w:rFonts w:cs="Times New Roman"/>
          <w:szCs w:val="24"/>
        </w:rPr>
        <w:t xml:space="preserve"> </w:t>
      </w:r>
      <w:r w:rsidRPr="00F32790">
        <w:rPr>
          <w:rFonts w:cs="Times New Roman"/>
          <w:szCs w:val="24"/>
        </w:rPr>
        <w:t>23. novembra 2022. Smernica má za cieľ riešiť fenomén tzv. „skleneného stropu“ zlepšením rodovej vyváženosti medzi členmi vrcholových orgánov veľkých kótovaných spoločností. Dotknuté spoločnosti sa musia usilovať o dosiahnutie cieľa 40 % nevýkonných riadiacich pracovníkov (alebo 33 % výkonných aj nevýkonných riadiacich pracovníkov) tvorených nedostatočne zastúpeným pohlavím do 30. júna 2026. Zároveň sa vyžaduje, aby spoločnosti zaviedli jasné a jednoznačné kritériá pre výber členov vrcholových orgánov vrátane tzv. preferenčného pravidla, podľa ktorého v prípade rovnako kvalifikovaných kandidátov oboch pohlaví sa priorita spravidla udelí kandidátovi nedostatočne zastúpeného pohlavia. SR dosahuje v rámci EÚ podpriemerné výsledky, pokiaľ ide o účasť žien na hospodárskom rozhodovaní a patrí medzi členské štáty, ktoré kvóty ako nástroj na zabezpečenie väčšej rodovej vyváženosti nepoužívajú. Napriek tomu, že nedosiahnutie samotných cieľov spoločnosťami nemá mať v zmysle smernice za následok sankcie, SR patrila medzi členské štáty, ktoré by boli preferovali ponechanie predmetnej úpravy na vnútroštátnej úrovni, resp. samoreguláciu.</w:t>
      </w:r>
    </w:p>
    <w:p w14:paraId="7BC71131" w14:textId="77777777" w:rsidR="001505BC" w:rsidRPr="00F32790" w:rsidRDefault="001505BC" w:rsidP="001734FE">
      <w:pPr>
        <w:spacing w:line="240" w:lineRule="auto"/>
        <w:rPr>
          <w:rFonts w:cs="Times New Roman"/>
          <w:szCs w:val="24"/>
        </w:rPr>
      </w:pPr>
    </w:p>
    <w:p w14:paraId="6F96E56D" w14:textId="4AB0BD1A" w:rsidR="003B0629" w:rsidRPr="00F32790" w:rsidRDefault="003B0629" w:rsidP="001734FE">
      <w:pPr>
        <w:pStyle w:val="Nadpis1"/>
        <w:jc w:val="both"/>
        <w:rPr>
          <w:rFonts w:cs="Times New Roman"/>
          <w:b w:val="0"/>
          <w:color w:val="auto"/>
          <w:szCs w:val="24"/>
        </w:rPr>
      </w:pPr>
      <w:r w:rsidRPr="00F32790">
        <w:rPr>
          <w:rFonts w:cs="Times New Roman"/>
          <w:color w:val="auto"/>
          <w:szCs w:val="24"/>
        </w:rPr>
        <w:t>3. Personálne zastúpenie Slovenskej republiky v inštitúciách Európskej únie</w:t>
      </w:r>
    </w:p>
    <w:p w14:paraId="0297CF1A" w14:textId="77777777" w:rsidR="003B0629" w:rsidRPr="00F32790" w:rsidRDefault="003B0629" w:rsidP="001734FE">
      <w:pPr>
        <w:pStyle w:val="Nadpis1"/>
        <w:jc w:val="both"/>
        <w:rPr>
          <w:rFonts w:cs="Times New Roman"/>
          <w:color w:val="FF0000"/>
          <w:szCs w:val="24"/>
        </w:rPr>
      </w:pPr>
    </w:p>
    <w:p w14:paraId="27A322C1" w14:textId="5BC1B045" w:rsidR="00FA1EB7" w:rsidRPr="00F32790" w:rsidRDefault="001A1C06" w:rsidP="001734FE">
      <w:pPr>
        <w:spacing w:after="0" w:line="240" w:lineRule="auto"/>
        <w:rPr>
          <w:rFonts w:cs="Times New Roman"/>
          <w:szCs w:val="24"/>
        </w:rPr>
      </w:pPr>
      <w:r w:rsidRPr="00F32790">
        <w:rPr>
          <w:rFonts w:cs="Times New Roman"/>
          <w:color w:val="auto"/>
          <w:szCs w:val="24"/>
        </w:rPr>
        <w:t>V</w:t>
      </w:r>
      <w:r w:rsidR="00E3295E" w:rsidRPr="00F32790">
        <w:rPr>
          <w:rFonts w:cs="Times New Roman"/>
          <w:color w:val="auto"/>
          <w:szCs w:val="24"/>
        </w:rPr>
        <w:t xml:space="preserve"> štruktúrach EÚ </w:t>
      </w:r>
      <w:r w:rsidRPr="00F32790">
        <w:rPr>
          <w:rFonts w:cs="Times New Roman"/>
          <w:color w:val="auto"/>
          <w:szCs w:val="24"/>
        </w:rPr>
        <w:t>v roku 202</w:t>
      </w:r>
      <w:r w:rsidR="00080248" w:rsidRPr="00F32790">
        <w:rPr>
          <w:rFonts w:cs="Times New Roman"/>
          <w:color w:val="auto"/>
          <w:szCs w:val="24"/>
        </w:rPr>
        <w:t>2</w:t>
      </w:r>
      <w:r w:rsidRPr="00F32790">
        <w:rPr>
          <w:rFonts w:cs="Times New Roman"/>
          <w:color w:val="auto"/>
          <w:szCs w:val="24"/>
        </w:rPr>
        <w:t xml:space="preserve"> pracovalo </w:t>
      </w:r>
      <w:r w:rsidR="001C3DC9" w:rsidRPr="00386646">
        <w:rPr>
          <w:rFonts w:cs="Times New Roman"/>
          <w:b/>
          <w:color w:val="auto"/>
          <w:szCs w:val="24"/>
        </w:rPr>
        <w:t>768</w:t>
      </w:r>
      <w:r w:rsidRPr="00386646">
        <w:rPr>
          <w:rFonts w:cs="Times New Roman"/>
          <w:b/>
          <w:color w:val="auto"/>
          <w:szCs w:val="24"/>
        </w:rPr>
        <w:t xml:space="preserve"> občanov SR</w:t>
      </w:r>
      <w:r w:rsidR="00E3295E" w:rsidRPr="00F32790">
        <w:rPr>
          <w:rFonts w:cs="Times New Roman"/>
          <w:color w:val="auto"/>
          <w:szCs w:val="24"/>
        </w:rPr>
        <w:t xml:space="preserve"> (v EK </w:t>
      </w:r>
      <w:r w:rsidR="001C3DC9" w:rsidRPr="00F32790">
        <w:rPr>
          <w:rFonts w:cs="Times New Roman"/>
          <w:color w:val="auto"/>
          <w:szCs w:val="24"/>
        </w:rPr>
        <w:t>446</w:t>
      </w:r>
      <w:r w:rsidR="00E3295E" w:rsidRPr="00F32790">
        <w:rPr>
          <w:rFonts w:cs="Times New Roman"/>
          <w:color w:val="auto"/>
          <w:szCs w:val="24"/>
        </w:rPr>
        <w:t xml:space="preserve"> občanov; v Európskom parlamente 1</w:t>
      </w:r>
      <w:r w:rsidR="001C3DC9" w:rsidRPr="00F32790">
        <w:rPr>
          <w:rFonts w:cs="Times New Roman"/>
          <w:color w:val="auto"/>
          <w:szCs w:val="24"/>
        </w:rPr>
        <w:t>98</w:t>
      </w:r>
      <w:r w:rsidR="00E3295E" w:rsidRPr="00F32790">
        <w:rPr>
          <w:rFonts w:cs="Times New Roman"/>
          <w:color w:val="auto"/>
          <w:szCs w:val="24"/>
        </w:rPr>
        <w:t xml:space="preserve">; v Generálnom sekretariáte Rady EÚ </w:t>
      </w:r>
      <w:r w:rsidR="001C3DC9" w:rsidRPr="00F32790">
        <w:rPr>
          <w:rFonts w:cs="Times New Roman"/>
          <w:color w:val="auto"/>
          <w:szCs w:val="24"/>
        </w:rPr>
        <w:t>5</w:t>
      </w:r>
      <w:r w:rsidR="00E3295E" w:rsidRPr="00F32790">
        <w:rPr>
          <w:rFonts w:cs="Times New Roman"/>
          <w:color w:val="auto"/>
          <w:szCs w:val="24"/>
        </w:rPr>
        <w:t>6; vo Výbore regiónov 1</w:t>
      </w:r>
      <w:r w:rsidR="001C3DC9" w:rsidRPr="00F32790">
        <w:rPr>
          <w:rFonts w:cs="Times New Roman"/>
          <w:color w:val="auto"/>
          <w:szCs w:val="24"/>
        </w:rPr>
        <w:t>6</w:t>
      </w:r>
      <w:r w:rsidR="00E3295E" w:rsidRPr="00F32790">
        <w:rPr>
          <w:rFonts w:cs="Times New Roman"/>
          <w:color w:val="auto"/>
          <w:szCs w:val="24"/>
        </w:rPr>
        <w:t>, v Európskom hospodárskom a sociálnom výbore 19 a v rámci Európskej služby pre vonkajšiu činnosť 3</w:t>
      </w:r>
      <w:r w:rsidR="001C3DC9" w:rsidRPr="00F32790">
        <w:rPr>
          <w:rFonts w:cs="Times New Roman"/>
          <w:color w:val="auto"/>
          <w:szCs w:val="24"/>
        </w:rPr>
        <w:t>3</w:t>
      </w:r>
      <w:r w:rsidR="00E3295E" w:rsidRPr="00F32790">
        <w:rPr>
          <w:rFonts w:cs="Times New Roman"/>
          <w:color w:val="auto"/>
          <w:szCs w:val="24"/>
        </w:rPr>
        <w:t xml:space="preserve">). </w:t>
      </w:r>
      <w:r w:rsidRPr="00F32790">
        <w:rPr>
          <w:rFonts w:cs="Times New Roman"/>
          <w:color w:val="auto"/>
          <w:szCs w:val="24"/>
        </w:rPr>
        <w:t xml:space="preserve">Celkovo existuje priestor na </w:t>
      </w:r>
      <w:r w:rsidRPr="00F32790">
        <w:rPr>
          <w:rFonts w:cs="Times New Roman"/>
          <w:b/>
          <w:color w:val="auto"/>
          <w:szCs w:val="24"/>
        </w:rPr>
        <w:t>posilnenie personálneho z</w:t>
      </w:r>
      <w:r w:rsidR="00E3295E" w:rsidRPr="00F32790">
        <w:rPr>
          <w:rFonts w:cs="Times New Roman"/>
          <w:b/>
          <w:color w:val="auto"/>
          <w:szCs w:val="24"/>
        </w:rPr>
        <w:t>astúpeni</w:t>
      </w:r>
      <w:r w:rsidRPr="00F32790">
        <w:rPr>
          <w:rFonts w:cs="Times New Roman"/>
          <w:b/>
          <w:color w:val="auto"/>
          <w:szCs w:val="24"/>
        </w:rPr>
        <w:t>a</w:t>
      </w:r>
      <w:r w:rsidR="00E3295E" w:rsidRPr="00F32790">
        <w:rPr>
          <w:rFonts w:cs="Times New Roman"/>
          <w:b/>
          <w:color w:val="auto"/>
          <w:szCs w:val="24"/>
        </w:rPr>
        <w:t xml:space="preserve"> SR v inštitúciách EÚ</w:t>
      </w:r>
      <w:r w:rsidR="00E3295E" w:rsidRPr="00F32790">
        <w:rPr>
          <w:rFonts w:cs="Times New Roman"/>
          <w:color w:val="auto"/>
          <w:szCs w:val="24"/>
        </w:rPr>
        <w:t>.</w:t>
      </w:r>
      <w:r w:rsidR="001C3DC9" w:rsidRPr="00F32790">
        <w:rPr>
          <w:rFonts w:cs="Times New Roman"/>
          <w:color w:val="auto"/>
          <w:szCs w:val="24"/>
        </w:rPr>
        <w:t xml:space="preserve"> </w:t>
      </w:r>
      <w:r w:rsidR="006F0DCD" w:rsidRPr="00F32790">
        <w:rPr>
          <w:rFonts w:cs="Times New Roman"/>
          <w:color w:val="auto"/>
          <w:szCs w:val="24"/>
        </w:rPr>
        <w:t>Tvorba európskej politiky začína na národnej úrovni</w:t>
      </w:r>
      <w:r w:rsidR="006F0DCD" w:rsidRPr="00F32790">
        <w:rPr>
          <w:rFonts w:cs="Times New Roman"/>
          <w:color w:val="FF0000"/>
          <w:szCs w:val="24"/>
        </w:rPr>
        <w:t xml:space="preserve">. </w:t>
      </w:r>
      <w:r w:rsidR="006F0DCD" w:rsidRPr="00F32790">
        <w:rPr>
          <w:rFonts w:cs="Times New Roman"/>
          <w:bCs/>
          <w:szCs w:val="24"/>
        </w:rPr>
        <w:t xml:space="preserve">Pre </w:t>
      </w:r>
      <w:r w:rsidR="00147C10">
        <w:rPr>
          <w:rFonts w:cs="Times New Roman"/>
          <w:bCs/>
          <w:szCs w:val="24"/>
        </w:rPr>
        <w:t>SR</w:t>
      </w:r>
      <w:r w:rsidR="006F0DCD" w:rsidRPr="00F32790">
        <w:rPr>
          <w:rFonts w:cs="Times New Roman"/>
          <w:bCs/>
          <w:szCs w:val="24"/>
        </w:rPr>
        <w:t xml:space="preserve"> ako členský štát EÚ je potrebné a žiaduce, aby v štruktúrach inštitúcií EÚ mala zamestnaných čo najviac svojich občanov, keďže títo prispievajú k posilneniu pozície </w:t>
      </w:r>
      <w:r w:rsidR="00147C10">
        <w:rPr>
          <w:rFonts w:cs="Times New Roman"/>
          <w:bCs/>
          <w:szCs w:val="24"/>
        </w:rPr>
        <w:t>SR</w:t>
      </w:r>
      <w:r w:rsidR="006F0DCD" w:rsidRPr="00F32790">
        <w:rPr>
          <w:rFonts w:cs="Times New Roman"/>
          <w:bCs/>
          <w:szCs w:val="24"/>
        </w:rPr>
        <w:t xml:space="preserve"> v rámci EÚ. </w:t>
      </w:r>
      <w:r w:rsidR="006F0DCD" w:rsidRPr="00F32790">
        <w:rPr>
          <w:rFonts w:cs="Times New Roman"/>
          <w:szCs w:val="24"/>
          <w:lang w:eastAsia="ar-SA"/>
        </w:rPr>
        <w:t xml:space="preserve">Princíp nediskriminácie a čo </w:t>
      </w:r>
      <w:r w:rsidR="006F0DCD" w:rsidRPr="00F32790">
        <w:rPr>
          <w:rFonts w:cs="Times New Roman"/>
          <w:szCs w:val="24"/>
          <w:lang w:eastAsia="ar-SA"/>
        </w:rPr>
        <w:lastRenderedPageBreak/>
        <w:t xml:space="preserve">najširšieho geografického zastúpenia je obsiahnutý v Služobnom poriadku úradníkov EÚ, pričom je na každej inštitúcii, aby v súlade so zásadou inštitucionálnej autonómie na tomto právnom základe prijala príslušné opatrenia. Zatiaľ tak urobila iba </w:t>
      </w:r>
      <w:r w:rsidR="008C1099">
        <w:rPr>
          <w:rFonts w:cs="Times New Roman"/>
          <w:szCs w:val="24"/>
          <w:lang w:eastAsia="ar-SA"/>
        </w:rPr>
        <w:t>EK</w:t>
      </w:r>
      <w:r w:rsidR="00265A4A" w:rsidRPr="00F32790">
        <w:rPr>
          <w:rFonts w:cs="Times New Roman"/>
          <w:szCs w:val="24"/>
          <w:lang w:eastAsia="ar-SA"/>
        </w:rPr>
        <w:t>,</w:t>
      </w:r>
      <w:r w:rsidR="006F0DCD" w:rsidRPr="00F32790">
        <w:rPr>
          <w:rFonts w:cs="Times New Roman"/>
          <w:szCs w:val="24"/>
          <w:lang w:eastAsia="ar-SA"/>
        </w:rPr>
        <w:t xml:space="preserve"> </w:t>
      </w:r>
      <w:r w:rsidR="006F0DCD" w:rsidRPr="00F32790">
        <w:rPr>
          <w:rFonts w:cs="Times New Roman"/>
          <w:szCs w:val="24"/>
        </w:rPr>
        <w:t xml:space="preserve">ktorá v apríli 2022 vydala novú Stratégiu ľudských zdrojov, kde tento problém pomenúva spolu s riešeniami. Kľúčovou súčasťou </w:t>
      </w:r>
      <w:r w:rsidR="006F0DCD" w:rsidRPr="00F32790">
        <w:rPr>
          <w:rFonts w:cs="Times New Roman"/>
          <w:bCs/>
          <w:szCs w:val="24"/>
        </w:rPr>
        <w:t>stratégie</w:t>
      </w:r>
      <w:r w:rsidR="006F0DCD" w:rsidRPr="00F32790">
        <w:rPr>
          <w:rFonts w:cs="Times New Roman"/>
          <w:b/>
          <w:bCs/>
          <w:szCs w:val="24"/>
        </w:rPr>
        <w:t xml:space="preserve"> </w:t>
      </w:r>
      <w:r w:rsidR="006F0DCD" w:rsidRPr="00F32790">
        <w:rPr>
          <w:rFonts w:cs="Times New Roman"/>
          <w:szCs w:val="24"/>
        </w:rPr>
        <w:t xml:space="preserve">v súvislosti s otázkou zabezpečenia geograficky vyváženého zastúpenia v EK je vypracovanie </w:t>
      </w:r>
      <w:r w:rsidR="006F0DCD" w:rsidRPr="00F32790">
        <w:rPr>
          <w:rFonts w:cs="Times New Roman"/>
          <w:bCs/>
          <w:szCs w:val="24"/>
        </w:rPr>
        <w:t>akčných plánov.</w:t>
      </w:r>
      <w:r w:rsidR="006F0DCD" w:rsidRPr="00F32790">
        <w:rPr>
          <w:rFonts w:cs="Times New Roman"/>
          <w:b/>
          <w:bCs/>
          <w:szCs w:val="24"/>
        </w:rPr>
        <w:t xml:space="preserve"> </w:t>
      </w:r>
      <w:r w:rsidR="006F0DCD" w:rsidRPr="00F32790">
        <w:rPr>
          <w:rFonts w:cs="Times New Roman"/>
          <w:bCs/>
          <w:szCs w:val="24"/>
        </w:rPr>
        <w:t>Prípravy</w:t>
      </w:r>
      <w:r w:rsidR="006F0DCD" w:rsidRPr="00F32790">
        <w:rPr>
          <w:rFonts w:cs="Times New Roman"/>
          <w:b/>
          <w:bCs/>
          <w:szCs w:val="24"/>
        </w:rPr>
        <w:t xml:space="preserve"> Akčného plánu </w:t>
      </w:r>
      <w:r w:rsidR="008967C8">
        <w:rPr>
          <w:rFonts w:cs="Times New Roman"/>
          <w:b/>
          <w:bCs/>
          <w:szCs w:val="24"/>
        </w:rPr>
        <w:br/>
      </w:r>
      <w:r w:rsidR="006F0DCD" w:rsidRPr="00F32790">
        <w:rPr>
          <w:rFonts w:cs="Times New Roman"/>
          <w:b/>
          <w:bCs/>
          <w:szCs w:val="24"/>
        </w:rPr>
        <w:t xml:space="preserve">o geografickej rovnováhe pre </w:t>
      </w:r>
      <w:r w:rsidR="00147C10">
        <w:rPr>
          <w:rFonts w:cs="Times New Roman"/>
          <w:b/>
          <w:bCs/>
          <w:szCs w:val="24"/>
        </w:rPr>
        <w:t>SR</w:t>
      </w:r>
      <w:r w:rsidR="006F0DCD" w:rsidRPr="00F32790">
        <w:rPr>
          <w:rFonts w:cs="Times New Roman"/>
          <w:b/>
          <w:bCs/>
          <w:szCs w:val="24"/>
        </w:rPr>
        <w:t xml:space="preserve"> </w:t>
      </w:r>
      <w:r w:rsidR="006F0DCD" w:rsidRPr="00F32790">
        <w:rPr>
          <w:rFonts w:cs="Times New Roman"/>
          <w:bCs/>
          <w:szCs w:val="24"/>
        </w:rPr>
        <w:t>boli spustené v júli 2022</w:t>
      </w:r>
      <w:r w:rsidR="006F0DCD" w:rsidRPr="00B5189F">
        <w:rPr>
          <w:rFonts w:cs="Times New Roman"/>
          <w:bCs/>
          <w:szCs w:val="24"/>
        </w:rPr>
        <w:t>.</w:t>
      </w:r>
      <w:r w:rsidR="006F0DCD" w:rsidRPr="00F32790">
        <w:rPr>
          <w:rFonts w:cs="Times New Roman"/>
          <w:b/>
          <w:bCs/>
          <w:szCs w:val="24"/>
        </w:rPr>
        <w:t xml:space="preserve"> </w:t>
      </w:r>
      <w:r w:rsidR="00FA1EB7" w:rsidRPr="00F32790">
        <w:rPr>
          <w:rFonts w:cs="Times New Roman"/>
          <w:szCs w:val="24"/>
        </w:rPr>
        <w:t xml:space="preserve">V nadväznosti na toto úvodné stretnutie sa v októbri 2022 uskutočnilo </w:t>
      </w:r>
      <w:r w:rsidR="00FA1EB7" w:rsidRPr="00F32790">
        <w:rPr>
          <w:rFonts w:cs="Times New Roman"/>
          <w:bCs/>
          <w:szCs w:val="24"/>
        </w:rPr>
        <w:t>prvé rokovanie s EK na technickej úrovni</w:t>
      </w:r>
      <w:r w:rsidR="00FA1EB7" w:rsidRPr="00F32790">
        <w:rPr>
          <w:rFonts w:cs="Times New Roman"/>
          <w:szCs w:val="24"/>
        </w:rPr>
        <w:t>, ktorého cieľom bolo prediskutovať prvý návrh akčného plánu pre SK (štatistické východiská, navrhované opatrenia, zber dát a výkonnostné indikátory).</w:t>
      </w:r>
      <w:r w:rsidR="00555F7B">
        <w:rPr>
          <w:rFonts w:cs="Times New Roman"/>
          <w:szCs w:val="24"/>
        </w:rPr>
        <w:t xml:space="preserve"> </w:t>
      </w:r>
      <w:r w:rsidR="00FA1EB7" w:rsidRPr="00F32790">
        <w:rPr>
          <w:rFonts w:cs="Times New Roman"/>
          <w:szCs w:val="24"/>
        </w:rPr>
        <w:t>Prijatie</w:t>
      </w:r>
      <w:r w:rsidR="00FA1EB7" w:rsidRPr="00F32790">
        <w:rPr>
          <w:rFonts w:cs="Times New Roman"/>
          <w:bCs/>
          <w:szCs w:val="24"/>
        </w:rPr>
        <w:t xml:space="preserve"> akčného plánu a začiatok jeho implementácie sa predpokladá </w:t>
      </w:r>
      <w:r w:rsidR="00FA1EB7" w:rsidRPr="00F32790">
        <w:rPr>
          <w:rFonts w:cs="Times New Roman"/>
          <w:szCs w:val="24"/>
        </w:rPr>
        <w:t>začiatkom roka 2023</w:t>
      </w:r>
      <w:r w:rsidR="00FA1EB7" w:rsidRPr="00F32790">
        <w:rPr>
          <w:rFonts w:cs="Times New Roman"/>
          <w:bCs/>
          <w:szCs w:val="24"/>
        </w:rPr>
        <w:t xml:space="preserve"> a jeho </w:t>
      </w:r>
      <w:r w:rsidR="00FA1EB7" w:rsidRPr="00F32790">
        <w:rPr>
          <w:rFonts w:cs="Times New Roman"/>
          <w:szCs w:val="24"/>
        </w:rPr>
        <w:t>vyhodnotenie začiatkom roka 2024</w:t>
      </w:r>
      <w:r w:rsidR="00FA1EB7" w:rsidRPr="00F32790">
        <w:rPr>
          <w:rFonts w:cs="Times New Roman"/>
          <w:bCs/>
          <w:szCs w:val="24"/>
        </w:rPr>
        <w:t>.</w:t>
      </w:r>
    </w:p>
    <w:p w14:paraId="65728B5F" w14:textId="77777777" w:rsidR="00FA1EB7" w:rsidRPr="00F32790" w:rsidRDefault="00FA1EB7" w:rsidP="001734FE">
      <w:pPr>
        <w:spacing w:after="0" w:line="240" w:lineRule="auto"/>
        <w:rPr>
          <w:rFonts w:cs="Times New Roman"/>
          <w:szCs w:val="24"/>
        </w:rPr>
      </w:pPr>
    </w:p>
    <w:p w14:paraId="14645EAD" w14:textId="3FC1BECE" w:rsidR="001A572B" w:rsidRPr="00F32790" w:rsidRDefault="00265A4A" w:rsidP="001734FE">
      <w:pPr>
        <w:spacing w:after="0" w:line="240" w:lineRule="auto"/>
        <w:rPr>
          <w:rFonts w:cs="Times New Roman"/>
          <w:bCs/>
          <w:color w:val="000000" w:themeColor="text1"/>
          <w:szCs w:val="24"/>
        </w:rPr>
      </w:pPr>
      <w:r w:rsidRPr="00F32790">
        <w:rPr>
          <w:rFonts w:cs="Times New Roman"/>
          <w:bCs/>
          <w:color w:val="000000" w:themeColor="text1"/>
          <w:szCs w:val="24"/>
        </w:rPr>
        <w:t xml:space="preserve">Z pohľadu SR vývoj v ostatných troch rokoch poukazuje na </w:t>
      </w:r>
      <w:r w:rsidRPr="00F32790">
        <w:rPr>
          <w:rFonts w:cs="Times New Roman"/>
          <w:color w:val="000000" w:themeColor="text1"/>
          <w:szCs w:val="24"/>
        </w:rPr>
        <w:t>zhoršenie</w:t>
      </w:r>
      <w:r w:rsidRPr="00F32790">
        <w:rPr>
          <w:rFonts w:cs="Times New Roman"/>
          <w:bCs/>
          <w:color w:val="000000" w:themeColor="text1"/>
          <w:szCs w:val="24"/>
        </w:rPr>
        <w:t xml:space="preserve"> zastúpenia na </w:t>
      </w:r>
      <w:r w:rsidR="00C9514C">
        <w:rPr>
          <w:rFonts w:cs="Times New Roman"/>
          <w:bCs/>
          <w:color w:val="000000" w:themeColor="text1"/>
          <w:szCs w:val="24"/>
        </w:rPr>
        <w:t>juniorských</w:t>
      </w:r>
      <w:r w:rsidR="00C9514C" w:rsidRPr="00F32790">
        <w:rPr>
          <w:rFonts w:cs="Times New Roman"/>
          <w:bCs/>
          <w:color w:val="000000" w:themeColor="text1"/>
          <w:szCs w:val="24"/>
        </w:rPr>
        <w:t xml:space="preserve"> </w:t>
      </w:r>
      <w:r w:rsidRPr="00F32790">
        <w:rPr>
          <w:rFonts w:cs="Times New Roman"/>
          <w:bCs/>
          <w:color w:val="000000" w:themeColor="text1"/>
          <w:szCs w:val="24"/>
        </w:rPr>
        <w:t>pozíciách (</w:t>
      </w:r>
      <w:r w:rsidR="00FA1EB7" w:rsidRPr="00F32790">
        <w:rPr>
          <w:rFonts w:cs="Times New Roman"/>
          <w:bCs/>
          <w:color w:val="000000" w:themeColor="text1"/>
          <w:szCs w:val="24"/>
        </w:rPr>
        <w:t xml:space="preserve">platová trieda </w:t>
      </w:r>
      <w:r w:rsidRPr="00F32790">
        <w:rPr>
          <w:rFonts w:cs="Times New Roman"/>
          <w:bCs/>
          <w:color w:val="000000" w:themeColor="text1"/>
          <w:szCs w:val="24"/>
        </w:rPr>
        <w:t xml:space="preserve">AD5-AD8), ktoré bolo </w:t>
      </w:r>
      <w:r w:rsidRPr="00F32790">
        <w:rPr>
          <w:rFonts w:cs="Times New Roman"/>
          <w:color w:val="000000" w:themeColor="text1"/>
          <w:szCs w:val="24"/>
        </w:rPr>
        <w:t>dlhodobo sledované ako dostatočné, resp. adekvátne</w:t>
      </w:r>
      <w:r w:rsidRPr="00F32790">
        <w:rPr>
          <w:rFonts w:cs="Times New Roman"/>
          <w:bCs/>
          <w:color w:val="000000" w:themeColor="text1"/>
          <w:szCs w:val="24"/>
        </w:rPr>
        <w:t xml:space="preserve">. Zároveň sa síce zlepšilo zastúpenie na </w:t>
      </w:r>
      <w:r w:rsidR="00C9514C">
        <w:rPr>
          <w:rFonts w:cs="Times New Roman"/>
          <w:bCs/>
          <w:color w:val="000000" w:themeColor="text1"/>
          <w:szCs w:val="24"/>
        </w:rPr>
        <w:t>seniorských</w:t>
      </w:r>
      <w:r w:rsidR="00C9514C" w:rsidRPr="00F32790">
        <w:rPr>
          <w:rFonts w:cs="Times New Roman"/>
          <w:bCs/>
          <w:color w:val="000000" w:themeColor="text1"/>
          <w:szCs w:val="24"/>
        </w:rPr>
        <w:t xml:space="preserve"> </w:t>
      </w:r>
      <w:r w:rsidRPr="00F32790">
        <w:rPr>
          <w:rFonts w:cs="Times New Roman"/>
          <w:bCs/>
          <w:color w:val="000000" w:themeColor="text1"/>
          <w:szCs w:val="24"/>
        </w:rPr>
        <w:t xml:space="preserve">pozíciách </w:t>
      </w:r>
      <w:r w:rsidR="00FC32BC" w:rsidRPr="00F32790">
        <w:rPr>
          <w:rFonts w:cs="Times New Roman"/>
          <w:bCs/>
          <w:color w:val="000000" w:themeColor="text1"/>
          <w:szCs w:val="24"/>
        </w:rPr>
        <w:t xml:space="preserve">v Európskej komisii </w:t>
      </w:r>
      <w:r w:rsidRPr="00F32790">
        <w:rPr>
          <w:rFonts w:cs="Times New Roman"/>
          <w:bCs/>
          <w:color w:val="000000" w:themeColor="text1"/>
          <w:szCs w:val="24"/>
        </w:rPr>
        <w:t>(AD9-AD12) na úroveň národnej kvóty 1,8%. Navyše mnohí pracovníci vo vyššej funkčnej skupine (t. j. s vyššou platovou triedou) nie nevyhnutne zastávajú riadiacu či vedúcu pracovnú pozíciu.</w:t>
      </w:r>
      <w:r w:rsidR="002C71B2" w:rsidRPr="00F32790">
        <w:rPr>
          <w:rFonts w:cs="Times New Roman"/>
          <w:bCs/>
          <w:color w:val="000000" w:themeColor="text1"/>
          <w:szCs w:val="24"/>
        </w:rPr>
        <w:t xml:space="preserve"> </w:t>
      </w:r>
      <w:r w:rsidRPr="00F32790">
        <w:rPr>
          <w:rFonts w:cs="Times New Roman"/>
          <w:bCs/>
          <w:color w:val="000000" w:themeColor="text1"/>
          <w:szCs w:val="24"/>
        </w:rPr>
        <w:t xml:space="preserve">Taktiež </w:t>
      </w:r>
      <w:r w:rsidRPr="00F32790">
        <w:rPr>
          <w:rFonts w:cs="Times New Roman"/>
          <w:color w:val="000000" w:themeColor="text1"/>
          <w:szCs w:val="24"/>
        </w:rPr>
        <w:t>na úrovni najvyššieho manažmentu</w:t>
      </w:r>
      <w:r w:rsidRPr="00F32790">
        <w:rPr>
          <w:rFonts w:cs="Times New Roman"/>
          <w:bCs/>
          <w:color w:val="000000" w:themeColor="text1"/>
          <w:szCs w:val="24"/>
        </w:rPr>
        <w:t xml:space="preserve"> – v tzv. funkčnej skupine AD09-AD16 (úroveň generálneho riaditeľa a zástupcu generálneho riaditeľa) je SR aktuálne </w:t>
      </w:r>
      <w:r w:rsidRPr="00F32790">
        <w:rPr>
          <w:rFonts w:cs="Times New Roman"/>
          <w:color w:val="000000" w:themeColor="text1"/>
          <w:szCs w:val="24"/>
        </w:rPr>
        <w:t>značne nedostatočne zastúpená</w:t>
      </w:r>
      <w:r w:rsidRPr="00F32790">
        <w:rPr>
          <w:rFonts w:cs="Times New Roman"/>
          <w:bCs/>
          <w:color w:val="000000" w:themeColor="text1"/>
          <w:szCs w:val="24"/>
        </w:rPr>
        <w:t xml:space="preserve">, a to </w:t>
      </w:r>
      <w:r w:rsidRPr="00F32790">
        <w:rPr>
          <w:rFonts w:cs="Times New Roman"/>
          <w:color w:val="000000" w:themeColor="text1"/>
          <w:szCs w:val="24"/>
        </w:rPr>
        <w:t>na úrovni 1,4%</w:t>
      </w:r>
      <w:r w:rsidRPr="00F32790">
        <w:rPr>
          <w:rFonts w:cs="Times New Roman"/>
          <w:bCs/>
          <w:color w:val="000000" w:themeColor="text1"/>
          <w:szCs w:val="24"/>
        </w:rPr>
        <w:t>. Výhľadovo je situácia negatívna, keďže súčasné pozície zastávajú pracovníci v preddôchodkovom veku. V kontexte monitorovanej úrovne zastúpenia občanov SR v rámci štruktúr E</w:t>
      </w:r>
      <w:r w:rsidR="00FA1EB7" w:rsidRPr="00F32790">
        <w:rPr>
          <w:rFonts w:cs="Times New Roman"/>
          <w:bCs/>
          <w:color w:val="000000" w:themeColor="text1"/>
          <w:szCs w:val="24"/>
        </w:rPr>
        <w:t>urópskej komisie</w:t>
      </w:r>
      <w:r w:rsidRPr="00F32790">
        <w:rPr>
          <w:rFonts w:cs="Times New Roman"/>
          <w:bCs/>
          <w:color w:val="000000" w:themeColor="text1"/>
          <w:szCs w:val="24"/>
        </w:rPr>
        <w:t xml:space="preserve"> by malo byť cieľom SR </w:t>
      </w:r>
      <w:r w:rsidRPr="00F32790">
        <w:rPr>
          <w:rFonts w:cs="Times New Roman"/>
          <w:color w:val="000000" w:themeColor="text1"/>
          <w:szCs w:val="24"/>
        </w:rPr>
        <w:t>udržanie zastúpenia na úrovni najvyššieho manažmentu</w:t>
      </w:r>
      <w:r w:rsidRPr="00F32790">
        <w:rPr>
          <w:rFonts w:cs="Times New Roman"/>
          <w:bCs/>
          <w:color w:val="000000" w:themeColor="text1"/>
          <w:szCs w:val="24"/>
        </w:rPr>
        <w:t xml:space="preserve"> a </w:t>
      </w:r>
      <w:r w:rsidRPr="00F32790">
        <w:rPr>
          <w:rFonts w:cs="Times New Roman"/>
          <w:color w:val="000000" w:themeColor="text1"/>
          <w:szCs w:val="24"/>
        </w:rPr>
        <w:t>zvýšenie zastúpenia na úrovni stredného manažmentu</w:t>
      </w:r>
      <w:r w:rsidR="001A572B" w:rsidRPr="00F32790">
        <w:rPr>
          <w:rFonts w:cs="Times New Roman"/>
          <w:bCs/>
          <w:color w:val="000000" w:themeColor="text1"/>
          <w:szCs w:val="24"/>
        </w:rPr>
        <w:t>.</w:t>
      </w:r>
    </w:p>
    <w:p w14:paraId="1FE50718" w14:textId="77777777" w:rsidR="001A572B" w:rsidRPr="00F32790" w:rsidRDefault="001A572B" w:rsidP="001734FE">
      <w:pPr>
        <w:spacing w:after="0" w:line="240" w:lineRule="auto"/>
        <w:rPr>
          <w:rFonts w:cs="Times New Roman"/>
          <w:bCs/>
          <w:color w:val="000000" w:themeColor="text1"/>
          <w:szCs w:val="24"/>
        </w:rPr>
      </w:pPr>
    </w:p>
    <w:p w14:paraId="25FCE769" w14:textId="38B6C9AB" w:rsidR="001A572B" w:rsidRPr="00F32790" w:rsidRDefault="00265A4A" w:rsidP="001734FE">
      <w:pPr>
        <w:spacing w:after="0" w:line="240" w:lineRule="auto"/>
        <w:rPr>
          <w:rFonts w:cs="Times New Roman"/>
          <w:bCs/>
          <w:color w:val="000000" w:themeColor="text1"/>
          <w:szCs w:val="24"/>
        </w:rPr>
      </w:pPr>
      <w:r w:rsidRPr="00F32790">
        <w:rPr>
          <w:rFonts w:cs="Times New Roman"/>
          <w:color w:val="000000" w:themeColor="text1"/>
          <w:szCs w:val="24"/>
        </w:rPr>
        <w:t>Aj keď sa hodnotenie personálnej politiky SR vo vzťahu k EÚ v minulosti zameriavalo primárne na pozície funkčnej skupiny stálych pracovníkov, a</w:t>
      </w:r>
      <w:r w:rsidR="008E6BE5">
        <w:rPr>
          <w:rFonts w:cs="Times New Roman"/>
          <w:color w:val="000000" w:themeColor="text1"/>
          <w:szCs w:val="24"/>
        </w:rPr>
        <w:t xml:space="preserve"> to</w:t>
      </w:r>
      <w:r w:rsidRPr="00F32790">
        <w:rPr>
          <w:rFonts w:cs="Times New Roman"/>
          <w:color w:val="000000" w:themeColor="text1"/>
          <w:szCs w:val="24"/>
        </w:rPr>
        <w:t xml:space="preserve"> konkrétne administrátorov, aktuálna miera zastúpenia občanov SR v inštitúciách EÚ, ako aj odporúčania </w:t>
      </w:r>
      <w:r w:rsidR="002C71B2" w:rsidRPr="00F32790">
        <w:rPr>
          <w:rFonts w:cs="Times New Roman"/>
          <w:color w:val="000000" w:themeColor="text1"/>
          <w:szCs w:val="24"/>
        </w:rPr>
        <w:t>Európskeho úradu pre výber pracovníkov (</w:t>
      </w:r>
      <w:r w:rsidRPr="00F32790">
        <w:rPr>
          <w:rFonts w:cs="Times New Roman"/>
          <w:color w:val="000000" w:themeColor="text1"/>
          <w:szCs w:val="24"/>
        </w:rPr>
        <w:t>EPSO</w:t>
      </w:r>
      <w:r w:rsidR="002C71B2" w:rsidRPr="00F32790">
        <w:rPr>
          <w:rFonts w:cs="Times New Roman"/>
          <w:color w:val="000000" w:themeColor="text1"/>
          <w:szCs w:val="24"/>
        </w:rPr>
        <w:t>)</w:t>
      </w:r>
      <w:r w:rsidRPr="00F32790">
        <w:rPr>
          <w:rFonts w:cs="Times New Roman"/>
          <w:color w:val="000000" w:themeColor="text1"/>
          <w:szCs w:val="24"/>
        </w:rPr>
        <w:t xml:space="preserve"> poukazujú na potrebu zamerať sa </w:t>
      </w:r>
      <w:r w:rsidRPr="00F32790">
        <w:rPr>
          <w:rFonts w:cs="Times New Roman"/>
          <w:bCs/>
          <w:color w:val="000000" w:themeColor="text1"/>
          <w:szCs w:val="24"/>
        </w:rPr>
        <w:t>pri zvyšovaní povedomia o práci v inštitúciách EÚ</w:t>
      </w:r>
      <w:r w:rsidRPr="00F32790">
        <w:rPr>
          <w:rFonts w:cs="Times New Roman"/>
          <w:color w:val="000000" w:themeColor="text1"/>
          <w:szCs w:val="24"/>
        </w:rPr>
        <w:t xml:space="preserve"> na všetky profily</w:t>
      </w:r>
      <w:r w:rsidRPr="00F32790">
        <w:rPr>
          <w:rFonts w:cs="Times New Roman"/>
          <w:bCs/>
          <w:color w:val="000000" w:themeColor="text1"/>
          <w:szCs w:val="24"/>
        </w:rPr>
        <w:t xml:space="preserve">, resp. funkčné skupiny pracovníkov inštitúcií EÚ. </w:t>
      </w:r>
      <w:r w:rsidRPr="00F32790">
        <w:rPr>
          <w:rFonts w:cs="Times New Roman"/>
          <w:color w:val="000000" w:themeColor="text1"/>
          <w:szCs w:val="24"/>
        </w:rPr>
        <w:t xml:space="preserve">Pozornosť je teda potrebné venovať aj lingvistickým a iným </w:t>
      </w:r>
      <w:r w:rsidR="002C71B2" w:rsidRPr="00F32790">
        <w:rPr>
          <w:rFonts w:cs="Times New Roman"/>
          <w:color w:val="000000" w:themeColor="text1"/>
          <w:szCs w:val="24"/>
        </w:rPr>
        <w:t xml:space="preserve">(dočasným a zmluvným zamestnancom) </w:t>
      </w:r>
      <w:r w:rsidRPr="00F32790">
        <w:rPr>
          <w:rFonts w:cs="Times New Roman"/>
          <w:color w:val="000000" w:themeColor="text1"/>
          <w:szCs w:val="24"/>
        </w:rPr>
        <w:t xml:space="preserve">než klasickým všeobecným (AD) výberovým konaniam. </w:t>
      </w:r>
    </w:p>
    <w:p w14:paraId="5B2B4A88" w14:textId="77777777" w:rsidR="001A572B" w:rsidRPr="00F32790" w:rsidRDefault="001A572B" w:rsidP="001734FE">
      <w:pPr>
        <w:spacing w:after="0" w:line="240" w:lineRule="auto"/>
        <w:rPr>
          <w:rFonts w:cs="Times New Roman"/>
          <w:bCs/>
          <w:color w:val="000000" w:themeColor="text1"/>
          <w:szCs w:val="24"/>
        </w:rPr>
      </w:pPr>
    </w:p>
    <w:p w14:paraId="7C9B18E7" w14:textId="77777777" w:rsidR="001A572B" w:rsidRPr="00F32790" w:rsidRDefault="00265A4A" w:rsidP="001734FE">
      <w:pPr>
        <w:spacing w:after="0" w:line="240" w:lineRule="auto"/>
        <w:rPr>
          <w:rFonts w:cs="Times New Roman"/>
          <w:bCs/>
          <w:color w:val="000000" w:themeColor="text1"/>
          <w:szCs w:val="24"/>
        </w:rPr>
      </w:pPr>
      <w:r w:rsidRPr="00F32790">
        <w:rPr>
          <w:rFonts w:cs="Times New Roman"/>
          <w:color w:val="000000" w:themeColor="text1"/>
          <w:szCs w:val="24"/>
        </w:rPr>
        <w:t xml:space="preserve">Popri pomerne jednoducho </w:t>
      </w:r>
      <w:proofErr w:type="spellStart"/>
      <w:r w:rsidRPr="00F32790">
        <w:rPr>
          <w:rFonts w:cs="Times New Roman"/>
          <w:color w:val="000000" w:themeColor="text1"/>
          <w:szCs w:val="24"/>
        </w:rPr>
        <w:t>monitorovateľnému</w:t>
      </w:r>
      <w:proofErr w:type="spellEnd"/>
      <w:r w:rsidRPr="00F32790">
        <w:rPr>
          <w:rFonts w:cs="Times New Roman"/>
          <w:color w:val="000000" w:themeColor="text1"/>
          <w:szCs w:val="24"/>
        </w:rPr>
        <w:t xml:space="preserve"> zastúpeniu v radoch E</w:t>
      </w:r>
      <w:r w:rsidR="00FC32BC" w:rsidRPr="00F32790">
        <w:rPr>
          <w:rFonts w:cs="Times New Roman"/>
          <w:color w:val="000000" w:themeColor="text1"/>
          <w:szCs w:val="24"/>
        </w:rPr>
        <w:t xml:space="preserve">urópskej komisie </w:t>
      </w:r>
      <w:r w:rsidRPr="00F32790">
        <w:rPr>
          <w:rFonts w:cs="Times New Roman"/>
          <w:color w:val="000000" w:themeColor="text1"/>
          <w:szCs w:val="24"/>
        </w:rPr>
        <w:t xml:space="preserve">vzhľadom na dostupnosť porovnateľných údajov je tiež nevyhnutné </w:t>
      </w:r>
      <w:r w:rsidRPr="00F32790">
        <w:rPr>
          <w:rFonts w:cs="Times New Roman"/>
          <w:bCs/>
          <w:color w:val="000000" w:themeColor="text1"/>
          <w:szCs w:val="24"/>
        </w:rPr>
        <w:t xml:space="preserve">systematicky sledovať aj úroveň zastúpenia občanov SR v ďalších inštitúciách EÚ. </w:t>
      </w:r>
      <w:r w:rsidRPr="00F32790">
        <w:rPr>
          <w:rFonts w:cs="Times New Roman"/>
          <w:color w:val="000000" w:themeColor="text1"/>
          <w:szCs w:val="24"/>
        </w:rPr>
        <w:t xml:space="preserve">Každá z nich sa vyznačuje osobitnými črtami a výzvami, no vo všetkých je </w:t>
      </w:r>
      <w:r w:rsidRPr="00F32790">
        <w:rPr>
          <w:rFonts w:cs="Times New Roman"/>
          <w:bCs/>
          <w:color w:val="000000" w:themeColor="text1"/>
          <w:szCs w:val="24"/>
        </w:rPr>
        <w:t>miera adekvátneho zastúpenia priamo úmerná miere efektívneho presadzovania záujmov a priorít SR</w:t>
      </w:r>
      <w:r w:rsidRPr="00F32790">
        <w:rPr>
          <w:rFonts w:cs="Times New Roman"/>
          <w:color w:val="000000" w:themeColor="text1"/>
          <w:szCs w:val="24"/>
        </w:rPr>
        <w:t xml:space="preserve">. </w:t>
      </w:r>
    </w:p>
    <w:p w14:paraId="54DA860F" w14:textId="77777777" w:rsidR="001A572B" w:rsidRPr="00F32790" w:rsidRDefault="001A572B" w:rsidP="001734FE">
      <w:pPr>
        <w:spacing w:after="0" w:line="240" w:lineRule="auto"/>
        <w:rPr>
          <w:rFonts w:cs="Times New Roman"/>
          <w:bCs/>
          <w:color w:val="000000" w:themeColor="text1"/>
          <w:szCs w:val="24"/>
        </w:rPr>
      </w:pPr>
    </w:p>
    <w:p w14:paraId="06C8D0E7" w14:textId="1E346CCC" w:rsidR="00265A4A" w:rsidRDefault="00FA1EB7" w:rsidP="001734FE">
      <w:pPr>
        <w:spacing w:after="0" w:line="240" w:lineRule="auto"/>
        <w:rPr>
          <w:rFonts w:cs="Times New Roman"/>
          <w:color w:val="FF0000"/>
          <w:szCs w:val="24"/>
        </w:rPr>
      </w:pPr>
      <w:r w:rsidRPr="00F32790">
        <w:rPr>
          <w:rFonts w:cs="Times New Roman"/>
          <w:szCs w:val="24"/>
        </w:rPr>
        <w:t xml:space="preserve">Opatrenia prijaté na strane </w:t>
      </w:r>
      <w:r w:rsidR="00147C10">
        <w:rPr>
          <w:rFonts w:cs="Times New Roman"/>
          <w:szCs w:val="24"/>
        </w:rPr>
        <w:t>SR</w:t>
      </w:r>
      <w:r w:rsidRPr="00F32790">
        <w:rPr>
          <w:rFonts w:cs="Times New Roman"/>
          <w:szCs w:val="24"/>
        </w:rPr>
        <w:t xml:space="preserve"> sa zamerali na prípravu </w:t>
      </w:r>
      <w:r w:rsidRPr="00F32790">
        <w:rPr>
          <w:rFonts w:cs="Times New Roman"/>
          <w:b/>
          <w:szCs w:val="24"/>
        </w:rPr>
        <w:t>koncepcie pre zvýšenie zastúpenia občanov SR v inštitúciách EÚ</w:t>
      </w:r>
      <w:r w:rsidRPr="00F32790">
        <w:rPr>
          <w:rFonts w:cs="Times New Roman"/>
          <w:szCs w:val="24"/>
        </w:rPr>
        <w:t>, na zlepšenie informovanosti odbornej aj laickej verejnosti o kariére v inštitúciách EÚ a v neposlednom rade aj na aktívnu a systematickú podporu občanov SR s cieľom zvýšiť ich úspešnosť vo výberových konaniach do inštitúcií EÚ. MZVEZ S</w:t>
      </w:r>
      <w:r w:rsidR="00FC32BC" w:rsidRPr="00F32790">
        <w:rPr>
          <w:rFonts w:cs="Times New Roman"/>
          <w:szCs w:val="24"/>
        </w:rPr>
        <w:t>R</w:t>
      </w:r>
      <w:r w:rsidRPr="00F32790">
        <w:rPr>
          <w:rFonts w:cs="Times New Roman"/>
          <w:szCs w:val="24"/>
        </w:rPr>
        <w:t xml:space="preserve"> schválilo</w:t>
      </w:r>
      <w:r w:rsidR="00FC32BC" w:rsidRPr="00F32790">
        <w:rPr>
          <w:rFonts w:cs="Times New Roman"/>
          <w:szCs w:val="24"/>
        </w:rPr>
        <w:t xml:space="preserve"> v júni 2022</w:t>
      </w:r>
      <w:r w:rsidRPr="00F32790">
        <w:rPr>
          <w:rFonts w:cs="Times New Roman"/>
          <w:szCs w:val="24"/>
        </w:rPr>
        <w:t xml:space="preserve"> „</w:t>
      </w:r>
      <w:r w:rsidRPr="00F32790">
        <w:rPr>
          <w:rFonts w:cs="Times New Roman"/>
          <w:i/>
          <w:szCs w:val="24"/>
        </w:rPr>
        <w:t>Informáciu o zastúpení a spolupráci s Európskou službou pre vonkajšiu činnosť – aktuálny stav a odporúčania</w:t>
      </w:r>
      <w:r w:rsidRPr="00F32790">
        <w:rPr>
          <w:rFonts w:cs="Times New Roman"/>
          <w:szCs w:val="24"/>
        </w:rPr>
        <w:t xml:space="preserve">“, ktorého výsledkom bolo zriadenie Pracovnej skupiny pre zvýšenie zastúpenia SR v Európskej službe pre vonkajšiu činnosť a inštitúciách EÚ. </w:t>
      </w:r>
      <w:r w:rsidRPr="00F32790" w:rsidDel="00AD5995">
        <w:rPr>
          <w:rFonts w:cs="Times New Roman"/>
          <w:szCs w:val="24"/>
        </w:rPr>
        <w:t xml:space="preserve"> </w:t>
      </w:r>
    </w:p>
    <w:p w14:paraId="05495BE4" w14:textId="5A7FFCEC" w:rsidR="00805688" w:rsidRDefault="00805688" w:rsidP="001734FE">
      <w:pPr>
        <w:spacing w:after="0" w:line="240" w:lineRule="auto"/>
        <w:rPr>
          <w:rFonts w:cs="Times New Roman"/>
          <w:color w:val="FF0000"/>
          <w:szCs w:val="24"/>
        </w:rPr>
      </w:pPr>
    </w:p>
    <w:p w14:paraId="4314C015" w14:textId="742376BB" w:rsidR="00805688" w:rsidRDefault="00805688" w:rsidP="001734FE">
      <w:pPr>
        <w:spacing w:after="0" w:line="240" w:lineRule="auto"/>
        <w:rPr>
          <w:rFonts w:cs="Times New Roman"/>
          <w:color w:val="FF0000"/>
          <w:szCs w:val="24"/>
        </w:rPr>
      </w:pPr>
    </w:p>
    <w:p w14:paraId="0F8EDAC6" w14:textId="77777777" w:rsidR="00805688" w:rsidRDefault="00805688" w:rsidP="001734FE">
      <w:pPr>
        <w:spacing w:after="0" w:line="240" w:lineRule="auto"/>
        <w:rPr>
          <w:rFonts w:cs="Times New Roman"/>
          <w:color w:val="FF0000"/>
          <w:szCs w:val="24"/>
        </w:rPr>
      </w:pPr>
    </w:p>
    <w:p w14:paraId="61000606" w14:textId="77777777" w:rsidR="004F2352" w:rsidRPr="005031A9" w:rsidRDefault="004F2352" w:rsidP="005B4D1C">
      <w:pPr>
        <w:spacing w:after="0" w:line="240" w:lineRule="auto"/>
        <w:jc w:val="center"/>
        <w:rPr>
          <w:rFonts w:cs="Times New Roman"/>
          <w:color w:val="000000" w:themeColor="text1"/>
        </w:rPr>
      </w:pPr>
      <w:bookmarkStart w:id="6" w:name="_GoBack"/>
      <w:bookmarkEnd w:id="0"/>
      <w:bookmarkEnd w:id="1"/>
      <w:bookmarkEnd w:id="2"/>
      <w:bookmarkEnd w:id="3"/>
      <w:bookmarkEnd w:id="4"/>
      <w:bookmarkEnd w:id="6"/>
    </w:p>
    <w:sectPr w:rsidR="004F2352" w:rsidRPr="005031A9" w:rsidSect="00AE3D43">
      <w:footerReference w:type="even" r:id="rId12"/>
      <w:footerReference w:type="default" r:id="rId13"/>
      <w:footerReference w:type="first" r:id="rId14"/>
      <w:pgSz w:w="11906" w:h="16838"/>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A737B" w14:textId="77777777" w:rsidR="00912DBC" w:rsidRDefault="00912DBC" w:rsidP="00291943">
      <w:pPr>
        <w:spacing w:after="0" w:line="240" w:lineRule="auto"/>
      </w:pPr>
      <w:r>
        <w:separator/>
      </w:r>
    </w:p>
    <w:p w14:paraId="7D1CFBBD" w14:textId="77777777" w:rsidR="00912DBC" w:rsidRDefault="00912DBC"/>
  </w:endnote>
  <w:endnote w:type="continuationSeparator" w:id="0">
    <w:p w14:paraId="0078781B" w14:textId="77777777" w:rsidR="00912DBC" w:rsidRDefault="00912DBC" w:rsidP="00291943">
      <w:pPr>
        <w:spacing w:after="0" w:line="240" w:lineRule="auto"/>
      </w:pPr>
      <w:r>
        <w:continuationSeparator/>
      </w:r>
    </w:p>
    <w:p w14:paraId="28A4436E" w14:textId="77777777" w:rsidR="00912DBC" w:rsidRDefault="00912DBC"/>
  </w:endnote>
  <w:endnote w:type="continuationNotice" w:id="1">
    <w:p w14:paraId="78E168AA" w14:textId="77777777" w:rsidR="00912DBC" w:rsidRDefault="00912D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DokChampa">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F0B8D" w14:textId="77777777" w:rsidR="00912DBC" w:rsidRDefault="00912DBC">
    <w:pPr>
      <w:spacing w:after="0"/>
      <w:ind w:left="1894"/>
      <w:jc w:val="center"/>
    </w:pPr>
    <w:r>
      <w:rPr>
        <w:rFonts w:cs="Times New Roman"/>
        <w:sz w:val="18"/>
      </w:rPr>
      <w:fldChar w:fldCharType="begin"/>
    </w:r>
    <w:r>
      <w:rPr>
        <w:rFonts w:cs="Times New Roman"/>
        <w:sz w:val="18"/>
      </w:rPr>
      <w:instrText xml:space="preserve"> PAGE   \* MERGEFORMAT </w:instrText>
    </w:r>
    <w:r>
      <w:rPr>
        <w:rFonts w:cs="Times New Roman"/>
        <w:sz w:val="18"/>
      </w:rPr>
      <w:fldChar w:fldCharType="separate"/>
    </w:r>
    <w:r>
      <w:rPr>
        <w:rFonts w:cs="Times New Roman"/>
        <w:noProof/>
        <w:sz w:val="18"/>
      </w:rPr>
      <w:t>14</w:t>
    </w:r>
    <w:r>
      <w:rPr>
        <w:rFonts w:cs="Times New Roman"/>
        <w:sz w:val="18"/>
      </w:rPr>
      <w:fldChar w:fldCharType="end"/>
    </w:r>
    <w:r>
      <w:rPr>
        <w:rFonts w:cs="Times New Roman"/>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081901"/>
      <w:docPartObj>
        <w:docPartGallery w:val="Page Numbers (Bottom of Page)"/>
        <w:docPartUnique/>
      </w:docPartObj>
    </w:sdtPr>
    <w:sdtEndPr/>
    <w:sdtContent>
      <w:p w14:paraId="6FE110AB" w14:textId="4AB15D23" w:rsidR="00912DBC" w:rsidRPr="00E47756" w:rsidRDefault="00912DBC" w:rsidP="005325EF">
        <w:pPr>
          <w:pStyle w:val="Pta"/>
          <w:jc w:val="center"/>
        </w:pPr>
        <w:r>
          <w:fldChar w:fldCharType="begin"/>
        </w:r>
        <w:r>
          <w:instrText>PAGE   \* MERGEFORMAT</w:instrText>
        </w:r>
        <w:r>
          <w:fldChar w:fldCharType="separate"/>
        </w:r>
        <w:r w:rsidR="00844254">
          <w:rPr>
            <w:noProof/>
          </w:rPr>
          <w:t>34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4DFC6" w14:textId="77777777" w:rsidR="00912DBC" w:rsidRDefault="00912DBC">
    <w:pPr>
      <w:spacing w:after="0"/>
      <w:ind w:left="1894"/>
      <w:jc w:val="center"/>
    </w:pPr>
    <w:r>
      <w:rPr>
        <w:rFonts w:cs="Times New Roman"/>
        <w:sz w:val="18"/>
      </w:rPr>
      <w:fldChar w:fldCharType="begin"/>
    </w:r>
    <w:r>
      <w:rPr>
        <w:rFonts w:cs="Times New Roman"/>
        <w:sz w:val="18"/>
      </w:rPr>
      <w:instrText xml:space="preserve"> PAGE   \* MERGEFORMAT </w:instrText>
    </w:r>
    <w:r>
      <w:rPr>
        <w:rFonts w:cs="Times New Roman"/>
        <w:sz w:val="18"/>
      </w:rPr>
      <w:fldChar w:fldCharType="separate"/>
    </w:r>
    <w:r>
      <w:rPr>
        <w:rFonts w:cs="Times New Roman"/>
        <w:noProof/>
        <w:sz w:val="18"/>
      </w:rPr>
      <w:t>66</w:t>
    </w:r>
    <w:r>
      <w:rPr>
        <w:rFonts w:cs="Times New Roman"/>
        <w:sz w:val="18"/>
      </w:rPr>
      <w:fldChar w:fldCharType="end"/>
    </w:r>
    <w:r>
      <w:rPr>
        <w:rFonts w:cs="Times New Roman"/>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9D3D0" w14:textId="77777777" w:rsidR="00912DBC" w:rsidRDefault="00912DBC" w:rsidP="00291943">
      <w:pPr>
        <w:spacing w:after="0" w:line="240" w:lineRule="auto"/>
      </w:pPr>
      <w:r>
        <w:separator/>
      </w:r>
    </w:p>
    <w:p w14:paraId="10AFC32F" w14:textId="77777777" w:rsidR="00912DBC" w:rsidRDefault="00912DBC"/>
  </w:footnote>
  <w:footnote w:type="continuationSeparator" w:id="0">
    <w:p w14:paraId="3981B382" w14:textId="77777777" w:rsidR="00912DBC" w:rsidRDefault="00912DBC" w:rsidP="00291943">
      <w:pPr>
        <w:spacing w:after="0" w:line="240" w:lineRule="auto"/>
      </w:pPr>
      <w:r>
        <w:continuationSeparator/>
      </w:r>
    </w:p>
    <w:p w14:paraId="3FD04F41" w14:textId="77777777" w:rsidR="00912DBC" w:rsidRDefault="00912DBC"/>
  </w:footnote>
  <w:footnote w:type="continuationNotice" w:id="1">
    <w:p w14:paraId="210BA7EC" w14:textId="77777777" w:rsidR="00912DBC" w:rsidRDefault="00912DBC">
      <w:pPr>
        <w:spacing w:after="0" w:line="240" w:lineRule="auto"/>
      </w:pPr>
    </w:p>
  </w:footnote>
  <w:footnote w:id="2">
    <w:p w14:paraId="6FB4791A" w14:textId="6C58009A" w:rsidR="00912DBC" w:rsidRPr="00B5189F" w:rsidRDefault="00912DBC">
      <w:pPr>
        <w:pStyle w:val="Textpoznmkypodiarou"/>
        <w:rPr>
          <w:rFonts w:ascii="Times New Roman" w:hAnsi="Times New Roman" w:cs="Times New Roman"/>
          <w:sz w:val="18"/>
          <w:szCs w:val="18"/>
        </w:rPr>
      </w:pPr>
      <w:r>
        <w:rPr>
          <w:rStyle w:val="Odkaznapoznmkupodiarou"/>
        </w:rPr>
        <w:footnoteRef/>
      </w:r>
      <w:r>
        <w:t xml:space="preserve"> </w:t>
      </w:r>
      <w:hyperlink r:id="rId1" w:history="1">
        <w:r>
          <w:rPr>
            <w:rStyle w:val="Hypertextovprepojenie"/>
            <w:rFonts w:ascii="Times New Roman" w:hAnsi="Times New Roman"/>
            <w:sz w:val="18"/>
            <w:szCs w:val="18"/>
          </w:rPr>
          <w:t>N</w:t>
        </w:r>
        <w:r w:rsidRPr="00B5189F">
          <w:rPr>
            <w:rStyle w:val="Hypertextovprepojenie"/>
            <w:rFonts w:ascii="Times New Roman" w:hAnsi="Times New Roman"/>
            <w:sz w:val="18"/>
            <w:szCs w:val="18"/>
          </w:rPr>
          <w:t xml:space="preserve">ariadenie </w:t>
        </w:r>
        <w:r>
          <w:rPr>
            <w:rStyle w:val="Hypertextovprepojenie"/>
            <w:rFonts w:ascii="Times New Roman" w:hAnsi="Times New Roman"/>
            <w:sz w:val="18"/>
            <w:szCs w:val="18"/>
          </w:rPr>
          <w:t>E</w:t>
        </w:r>
        <w:r w:rsidRPr="00B5189F">
          <w:rPr>
            <w:rStyle w:val="Hypertextovprepojenie"/>
            <w:rFonts w:ascii="Times New Roman" w:hAnsi="Times New Roman"/>
            <w:sz w:val="18"/>
            <w:szCs w:val="18"/>
          </w:rPr>
          <w:t xml:space="preserve">urópskeho parlamentu a </w:t>
        </w:r>
        <w:r>
          <w:rPr>
            <w:rStyle w:val="Hypertextovprepojenie"/>
            <w:rFonts w:ascii="Times New Roman" w:hAnsi="Times New Roman"/>
            <w:sz w:val="18"/>
            <w:szCs w:val="18"/>
          </w:rPr>
          <w:t>R</w:t>
        </w:r>
        <w:r w:rsidRPr="00B5189F">
          <w:rPr>
            <w:rStyle w:val="Hypertextovprepojenie"/>
            <w:rFonts w:ascii="Times New Roman" w:hAnsi="Times New Roman"/>
            <w:sz w:val="18"/>
            <w:szCs w:val="18"/>
          </w:rPr>
          <w:t>ady, ktorým sa menia nariadenia (</w:t>
        </w:r>
        <w:r>
          <w:rPr>
            <w:rStyle w:val="Hypertextovprepojenie"/>
            <w:rFonts w:ascii="Times New Roman" w:hAnsi="Times New Roman"/>
            <w:sz w:val="18"/>
            <w:szCs w:val="18"/>
          </w:rPr>
          <w:t>EU</w:t>
        </w:r>
        <w:r w:rsidRPr="00B5189F">
          <w:rPr>
            <w:rStyle w:val="Hypertextovprepojenie"/>
            <w:rFonts w:ascii="Times New Roman" w:hAnsi="Times New Roman"/>
            <w:sz w:val="18"/>
            <w:szCs w:val="18"/>
          </w:rPr>
          <w:t>) 2017/1938 a (</w:t>
        </w:r>
        <w:r>
          <w:rPr>
            <w:rStyle w:val="Hypertextovprepojenie"/>
            <w:rFonts w:ascii="Times New Roman" w:hAnsi="Times New Roman"/>
            <w:sz w:val="18"/>
            <w:szCs w:val="18"/>
          </w:rPr>
          <w:t>ES</w:t>
        </w:r>
        <w:r w:rsidRPr="00B5189F">
          <w:rPr>
            <w:rStyle w:val="Hypertextovprepojenie"/>
            <w:rFonts w:ascii="Times New Roman" w:hAnsi="Times New Roman"/>
            <w:sz w:val="18"/>
            <w:szCs w:val="18"/>
          </w:rPr>
          <w:t>) č. 715/2009, pokiaľ ide o uskladňovanie plyn</w:t>
        </w:r>
      </w:hyperlink>
      <w:r>
        <w:rPr>
          <w:rFonts w:ascii="Times New Roman" w:hAnsi="Times New Roman" w:cs="Times New Roman"/>
          <w:sz w:val="18"/>
          <w:szCs w:val="18"/>
        </w:rPr>
        <w:t>u</w:t>
      </w:r>
    </w:p>
  </w:footnote>
  <w:footnote w:id="3">
    <w:p w14:paraId="72480716" w14:textId="7E519676" w:rsidR="00912DBC" w:rsidRPr="003F720C" w:rsidRDefault="00912DBC" w:rsidP="00B5189F">
      <w:pPr>
        <w:pStyle w:val="oj-doc-ti"/>
        <w:shd w:val="clear" w:color="auto" w:fill="FFFFFF"/>
        <w:spacing w:before="240" w:beforeAutospacing="0" w:after="120" w:afterAutospacing="0" w:line="312" w:lineRule="atLeast"/>
        <w:jc w:val="both"/>
        <w:rPr>
          <w:bCs/>
          <w:color w:val="333333"/>
          <w:sz w:val="18"/>
          <w:szCs w:val="18"/>
        </w:rPr>
      </w:pPr>
      <w:r w:rsidRPr="003F720C">
        <w:rPr>
          <w:rStyle w:val="Odkaznapoznmkupodiarou"/>
          <w:sz w:val="18"/>
          <w:szCs w:val="18"/>
        </w:rPr>
        <w:footnoteRef/>
      </w:r>
      <w:r w:rsidRPr="003F720C">
        <w:rPr>
          <w:sz w:val="18"/>
          <w:szCs w:val="18"/>
        </w:rPr>
        <w:t xml:space="preserve"> </w:t>
      </w:r>
      <w:hyperlink r:id="rId2" w:history="1">
        <w:r w:rsidRPr="003F720C">
          <w:rPr>
            <w:rStyle w:val="Hypertextovprepojenie"/>
            <w:bCs/>
            <w:sz w:val="18"/>
            <w:szCs w:val="18"/>
          </w:rPr>
          <w:t>Obchodovanie s emisnými kvótami</w:t>
        </w:r>
      </w:hyperlink>
      <w:r w:rsidRPr="003F720C">
        <w:rPr>
          <w:bCs/>
          <w:color w:val="333333"/>
          <w:sz w:val="18"/>
          <w:szCs w:val="18"/>
        </w:rPr>
        <w:t xml:space="preserve"> </w:t>
      </w:r>
    </w:p>
    <w:p w14:paraId="39FA2064" w14:textId="6DD2E8A0" w:rsidR="00912DBC" w:rsidRPr="003F720C" w:rsidRDefault="00912DBC">
      <w:pPr>
        <w:pStyle w:val="Textpoznmkypodiarou"/>
        <w:rPr>
          <w:rFonts w:ascii="Times New Roman" w:hAnsi="Times New Roman" w:cs="Times New Roman"/>
          <w:sz w:val="18"/>
          <w:szCs w:val="18"/>
        </w:rPr>
      </w:pPr>
    </w:p>
  </w:footnote>
  <w:footnote w:id="4">
    <w:p w14:paraId="73C8D84D" w14:textId="05BA927F" w:rsidR="00912DBC" w:rsidRPr="00B5189F" w:rsidRDefault="00912DBC">
      <w:pPr>
        <w:pStyle w:val="Textpoznmkypodiarou"/>
        <w:rPr>
          <w:rFonts w:ascii="Times New Roman" w:hAnsi="Times New Roman" w:cs="Times New Roman"/>
          <w:sz w:val="18"/>
          <w:szCs w:val="18"/>
        </w:rPr>
      </w:pPr>
      <w:r w:rsidRPr="003F720C">
        <w:rPr>
          <w:rStyle w:val="Odkaznapoznmkupodiarou"/>
          <w:rFonts w:ascii="Times New Roman" w:hAnsi="Times New Roman"/>
          <w:sz w:val="18"/>
          <w:szCs w:val="18"/>
        </w:rPr>
        <w:footnoteRef/>
      </w:r>
      <w:r w:rsidRPr="003F720C">
        <w:rPr>
          <w:rFonts w:ascii="Times New Roman" w:hAnsi="Times New Roman" w:cs="Times New Roman"/>
          <w:sz w:val="18"/>
          <w:szCs w:val="18"/>
        </w:rPr>
        <w:t xml:space="preserve"> </w:t>
      </w:r>
      <w:hyperlink r:id="rId3" w:history="1">
        <w:r w:rsidRPr="003F720C">
          <w:rPr>
            <w:rStyle w:val="Hypertextovprepojenie"/>
            <w:rFonts w:ascii="Times New Roman" w:hAnsi="Times New Roman"/>
            <w:sz w:val="18"/>
            <w:szCs w:val="18"/>
            <w:u w:val="none"/>
          </w:rPr>
          <w:t xml:space="preserve">Balík „Fit </w:t>
        </w:r>
        <w:proofErr w:type="spellStart"/>
        <w:r w:rsidRPr="003F720C">
          <w:rPr>
            <w:rStyle w:val="Hypertextovprepojenie"/>
            <w:rFonts w:ascii="Times New Roman" w:hAnsi="Times New Roman"/>
            <w:sz w:val="18"/>
            <w:szCs w:val="18"/>
            <w:u w:val="none"/>
          </w:rPr>
          <w:t>for</w:t>
        </w:r>
        <w:proofErr w:type="spellEnd"/>
        <w:r w:rsidRPr="003F720C">
          <w:rPr>
            <w:rStyle w:val="Hypertextovprepojenie"/>
            <w:rFonts w:ascii="Times New Roman" w:hAnsi="Times New Roman"/>
            <w:sz w:val="18"/>
            <w:szCs w:val="18"/>
            <w:u w:val="none"/>
          </w:rPr>
          <w:t xml:space="preserve"> 55“</w:t>
        </w:r>
      </w:hyperlink>
    </w:p>
  </w:footnote>
  <w:footnote w:id="5">
    <w:p w14:paraId="799690BB" w14:textId="63A1F024" w:rsidR="00912DBC" w:rsidRPr="00B5189F" w:rsidRDefault="00912DBC">
      <w:pPr>
        <w:pStyle w:val="Textpoznmkypodiarou"/>
        <w:rPr>
          <w:rFonts w:ascii="Times New Roman" w:hAnsi="Times New Roman" w:cs="Times New Roman"/>
          <w:sz w:val="18"/>
          <w:szCs w:val="18"/>
        </w:rPr>
      </w:pPr>
      <w:r>
        <w:rPr>
          <w:rStyle w:val="Odkaznapoznmkupodiarou"/>
        </w:rPr>
        <w:footnoteRef/>
      </w:r>
      <w:r>
        <w:t xml:space="preserve"> </w:t>
      </w:r>
      <w:hyperlink r:id="rId4" w:history="1">
        <w:r w:rsidRPr="00B5189F">
          <w:rPr>
            <w:rStyle w:val="Hypertextovprepojenie"/>
            <w:rFonts w:ascii="Times New Roman" w:hAnsi="Times New Roman"/>
            <w:sz w:val="18"/>
            <w:szCs w:val="18"/>
            <w:u w:val="none"/>
          </w:rPr>
          <w:t>Návrh Nariadenia Európskeho parlamentu a Rady, ktorým sa mení nariadenie (EU) 2019/631, pokiaľ ide o sprísnenie emisných noriem CO2 pre nové osobné vozidlá a nové ľahké úžitkové vozidlá v súlade s ambicióznejšími klimatickými cieľmi únie</w:t>
        </w:r>
      </w:hyperlink>
    </w:p>
  </w:footnote>
  <w:footnote w:id="6">
    <w:p w14:paraId="02FA2DE6" w14:textId="4DC4A9F3" w:rsidR="00912DBC" w:rsidRPr="00B5189F" w:rsidRDefault="00912DBC">
      <w:pPr>
        <w:pStyle w:val="Textpoznmkypodiarou"/>
        <w:rPr>
          <w:rFonts w:ascii="Times New Roman" w:hAnsi="Times New Roman" w:cs="Times New Roman"/>
          <w:sz w:val="18"/>
          <w:szCs w:val="18"/>
        </w:rPr>
      </w:pPr>
      <w:r w:rsidRPr="00B5189F">
        <w:rPr>
          <w:rStyle w:val="Odkaznapoznmkupodiarou"/>
          <w:rFonts w:ascii="Times New Roman" w:hAnsi="Times New Roman"/>
          <w:sz w:val="18"/>
          <w:szCs w:val="18"/>
        </w:rPr>
        <w:footnoteRef/>
      </w:r>
      <w:r w:rsidRPr="003566D1">
        <w:rPr>
          <w:rFonts w:ascii="Times New Roman" w:hAnsi="Times New Roman" w:cs="Times New Roman"/>
          <w:sz w:val="18"/>
          <w:szCs w:val="18"/>
        </w:rPr>
        <w:t xml:space="preserve"> </w:t>
      </w:r>
      <w:hyperlink r:id="rId5" w:history="1">
        <w:r w:rsidRPr="00B5189F">
          <w:rPr>
            <w:rStyle w:val="Hypertextovprepojenie"/>
            <w:rFonts w:ascii="Times New Roman" w:hAnsi="Times New Roman"/>
            <w:sz w:val="18"/>
            <w:szCs w:val="18"/>
            <w:u w:val="none"/>
          </w:rPr>
          <w:t>Návrh Nariadenia Európskeho parlamentu a Rady, ktorým sa mení nariadenie (EU) 2018/841, pokiaľ ide o rozsah pôsobnosti, zjednodušenie pravidiel týkajúcich sa dodržiavania záväzkov, stanovenie cieľov členských štátov na rok 2030 a záväzok spoločne dosiahnuť klimatickú neutralitu do roku 2035 v sektore využívania pôdy, lesného hospodárstva a poľnohospodárstva, a nariadenie (EU) 2018/1999, pokiaľ ide o zlepšenie monitorovania, podávania správ, sledovania pokroku a preskúmani</w:t>
        </w:r>
      </w:hyperlink>
      <w:r w:rsidRPr="003566D1">
        <w:rPr>
          <w:rFonts w:ascii="Times New Roman" w:hAnsi="Times New Roman" w:cs="Times New Roman"/>
          <w:sz w:val="18"/>
          <w:szCs w:val="18"/>
        </w:rPr>
        <w:t>a</w:t>
      </w:r>
    </w:p>
  </w:footnote>
  <w:footnote w:id="7">
    <w:p w14:paraId="795FBC18" w14:textId="3AEF9178" w:rsidR="00912DBC" w:rsidRPr="00B5189F" w:rsidRDefault="00912DBC">
      <w:pPr>
        <w:pStyle w:val="Textpoznmkypodiarou"/>
        <w:rPr>
          <w:rFonts w:ascii="Times New Roman" w:hAnsi="Times New Roman" w:cs="Times New Roman"/>
          <w:sz w:val="18"/>
          <w:szCs w:val="18"/>
        </w:rPr>
      </w:pPr>
      <w:r w:rsidRPr="00B5189F">
        <w:rPr>
          <w:rStyle w:val="Odkaznapoznmkupodiarou"/>
          <w:rFonts w:ascii="Times New Roman" w:hAnsi="Times New Roman"/>
          <w:sz w:val="18"/>
          <w:szCs w:val="18"/>
        </w:rPr>
        <w:footnoteRef/>
      </w:r>
      <w:r w:rsidRPr="003566D1">
        <w:rPr>
          <w:rFonts w:ascii="Times New Roman" w:hAnsi="Times New Roman" w:cs="Times New Roman"/>
          <w:sz w:val="18"/>
          <w:szCs w:val="18"/>
        </w:rPr>
        <w:t xml:space="preserve"> </w:t>
      </w:r>
      <w:hyperlink r:id="rId6" w:history="1">
        <w:r w:rsidRPr="00B5189F">
          <w:rPr>
            <w:rStyle w:val="Hypertextovprepojenie"/>
            <w:rFonts w:ascii="Times New Roman" w:hAnsi="Times New Roman"/>
            <w:sz w:val="18"/>
            <w:szCs w:val="18"/>
            <w:u w:val="none"/>
          </w:rPr>
          <w:t>Návrh Nariadenia Európskeho parlamentu a Rady, ktorým sa zriaďuje mechanizmus kompenzácie uhlíka na hraniciach</w:t>
        </w:r>
      </w:hyperlink>
    </w:p>
  </w:footnote>
  <w:footnote w:id="8">
    <w:p w14:paraId="00A49E8B" w14:textId="4193A8FE" w:rsidR="00912DBC" w:rsidRPr="00B5189F" w:rsidRDefault="00912DBC">
      <w:pPr>
        <w:pStyle w:val="Textpoznmkypodiarou"/>
        <w:rPr>
          <w:rFonts w:ascii="Times New Roman" w:hAnsi="Times New Roman" w:cs="Times New Roman"/>
          <w:sz w:val="18"/>
          <w:szCs w:val="18"/>
        </w:rPr>
      </w:pPr>
      <w:r w:rsidRPr="00B5189F">
        <w:rPr>
          <w:rStyle w:val="Odkaznapoznmkupodiarou"/>
          <w:rFonts w:ascii="Times New Roman" w:hAnsi="Times New Roman"/>
          <w:sz w:val="18"/>
          <w:szCs w:val="18"/>
        </w:rPr>
        <w:footnoteRef/>
      </w:r>
      <w:r w:rsidRPr="003566D1">
        <w:rPr>
          <w:rFonts w:ascii="Times New Roman" w:hAnsi="Times New Roman" w:cs="Times New Roman"/>
          <w:sz w:val="18"/>
          <w:szCs w:val="18"/>
        </w:rPr>
        <w:t xml:space="preserve"> </w:t>
      </w:r>
      <w:hyperlink r:id="rId7" w:history="1">
        <w:r w:rsidRPr="00B5189F">
          <w:rPr>
            <w:rStyle w:val="Hypertextovprepojenie"/>
            <w:rFonts w:ascii="Times New Roman" w:hAnsi="Times New Roman"/>
            <w:sz w:val="18"/>
            <w:szCs w:val="18"/>
            <w:u w:val="none"/>
          </w:rPr>
          <w:t>Návrh Nariadenia Európskeho parlamentu a Rady, ktorým sa mení nariadenie (EU) 2018/842 o záväznom ročnom znižovaní emisií skleníkových plynov členskými štátmi v rokoch 2021 až 2030, ktorým sa prispieva k opatreniam v oblasti klímy zameraným na splnenie záväzkov podľa parížskej dohody</w:t>
        </w:r>
      </w:hyperlink>
    </w:p>
  </w:footnote>
  <w:footnote w:id="9">
    <w:p w14:paraId="783DB37C" w14:textId="1FA0BE55" w:rsidR="00912DBC" w:rsidRPr="003F720C" w:rsidRDefault="00912DBC">
      <w:pPr>
        <w:pStyle w:val="Textpoznmkypodiarou"/>
        <w:rPr>
          <w:rFonts w:ascii="Times New Roman" w:hAnsi="Times New Roman" w:cs="Times New Roman"/>
          <w:sz w:val="18"/>
          <w:szCs w:val="18"/>
        </w:rPr>
      </w:pPr>
      <w:r w:rsidRPr="003F720C">
        <w:rPr>
          <w:rStyle w:val="Odkaznapoznmkupodiarou"/>
          <w:rFonts w:ascii="Times New Roman" w:hAnsi="Times New Roman"/>
          <w:sz w:val="18"/>
          <w:szCs w:val="18"/>
        </w:rPr>
        <w:footnoteRef/>
      </w:r>
      <w:r w:rsidRPr="003F720C">
        <w:rPr>
          <w:rFonts w:ascii="Times New Roman" w:hAnsi="Times New Roman" w:cs="Times New Roman"/>
          <w:sz w:val="18"/>
          <w:szCs w:val="18"/>
        </w:rPr>
        <w:t xml:space="preserve"> </w:t>
      </w:r>
      <w:hyperlink r:id="rId8" w:history="1">
        <w:r w:rsidRPr="003F720C">
          <w:rPr>
            <w:rStyle w:val="Hypertextovprepojenie"/>
            <w:rFonts w:ascii="Times New Roman" w:hAnsi="Times New Roman"/>
            <w:sz w:val="18"/>
            <w:szCs w:val="18"/>
            <w:u w:val="none"/>
          </w:rPr>
          <w:t>Zákon o zmene klímy</w:t>
        </w:r>
      </w:hyperlink>
    </w:p>
  </w:footnote>
  <w:footnote w:id="10">
    <w:p w14:paraId="0CA1B4A8" w14:textId="1E26A7BF" w:rsidR="00912DBC" w:rsidRPr="003F720C" w:rsidRDefault="00912DBC" w:rsidP="003169FA">
      <w:pPr>
        <w:pStyle w:val="Nadpis1"/>
        <w:shd w:val="clear" w:color="auto" w:fill="FFFFFF"/>
        <w:spacing w:line="360" w:lineRule="atLeast"/>
        <w:jc w:val="both"/>
        <w:rPr>
          <w:rFonts w:cs="Times New Roman"/>
          <w:b w:val="0"/>
          <w:color w:val="112250"/>
          <w:sz w:val="18"/>
          <w:szCs w:val="18"/>
        </w:rPr>
      </w:pPr>
      <w:r w:rsidRPr="003F720C">
        <w:rPr>
          <w:rStyle w:val="Odkaznapoznmkupodiarou"/>
          <w:sz w:val="18"/>
          <w:szCs w:val="18"/>
        </w:rPr>
        <w:footnoteRef/>
      </w:r>
      <w:r w:rsidRPr="003F720C">
        <w:rPr>
          <w:rFonts w:cs="Times New Roman"/>
          <w:sz w:val="18"/>
          <w:szCs w:val="18"/>
        </w:rPr>
        <w:t xml:space="preserve"> </w:t>
      </w:r>
      <w:hyperlink r:id="rId9" w:history="1">
        <w:r w:rsidRPr="003F720C">
          <w:rPr>
            <w:rStyle w:val="Hypertextovprepojenie"/>
            <w:b w:val="0"/>
            <w:sz w:val="18"/>
            <w:szCs w:val="18"/>
          </w:rPr>
          <w:t>Návrh smernice Európskeho parlamentu a Rady o ochrane životného prostredia prostredníctvom trestného práva, ktorou sa mení smernica 2008/99/ES – správa o pokroku</w:t>
        </w:r>
      </w:hyperlink>
    </w:p>
    <w:p w14:paraId="4EB66848" w14:textId="04514EF1" w:rsidR="00912DBC" w:rsidRPr="003F720C" w:rsidRDefault="00912DBC" w:rsidP="003169FA">
      <w:pPr>
        <w:pStyle w:val="Textpoznmkypodiarou"/>
        <w:rPr>
          <w:rFonts w:ascii="Times New Roman" w:hAnsi="Times New Roman" w:cs="Times New Roman"/>
          <w:sz w:val="18"/>
          <w:szCs w:val="18"/>
        </w:rPr>
      </w:pPr>
    </w:p>
  </w:footnote>
  <w:footnote w:id="11">
    <w:p w14:paraId="1F6EE760" w14:textId="32FBE40F" w:rsidR="00912DBC" w:rsidRPr="003F720C" w:rsidRDefault="00912DBC" w:rsidP="003F720C">
      <w:pPr>
        <w:pStyle w:val="statut0"/>
        <w:shd w:val="clear" w:color="auto" w:fill="FFFFFF"/>
        <w:spacing w:before="0" w:beforeAutospacing="0" w:after="0" w:afterAutospacing="0"/>
        <w:jc w:val="both"/>
        <w:textAlignment w:val="baseline"/>
        <w:rPr>
          <w:bCs/>
          <w:color w:val="000000"/>
          <w:sz w:val="18"/>
          <w:szCs w:val="18"/>
        </w:rPr>
      </w:pPr>
      <w:r w:rsidRPr="003F720C">
        <w:rPr>
          <w:rStyle w:val="Odkaznapoznmkupodiarou"/>
          <w:sz w:val="18"/>
          <w:szCs w:val="18"/>
        </w:rPr>
        <w:footnoteRef/>
      </w:r>
      <w:r w:rsidRPr="003F720C">
        <w:rPr>
          <w:sz w:val="18"/>
          <w:szCs w:val="18"/>
        </w:rPr>
        <w:t xml:space="preserve"> </w:t>
      </w:r>
      <w:hyperlink r:id="rId10" w:history="1">
        <w:r w:rsidRPr="003F720C">
          <w:rPr>
            <w:rStyle w:val="Hypertextovprepojenie"/>
            <w:sz w:val="18"/>
            <w:szCs w:val="18"/>
          </w:rPr>
          <w:t>Návrh N</w:t>
        </w:r>
        <w:r w:rsidRPr="003F720C">
          <w:rPr>
            <w:rStyle w:val="Hypertextovprepojenie"/>
            <w:bCs/>
            <w:sz w:val="18"/>
            <w:szCs w:val="18"/>
          </w:rPr>
          <w:t>ariadenia Európskeho parlamentu a Rady o obnove prírody</w:t>
        </w:r>
      </w:hyperlink>
    </w:p>
    <w:p w14:paraId="7E1B18A8" w14:textId="0F329A07" w:rsidR="00912DBC" w:rsidRPr="003F720C" w:rsidRDefault="00912DBC">
      <w:pPr>
        <w:pStyle w:val="Textpoznmkypodiarou"/>
        <w:rPr>
          <w:rFonts w:ascii="Times New Roman" w:hAnsi="Times New Roman" w:cs="Times New Roman"/>
          <w:sz w:val="18"/>
          <w:szCs w:val="18"/>
        </w:rPr>
      </w:pPr>
    </w:p>
  </w:footnote>
  <w:footnote w:id="12">
    <w:p w14:paraId="1EEA5DE2" w14:textId="59898B8B" w:rsidR="00F815CB" w:rsidRPr="00F815CB" w:rsidRDefault="00F815CB" w:rsidP="00F815CB">
      <w:pPr>
        <w:pStyle w:val="statut0"/>
        <w:shd w:val="clear" w:color="auto" w:fill="FFFFFF"/>
        <w:spacing w:before="0" w:beforeAutospacing="0" w:after="0" w:afterAutospacing="0"/>
        <w:jc w:val="both"/>
        <w:rPr>
          <w:bCs/>
          <w:color w:val="333333"/>
          <w:sz w:val="18"/>
          <w:szCs w:val="18"/>
        </w:rPr>
      </w:pPr>
      <w:r>
        <w:rPr>
          <w:rStyle w:val="Odkaznapoznmkupodiarou"/>
        </w:rPr>
        <w:footnoteRef/>
      </w:r>
      <w:r>
        <w:t xml:space="preserve"> </w:t>
      </w:r>
      <w:hyperlink r:id="rId11" w:history="1">
        <w:r w:rsidRPr="00F815CB">
          <w:rPr>
            <w:rStyle w:val="Hypertextovprepojenie"/>
            <w:sz w:val="18"/>
            <w:szCs w:val="18"/>
          </w:rPr>
          <w:t>Návrh N</w:t>
        </w:r>
        <w:r w:rsidRPr="00F815CB">
          <w:rPr>
            <w:rStyle w:val="Hypertextovprepojenie"/>
            <w:bCs/>
            <w:sz w:val="18"/>
            <w:szCs w:val="18"/>
          </w:rPr>
          <w:t>ariadenie Európskeho parlamentu a Rady o batériách a použitých batériách, o zrušení smernice 2006/66/es a o zmene nariadenia (EU) 2019/1020</w:t>
        </w:r>
      </w:hyperlink>
    </w:p>
    <w:p w14:paraId="38EDAEF8" w14:textId="6762B1AD" w:rsidR="00F815CB" w:rsidRPr="00F815CB" w:rsidRDefault="00F815CB" w:rsidP="00F815CB">
      <w:pPr>
        <w:pStyle w:val="Textpoznmkypodiarou"/>
        <w:rPr>
          <w:sz w:val="18"/>
          <w:szCs w:val="18"/>
        </w:rPr>
      </w:pPr>
    </w:p>
  </w:footnote>
  <w:footnote w:id="13">
    <w:p w14:paraId="369A4329" w14:textId="01C70667" w:rsidR="00912DBC" w:rsidRDefault="00912DBC" w:rsidP="00B5189F">
      <w:pPr>
        <w:pStyle w:val="statut0"/>
        <w:shd w:val="clear" w:color="auto" w:fill="FFFFFF"/>
        <w:spacing w:before="0" w:beforeAutospacing="0" w:after="0" w:afterAutospacing="0"/>
        <w:textAlignment w:val="baseline"/>
      </w:pPr>
      <w:r>
        <w:rPr>
          <w:rStyle w:val="Odkaznapoznmkupodiarou"/>
        </w:rPr>
        <w:footnoteRef/>
      </w:r>
      <w:r>
        <w:t xml:space="preserve"> </w:t>
      </w:r>
      <w:hyperlink r:id="rId12" w:history="1">
        <w:r w:rsidRPr="00B5189F">
          <w:rPr>
            <w:rStyle w:val="Hypertextovprepojenie"/>
            <w:sz w:val="18"/>
            <w:szCs w:val="18"/>
          </w:rPr>
          <w:t>Návrh</w:t>
        </w:r>
        <w:r w:rsidRPr="00A936E9">
          <w:rPr>
            <w:rStyle w:val="Hypertextovprepojenie"/>
            <w:sz w:val="18"/>
            <w:szCs w:val="18"/>
          </w:rPr>
          <w:t xml:space="preserve"> </w:t>
        </w:r>
        <w:r w:rsidRPr="00B5189F">
          <w:rPr>
            <w:rStyle w:val="Hypertextovprepojenie"/>
            <w:bCs/>
            <w:sz w:val="18"/>
            <w:szCs w:val="18"/>
          </w:rPr>
          <w:t>N</w:t>
        </w:r>
        <w:r w:rsidRPr="00A936E9">
          <w:rPr>
            <w:rStyle w:val="Hypertextovprepojenie"/>
            <w:bCs/>
            <w:sz w:val="18"/>
            <w:szCs w:val="18"/>
          </w:rPr>
          <w:t xml:space="preserve">ariadenia </w:t>
        </w:r>
        <w:r>
          <w:rPr>
            <w:rStyle w:val="Hypertextovprepojenie"/>
            <w:bCs/>
            <w:sz w:val="18"/>
            <w:szCs w:val="18"/>
          </w:rPr>
          <w:t>E</w:t>
        </w:r>
        <w:r w:rsidRPr="00A936E9">
          <w:rPr>
            <w:rStyle w:val="Hypertextovprepojenie"/>
            <w:bCs/>
            <w:sz w:val="18"/>
            <w:szCs w:val="18"/>
          </w:rPr>
          <w:t>urópskeho parlamentu a </w:t>
        </w:r>
        <w:r>
          <w:rPr>
            <w:rStyle w:val="Hypertextovprepojenie"/>
            <w:bCs/>
            <w:sz w:val="18"/>
            <w:szCs w:val="18"/>
          </w:rPr>
          <w:t>R</w:t>
        </w:r>
        <w:r w:rsidRPr="00A936E9">
          <w:rPr>
            <w:rStyle w:val="Hypertextovprepojenie"/>
            <w:bCs/>
            <w:sz w:val="18"/>
            <w:szCs w:val="18"/>
          </w:rPr>
          <w:t xml:space="preserve">ady </w:t>
        </w:r>
        <w:r w:rsidRPr="00B5189F">
          <w:rPr>
            <w:rStyle w:val="Hypertextovprepojenie"/>
            <w:bCs/>
            <w:sz w:val="18"/>
            <w:szCs w:val="18"/>
          </w:rPr>
          <w:t>o jednotnom trhu s digitálnymi službami (akt o digitálnych službách) a o zmene smernice 2000/31/ES</w:t>
        </w:r>
      </w:hyperlink>
    </w:p>
  </w:footnote>
  <w:footnote w:id="14">
    <w:p w14:paraId="473971D9" w14:textId="5A5AC375" w:rsidR="00912DBC" w:rsidRPr="00B5189F" w:rsidRDefault="00912DBC">
      <w:pPr>
        <w:pStyle w:val="Textpoznmkypodiarou"/>
        <w:rPr>
          <w:rFonts w:ascii="Times New Roman" w:hAnsi="Times New Roman" w:cs="Times New Roman"/>
          <w:sz w:val="18"/>
          <w:szCs w:val="18"/>
        </w:rPr>
      </w:pPr>
      <w:r>
        <w:rPr>
          <w:rStyle w:val="Odkaznapoznmkupodiarou"/>
        </w:rPr>
        <w:footnoteRef/>
      </w:r>
      <w:r>
        <w:t xml:space="preserve"> </w:t>
      </w:r>
      <w:hyperlink r:id="rId13" w:history="1">
        <w:r w:rsidRPr="00B5189F">
          <w:rPr>
            <w:rStyle w:val="Hypertextovprepojenie"/>
            <w:rFonts w:ascii="Times New Roman" w:hAnsi="Times New Roman"/>
            <w:sz w:val="18"/>
            <w:szCs w:val="18"/>
          </w:rPr>
          <w:t xml:space="preserve">Návrh Nariadenie Európskeho </w:t>
        </w:r>
        <w:r>
          <w:rPr>
            <w:rStyle w:val="Hypertextovprepojenie"/>
            <w:rFonts w:ascii="Times New Roman" w:hAnsi="Times New Roman"/>
            <w:sz w:val="18"/>
            <w:szCs w:val="18"/>
          </w:rPr>
          <w:t>p</w:t>
        </w:r>
        <w:r w:rsidRPr="00B5189F">
          <w:rPr>
            <w:rStyle w:val="Hypertextovprepojenie"/>
            <w:rFonts w:ascii="Times New Roman" w:hAnsi="Times New Roman"/>
            <w:sz w:val="18"/>
            <w:szCs w:val="18"/>
          </w:rPr>
          <w:t xml:space="preserve">arlamentu a Rady o </w:t>
        </w:r>
        <w:proofErr w:type="spellStart"/>
        <w:r w:rsidRPr="00B5189F">
          <w:rPr>
            <w:rStyle w:val="Hypertextovprepojenie"/>
            <w:rFonts w:ascii="Times New Roman" w:hAnsi="Times New Roman"/>
            <w:sz w:val="18"/>
            <w:szCs w:val="18"/>
          </w:rPr>
          <w:t>súťažeschopných</w:t>
        </w:r>
        <w:proofErr w:type="spellEnd"/>
        <w:r w:rsidRPr="00B5189F">
          <w:rPr>
            <w:rStyle w:val="Hypertextovprepojenie"/>
            <w:rFonts w:ascii="Times New Roman" w:hAnsi="Times New Roman"/>
            <w:sz w:val="18"/>
            <w:szCs w:val="18"/>
          </w:rPr>
          <w:t xml:space="preserve"> a spravodlivých trhoch digitálneho sektora (akt o digitálnych trhoch</w:t>
        </w:r>
      </w:hyperlink>
    </w:p>
  </w:footnote>
  <w:footnote w:id="15">
    <w:p w14:paraId="773CCAA9" w14:textId="06A3A0A2" w:rsidR="00912DBC" w:rsidRPr="00B5189F" w:rsidRDefault="00912DBC">
      <w:pPr>
        <w:pStyle w:val="Textpoznmkypodiarou"/>
        <w:rPr>
          <w:rFonts w:ascii="Times New Roman" w:hAnsi="Times New Roman" w:cs="Times New Roman"/>
          <w:sz w:val="18"/>
          <w:szCs w:val="18"/>
        </w:rPr>
      </w:pPr>
      <w:r>
        <w:rPr>
          <w:rStyle w:val="Odkaznapoznmkupodiarou"/>
        </w:rPr>
        <w:footnoteRef/>
      </w:r>
      <w:r>
        <w:t xml:space="preserve"> </w:t>
      </w:r>
      <w:hyperlink r:id="rId14" w:history="1">
        <w:r w:rsidRPr="00B5189F">
          <w:rPr>
            <w:rStyle w:val="Hypertextovprepojenie"/>
            <w:rFonts w:ascii="Times New Roman" w:hAnsi="Times New Roman"/>
            <w:sz w:val="18"/>
            <w:szCs w:val="18"/>
          </w:rPr>
          <w:t xml:space="preserve">Návrh </w:t>
        </w:r>
        <w:r w:rsidRPr="00A936E9">
          <w:rPr>
            <w:rStyle w:val="Hypertextovprepojenie"/>
            <w:rFonts w:ascii="Times New Roman" w:hAnsi="Times New Roman"/>
            <w:sz w:val="18"/>
            <w:szCs w:val="18"/>
          </w:rPr>
          <w:t xml:space="preserve">Nariadenie Európskeho parlamentu a Rady </w:t>
        </w:r>
        <w:r w:rsidRPr="00B5189F">
          <w:rPr>
            <w:rStyle w:val="Hypertextovprepojenie"/>
            <w:rFonts w:ascii="Times New Roman" w:hAnsi="Times New Roman"/>
            <w:sz w:val="18"/>
            <w:szCs w:val="18"/>
          </w:rPr>
          <w:t>o európskej správe údajov (akt o správe údajov)</w:t>
        </w:r>
      </w:hyperlink>
    </w:p>
  </w:footnote>
  <w:footnote w:id="16">
    <w:p w14:paraId="5CCEDCAE" w14:textId="07537E04" w:rsidR="00912DBC" w:rsidRDefault="00912DBC">
      <w:pPr>
        <w:pStyle w:val="Textpoznmkypodiarou"/>
      </w:pPr>
      <w:r>
        <w:rPr>
          <w:rStyle w:val="Odkaznapoznmkupodiarou"/>
        </w:rPr>
        <w:footnoteRef/>
      </w:r>
      <w:r>
        <w:t xml:space="preserve"> </w:t>
      </w:r>
      <w:hyperlink r:id="rId15" w:history="1">
        <w:r w:rsidRPr="003F720C">
          <w:rPr>
            <w:rStyle w:val="Hypertextovprepojenie"/>
            <w:rFonts w:ascii="Times New Roman" w:hAnsi="Times New Roman"/>
            <w:sz w:val="18"/>
            <w:szCs w:val="18"/>
          </w:rPr>
          <w:t>Návrhu Smernice Európskeho parlamentu a Rady, ktorou sa mení smernica 2014/53/EÚ o harmonizácii právnych predpisov členských štátov týkajúcich sa sprístupňovania rádiových zariadení na trhu</w:t>
        </w:r>
      </w:hyperlink>
    </w:p>
  </w:footnote>
  <w:footnote w:id="17">
    <w:p w14:paraId="57BE5A42" w14:textId="3F6C88A7" w:rsidR="00912DBC" w:rsidRDefault="00912DBC">
      <w:pPr>
        <w:pStyle w:val="Textpoznmkypodiarou"/>
      </w:pPr>
      <w:r>
        <w:rPr>
          <w:rStyle w:val="Odkaznapoznmkupodiarou"/>
        </w:rPr>
        <w:footnoteRef/>
      </w:r>
      <w:r>
        <w:t xml:space="preserve"> </w:t>
      </w:r>
      <w:hyperlink r:id="rId16" w:history="1">
        <w:proofErr w:type="spellStart"/>
        <w:r w:rsidRPr="00A936E9">
          <w:rPr>
            <w:rStyle w:val="Hypertextovprepojenie"/>
            <w:rFonts w:ascii="Times New Roman" w:hAnsi="Times New Roman"/>
            <w:sz w:val="18"/>
            <w:szCs w:val="18"/>
          </w:rPr>
          <w:t>Proposal</w:t>
        </w:r>
        <w:proofErr w:type="spellEnd"/>
        <w:r w:rsidRPr="00A936E9">
          <w:rPr>
            <w:rStyle w:val="Hypertextovprepojenie"/>
            <w:rFonts w:ascii="Times New Roman" w:hAnsi="Times New Roman"/>
            <w:sz w:val="18"/>
            <w:szCs w:val="18"/>
          </w:rPr>
          <w:t xml:space="preserve"> </w:t>
        </w:r>
        <w:proofErr w:type="spellStart"/>
        <w:r w:rsidRPr="00A936E9">
          <w:rPr>
            <w:rStyle w:val="Hypertextovprepojenie"/>
            <w:rFonts w:ascii="Times New Roman" w:hAnsi="Times New Roman"/>
            <w:sz w:val="18"/>
            <w:szCs w:val="18"/>
          </w:rPr>
          <w:t>for</w:t>
        </w:r>
        <w:proofErr w:type="spellEnd"/>
        <w:r w:rsidRPr="00A936E9">
          <w:rPr>
            <w:rStyle w:val="Hypertextovprepojenie"/>
            <w:rFonts w:ascii="Times New Roman" w:hAnsi="Times New Roman"/>
            <w:sz w:val="18"/>
            <w:szCs w:val="18"/>
          </w:rPr>
          <w:t xml:space="preserve"> a </w:t>
        </w:r>
        <w:proofErr w:type="spellStart"/>
        <w:r w:rsidRPr="00A936E9">
          <w:rPr>
            <w:rStyle w:val="Hypertextovprepojenie"/>
            <w:rFonts w:ascii="Times New Roman" w:hAnsi="Times New Roman"/>
            <w:sz w:val="18"/>
            <w:szCs w:val="18"/>
          </w:rPr>
          <w:t>regulation</w:t>
        </w:r>
        <w:proofErr w:type="spellEnd"/>
        <w:r w:rsidRPr="00A936E9">
          <w:rPr>
            <w:rStyle w:val="Hypertextovprepojenie"/>
            <w:rFonts w:ascii="Times New Roman" w:hAnsi="Times New Roman"/>
            <w:sz w:val="18"/>
            <w:szCs w:val="18"/>
          </w:rPr>
          <w:t xml:space="preserve"> of </w:t>
        </w:r>
        <w:proofErr w:type="spellStart"/>
        <w:r w:rsidRPr="00A936E9">
          <w:rPr>
            <w:rStyle w:val="Hypertextovprepojenie"/>
            <w:rFonts w:ascii="Times New Roman" w:hAnsi="Times New Roman"/>
            <w:sz w:val="18"/>
            <w:szCs w:val="18"/>
          </w:rPr>
          <w:t>the</w:t>
        </w:r>
        <w:proofErr w:type="spellEnd"/>
        <w:r w:rsidRPr="00A936E9">
          <w:rPr>
            <w:rStyle w:val="Hypertextovprepojenie"/>
            <w:rFonts w:ascii="Times New Roman" w:hAnsi="Times New Roman"/>
            <w:sz w:val="18"/>
            <w:szCs w:val="18"/>
          </w:rPr>
          <w:t xml:space="preserve"> </w:t>
        </w:r>
        <w:proofErr w:type="spellStart"/>
        <w:r w:rsidRPr="00A936E9">
          <w:rPr>
            <w:rStyle w:val="Hypertextovprepojenie"/>
            <w:rFonts w:ascii="Times New Roman" w:hAnsi="Times New Roman"/>
            <w:sz w:val="18"/>
            <w:szCs w:val="18"/>
          </w:rPr>
          <w:t>European</w:t>
        </w:r>
        <w:proofErr w:type="spellEnd"/>
        <w:r w:rsidRPr="00A936E9">
          <w:rPr>
            <w:rStyle w:val="Hypertextovprepojenie"/>
            <w:rFonts w:ascii="Times New Roman" w:hAnsi="Times New Roman"/>
            <w:sz w:val="18"/>
            <w:szCs w:val="18"/>
          </w:rPr>
          <w:t xml:space="preserve"> </w:t>
        </w:r>
        <w:proofErr w:type="spellStart"/>
        <w:r w:rsidRPr="00A936E9">
          <w:rPr>
            <w:rStyle w:val="Hypertextovprepojenie"/>
            <w:rFonts w:ascii="Times New Roman" w:hAnsi="Times New Roman"/>
            <w:sz w:val="18"/>
            <w:szCs w:val="18"/>
          </w:rPr>
          <w:t>parliament</w:t>
        </w:r>
        <w:proofErr w:type="spellEnd"/>
        <w:r w:rsidRPr="00A936E9">
          <w:rPr>
            <w:rStyle w:val="Hypertextovprepojenie"/>
            <w:rFonts w:ascii="Times New Roman" w:hAnsi="Times New Roman"/>
            <w:sz w:val="18"/>
            <w:szCs w:val="18"/>
          </w:rPr>
          <w:t xml:space="preserve"> and of </w:t>
        </w:r>
        <w:proofErr w:type="spellStart"/>
        <w:r w:rsidRPr="00A936E9">
          <w:rPr>
            <w:rStyle w:val="Hypertextovprepojenie"/>
            <w:rFonts w:ascii="Times New Roman" w:hAnsi="Times New Roman"/>
            <w:sz w:val="18"/>
            <w:szCs w:val="18"/>
          </w:rPr>
          <w:t>the</w:t>
        </w:r>
        <w:proofErr w:type="spellEnd"/>
        <w:r w:rsidRPr="00A936E9">
          <w:rPr>
            <w:rStyle w:val="Hypertextovprepojenie"/>
            <w:rFonts w:ascii="Times New Roman" w:hAnsi="Times New Roman"/>
            <w:sz w:val="18"/>
            <w:szCs w:val="18"/>
          </w:rPr>
          <w:t xml:space="preserve"> </w:t>
        </w:r>
        <w:proofErr w:type="spellStart"/>
        <w:r w:rsidRPr="00A936E9">
          <w:rPr>
            <w:rStyle w:val="Hypertextovprepojenie"/>
            <w:rFonts w:ascii="Times New Roman" w:hAnsi="Times New Roman"/>
            <w:sz w:val="18"/>
            <w:szCs w:val="18"/>
          </w:rPr>
          <w:t>Council</w:t>
        </w:r>
        <w:proofErr w:type="spellEnd"/>
        <w:r w:rsidRPr="00A936E9">
          <w:rPr>
            <w:rStyle w:val="Hypertextovprepojenie"/>
            <w:rFonts w:ascii="Times New Roman" w:hAnsi="Times New Roman"/>
            <w:sz w:val="18"/>
            <w:szCs w:val="18"/>
          </w:rPr>
          <w:t xml:space="preserve"> </w:t>
        </w:r>
        <w:proofErr w:type="spellStart"/>
        <w:r w:rsidRPr="00A936E9">
          <w:rPr>
            <w:rStyle w:val="Hypertextovprepojenie"/>
            <w:rFonts w:ascii="Times New Roman" w:hAnsi="Times New Roman"/>
            <w:sz w:val="18"/>
            <w:szCs w:val="18"/>
          </w:rPr>
          <w:t>laying</w:t>
        </w:r>
        <w:proofErr w:type="spellEnd"/>
        <w:r w:rsidRPr="00A936E9">
          <w:rPr>
            <w:rStyle w:val="Hypertextovprepojenie"/>
            <w:rFonts w:ascii="Times New Roman" w:hAnsi="Times New Roman"/>
            <w:sz w:val="18"/>
            <w:szCs w:val="18"/>
          </w:rPr>
          <w:t xml:space="preserve"> </w:t>
        </w:r>
        <w:proofErr w:type="spellStart"/>
        <w:r w:rsidRPr="00A936E9">
          <w:rPr>
            <w:rStyle w:val="Hypertextovprepojenie"/>
            <w:rFonts w:ascii="Times New Roman" w:hAnsi="Times New Roman"/>
            <w:sz w:val="18"/>
            <w:szCs w:val="18"/>
          </w:rPr>
          <w:t>down</w:t>
        </w:r>
        <w:proofErr w:type="spellEnd"/>
        <w:r w:rsidRPr="00A936E9">
          <w:rPr>
            <w:rStyle w:val="Hypertextovprepojenie"/>
            <w:rFonts w:ascii="Times New Roman" w:hAnsi="Times New Roman"/>
            <w:sz w:val="18"/>
            <w:szCs w:val="18"/>
          </w:rPr>
          <w:t xml:space="preserve"> </w:t>
        </w:r>
        <w:proofErr w:type="spellStart"/>
        <w:r w:rsidRPr="00A936E9">
          <w:rPr>
            <w:rStyle w:val="Hypertextovprepojenie"/>
            <w:rFonts w:ascii="Times New Roman" w:hAnsi="Times New Roman"/>
            <w:sz w:val="18"/>
            <w:szCs w:val="18"/>
          </w:rPr>
          <w:t>harmonised</w:t>
        </w:r>
        <w:proofErr w:type="spellEnd"/>
        <w:r w:rsidRPr="00A936E9">
          <w:rPr>
            <w:rStyle w:val="Hypertextovprepojenie"/>
            <w:rFonts w:ascii="Times New Roman" w:hAnsi="Times New Roman"/>
            <w:sz w:val="18"/>
            <w:szCs w:val="18"/>
          </w:rPr>
          <w:t xml:space="preserve"> </w:t>
        </w:r>
        <w:proofErr w:type="spellStart"/>
        <w:r w:rsidRPr="00A936E9">
          <w:rPr>
            <w:rStyle w:val="Hypertextovprepojenie"/>
            <w:rFonts w:ascii="Times New Roman" w:hAnsi="Times New Roman"/>
            <w:sz w:val="18"/>
            <w:szCs w:val="18"/>
          </w:rPr>
          <w:t>rules</w:t>
        </w:r>
        <w:proofErr w:type="spellEnd"/>
        <w:r w:rsidRPr="00A936E9">
          <w:rPr>
            <w:rStyle w:val="Hypertextovprepojenie"/>
            <w:rFonts w:ascii="Times New Roman" w:hAnsi="Times New Roman"/>
            <w:sz w:val="18"/>
            <w:szCs w:val="18"/>
          </w:rPr>
          <w:t xml:space="preserve"> on </w:t>
        </w:r>
        <w:proofErr w:type="spellStart"/>
        <w:r w:rsidRPr="00A936E9">
          <w:rPr>
            <w:rStyle w:val="Hypertextovprepojenie"/>
            <w:rFonts w:ascii="Times New Roman" w:hAnsi="Times New Roman"/>
            <w:sz w:val="18"/>
            <w:szCs w:val="18"/>
          </w:rPr>
          <w:t>artificial</w:t>
        </w:r>
        <w:proofErr w:type="spellEnd"/>
        <w:r w:rsidRPr="00A936E9">
          <w:rPr>
            <w:rStyle w:val="Hypertextovprepojenie"/>
            <w:rFonts w:ascii="Times New Roman" w:hAnsi="Times New Roman"/>
            <w:sz w:val="18"/>
            <w:szCs w:val="18"/>
          </w:rPr>
          <w:t xml:space="preserve"> </w:t>
        </w:r>
        <w:proofErr w:type="spellStart"/>
        <w:r w:rsidRPr="00A936E9">
          <w:rPr>
            <w:rStyle w:val="Hypertextovprepojenie"/>
            <w:rFonts w:ascii="Times New Roman" w:hAnsi="Times New Roman"/>
            <w:sz w:val="18"/>
            <w:szCs w:val="18"/>
          </w:rPr>
          <w:t>intelligence</w:t>
        </w:r>
        <w:proofErr w:type="spellEnd"/>
        <w:r w:rsidRPr="00A936E9">
          <w:rPr>
            <w:rStyle w:val="Hypertextovprepojenie"/>
            <w:rFonts w:ascii="Times New Roman" w:hAnsi="Times New Roman"/>
            <w:sz w:val="18"/>
            <w:szCs w:val="18"/>
          </w:rPr>
          <w:t xml:space="preserve"> (</w:t>
        </w:r>
        <w:proofErr w:type="spellStart"/>
        <w:r w:rsidRPr="00A936E9">
          <w:rPr>
            <w:rStyle w:val="Hypertextovprepojenie"/>
            <w:rFonts w:ascii="Times New Roman" w:hAnsi="Times New Roman"/>
            <w:sz w:val="18"/>
            <w:szCs w:val="18"/>
          </w:rPr>
          <w:t>artificial</w:t>
        </w:r>
        <w:proofErr w:type="spellEnd"/>
        <w:r w:rsidRPr="00A936E9">
          <w:rPr>
            <w:rStyle w:val="Hypertextovprepojenie"/>
            <w:rFonts w:ascii="Times New Roman" w:hAnsi="Times New Roman"/>
            <w:sz w:val="18"/>
            <w:szCs w:val="18"/>
          </w:rPr>
          <w:t xml:space="preserve"> </w:t>
        </w:r>
        <w:proofErr w:type="spellStart"/>
        <w:r w:rsidRPr="00A936E9">
          <w:rPr>
            <w:rStyle w:val="Hypertextovprepojenie"/>
            <w:rFonts w:ascii="Times New Roman" w:hAnsi="Times New Roman"/>
            <w:sz w:val="18"/>
            <w:szCs w:val="18"/>
          </w:rPr>
          <w:t>intelligence</w:t>
        </w:r>
        <w:proofErr w:type="spellEnd"/>
        <w:r w:rsidRPr="00A936E9">
          <w:rPr>
            <w:rStyle w:val="Hypertextovprepojenie"/>
            <w:rFonts w:ascii="Times New Roman" w:hAnsi="Times New Roman"/>
            <w:sz w:val="18"/>
            <w:szCs w:val="18"/>
          </w:rPr>
          <w:t xml:space="preserve"> </w:t>
        </w:r>
        <w:proofErr w:type="spellStart"/>
        <w:r w:rsidRPr="00A936E9">
          <w:rPr>
            <w:rStyle w:val="Hypertextovprepojenie"/>
            <w:rFonts w:ascii="Times New Roman" w:hAnsi="Times New Roman"/>
            <w:sz w:val="18"/>
            <w:szCs w:val="18"/>
          </w:rPr>
          <w:t>act</w:t>
        </w:r>
        <w:proofErr w:type="spellEnd"/>
        <w:r w:rsidRPr="00A936E9">
          <w:rPr>
            <w:rStyle w:val="Hypertextovprepojenie"/>
            <w:rFonts w:ascii="Times New Roman" w:hAnsi="Times New Roman"/>
            <w:sz w:val="18"/>
            <w:szCs w:val="18"/>
          </w:rPr>
          <w:t xml:space="preserve">) and </w:t>
        </w:r>
        <w:proofErr w:type="spellStart"/>
        <w:r w:rsidRPr="00A936E9">
          <w:rPr>
            <w:rStyle w:val="Hypertextovprepojenie"/>
            <w:rFonts w:ascii="Times New Roman" w:hAnsi="Times New Roman"/>
            <w:sz w:val="18"/>
            <w:szCs w:val="18"/>
          </w:rPr>
          <w:t>amending</w:t>
        </w:r>
        <w:proofErr w:type="spellEnd"/>
        <w:r w:rsidRPr="00A936E9">
          <w:rPr>
            <w:rStyle w:val="Hypertextovprepojenie"/>
            <w:rFonts w:ascii="Times New Roman" w:hAnsi="Times New Roman"/>
            <w:sz w:val="18"/>
            <w:szCs w:val="18"/>
          </w:rPr>
          <w:t xml:space="preserve"> </w:t>
        </w:r>
        <w:proofErr w:type="spellStart"/>
        <w:r w:rsidRPr="00A936E9">
          <w:rPr>
            <w:rStyle w:val="Hypertextovprepojenie"/>
            <w:rFonts w:ascii="Times New Roman" w:hAnsi="Times New Roman"/>
            <w:sz w:val="18"/>
            <w:szCs w:val="18"/>
          </w:rPr>
          <w:t>certain</w:t>
        </w:r>
        <w:proofErr w:type="spellEnd"/>
        <w:r w:rsidRPr="00A936E9">
          <w:rPr>
            <w:rStyle w:val="Hypertextovprepojenie"/>
            <w:rFonts w:ascii="Times New Roman" w:hAnsi="Times New Roman"/>
            <w:sz w:val="18"/>
            <w:szCs w:val="18"/>
          </w:rPr>
          <w:t xml:space="preserve"> </w:t>
        </w:r>
        <w:proofErr w:type="spellStart"/>
        <w:r w:rsidRPr="00A936E9">
          <w:rPr>
            <w:rStyle w:val="Hypertextovprepojenie"/>
            <w:rFonts w:ascii="Times New Roman" w:hAnsi="Times New Roman"/>
            <w:sz w:val="18"/>
            <w:szCs w:val="18"/>
          </w:rPr>
          <w:t>union</w:t>
        </w:r>
        <w:proofErr w:type="spellEnd"/>
        <w:r w:rsidRPr="00A936E9">
          <w:rPr>
            <w:rStyle w:val="Hypertextovprepojenie"/>
            <w:rFonts w:ascii="Times New Roman" w:hAnsi="Times New Roman"/>
            <w:sz w:val="18"/>
            <w:szCs w:val="18"/>
          </w:rPr>
          <w:t xml:space="preserve"> </w:t>
        </w:r>
        <w:proofErr w:type="spellStart"/>
        <w:r w:rsidRPr="00A936E9">
          <w:rPr>
            <w:rStyle w:val="Hypertextovprepojenie"/>
            <w:rFonts w:ascii="Times New Roman" w:hAnsi="Times New Roman"/>
            <w:sz w:val="18"/>
            <w:szCs w:val="18"/>
          </w:rPr>
          <w:t>legislative</w:t>
        </w:r>
        <w:proofErr w:type="spellEnd"/>
        <w:r w:rsidRPr="00A936E9">
          <w:rPr>
            <w:rStyle w:val="Hypertextovprepojenie"/>
            <w:rFonts w:ascii="Times New Roman" w:hAnsi="Times New Roman"/>
            <w:sz w:val="18"/>
            <w:szCs w:val="18"/>
          </w:rPr>
          <w:t xml:space="preserve"> </w:t>
        </w:r>
        <w:proofErr w:type="spellStart"/>
        <w:r w:rsidRPr="00A936E9">
          <w:rPr>
            <w:rStyle w:val="Hypertextovprepojenie"/>
            <w:rFonts w:ascii="Times New Roman" w:hAnsi="Times New Roman"/>
            <w:sz w:val="18"/>
            <w:szCs w:val="18"/>
          </w:rPr>
          <w:t>act</w:t>
        </w:r>
        <w:proofErr w:type="spellEnd"/>
      </w:hyperlink>
    </w:p>
  </w:footnote>
  <w:footnote w:id="18">
    <w:p w14:paraId="4F451A76" w14:textId="32CCCFE7" w:rsidR="00912DBC" w:rsidRDefault="00912DBC">
      <w:pPr>
        <w:pStyle w:val="Textpoznmkypodiarou"/>
      </w:pPr>
      <w:r>
        <w:rPr>
          <w:rStyle w:val="Odkaznapoznmkupodiarou"/>
        </w:rPr>
        <w:footnoteRef/>
      </w:r>
      <w:r>
        <w:t xml:space="preserve"> </w:t>
      </w:r>
      <w:hyperlink r:id="rId17" w:history="1">
        <w:r w:rsidRPr="00B5189F">
          <w:rPr>
            <w:rStyle w:val="Hypertextovprepojenie"/>
            <w:rFonts w:ascii="Times New Roman" w:hAnsi="Times New Roman"/>
            <w:sz w:val="18"/>
            <w:szCs w:val="18"/>
          </w:rPr>
          <w:t xml:space="preserve">Návrh </w:t>
        </w:r>
        <w:r w:rsidRPr="0048329E">
          <w:rPr>
            <w:rStyle w:val="Hypertextovprepojenie"/>
            <w:rFonts w:ascii="Times New Roman" w:hAnsi="Times New Roman"/>
            <w:sz w:val="18"/>
            <w:szCs w:val="18"/>
          </w:rPr>
          <w:t>Rozhodnutia Európskeho parlamentu a Rady</w:t>
        </w:r>
        <w:r w:rsidRPr="00B5189F">
          <w:rPr>
            <w:rStyle w:val="Hypertextovprepojenie"/>
            <w:rFonts w:ascii="Times New Roman" w:hAnsi="Times New Roman"/>
            <w:sz w:val="18"/>
            <w:szCs w:val="18"/>
          </w:rPr>
          <w:t>, ktorým sa zriaďuje politický program Cesta k digitálnemu desaťročiu do roku 2030</w:t>
        </w:r>
      </w:hyperlink>
    </w:p>
  </w:footnote>
  <w:footnote w:id="19">
    <w:p w14:paraId="4ECF4584" w14:textId="2A4BE92A" w:rsidR="00912DBC" w:rsidRDefault="00912DBC" w:rsidP="0047302D">
      <w:pPr>
        <w:spacing w:after="0" w:line="240" w:lineRule="auto"/>
      </w:pPr>
      <w:r>
        <w:rPr>
          <w:rStyle w:val="Odkaznapoznmkupodiarou"/>
        </w:rPr>
        <w:footnoteRef/>
      </w:r>
      <w:hyperlink r:id="rId18" w:history="1">
        <w:r w:rsidRPr="0047302D">
          <w:rPr>
            <w:rStyle w:val="Hypertextovprepojenie"/>
            <w:sz w:val="18"/>
            <w:szCs w:val="18"/>
          </w:rPr>
          <w:t>COM(2021)759 Návrh Nariadenie Európskeho parlamentu a Rady o digitalizácii justičnej spolupráce a prístupu k spravodlivosti v cezhraničných občianskych, obchodných a trestných veciach a o zmene určitých aktov v oblasti justičnej spolupráce</w:t>
        </w:r>
      </w:hyperlink>
      <w:r w:rsidRPr="0048329E">
        <w:rPr>
          <w:rFonts w:cs="Times New Roman"/>
          <w:color w:val="555555"/>
          <w:sz w:val="18"/>
          <w:szCs w:val="18"/>
        </w:rPr>
        <w:t>.</w:t>
      </w:r>
    </w:p>
  </w:footnote>
  <w:footnote w:id="20">
    <w:p w14:paraId="066C5983" w14:textId="1B9E83D9" w:rsidR="00912DBC" w:rsidRPr="00B5189F" w:rsidRDefault="00912DBC" w:rsidP="00B5189F">
      <w:pPr>
        <w:pStyle w:val="statut0"/>
        <w:shd w:val="clear" w:color="auto" w:fill="FFFFFF"/>
        <w:spacing w:before="0" w:beforeAutospacing="0" w:after="0" w:afterAutospacing="0"/>
        <w:textAlignment w:val="baseline"/>
        <w:rPr>
          <w:bCs/>
          <w:color w:val="000000"/>
          <w:sz w:val="18"/>
          <w:szCs w:val="18"/>
        </w:rPr>
      </w:pPr>
      <w:r>
        <w:rPr>
          <w:rStyle w:val="Odkaznapoznmkupodiarou"/>
        </w:rPr>
        <w:footnoteRef/>
      </w:r>
      <w:r>
        <w:t xml:space="preserve"> </w:t>
      </w:r>
      <w:hyperlink r:id="rId19" w:history="1">
        <w:r w:rsidRPr="00B5189F">
          <w:rPr>
            <w:rStyle w:val="Hypertextovprepojenie"/>
            <w:sz w:val="18"/>
            <w:szCs w:val="18"/>
          </w:rPr>
          <w:t>N</w:t>
        </w:r>
        <w:r w:rsidRPr="005B1DCA">
          <w:rPr>
            <w:rStyle w:val="Hypertextovprepojenie"/>
            <w:sz w:val="18"/>
            <w:szCs w:val="18"/>
          </w:rPr>
          <w:t xml:space="preserve">ávrh </w:t>
        </w:r>
        <w:r w:rsidRPr="00B5189F">
          <w:rPr>
            <w:rStyle w:val="Hypertextovprepojenie"/>
            <w:sz w:val="18"/>
            <w:szCs w:val="18"/>
          </w:rPr>
          <w:t>S</w:t>
        </w:r>
        <w:r w:rsidRPr="00B5189F">
          <w:rPr>
            <w:rStyle w:val="Hypertextovprepojenie"/>
            <w:bCs/>
            <w:sz w:val="18"/>
            <w:szCs w:val="18"/>
          </w:rPr>
          <w:t>mernica Európskeho parlamentu a Rady o opatreniach na zabezpečenie vysokej spoločnej úrovne kybernetickej bezpečnosti v únii a o zrušení smernice (EU) 2016/1148</w:t>
        </w:r>
      </w:hyperlink>
    </w:p>
    <w:p w14:paraId="10A2BEA7" w14:textId="0CA91800" w:rsidR="00912DBC" w:rsidRPr="00B5189F" w:rsidRDefault="00912DBC">
      <w:pPr>
        <w:pStyle w:val="Textpoznmkypodiarou"/>
        <w:rPr>
          <w:sz w:val="18"/>
          <w:szCs w:val="18"/>
        </w:rPr>
      </w:pPr>
    </w:p>
  </w:footnote>
  <w:footnote w:id="21">
    <w:p w14:paraId="770DBC51" w14:textId="0C710B1C" w:rsidR="00912DBC" w:rsidRDefault="00912DBC">
      <w:pPr>
        <w:pStyle w:val="Textpoznmkypodiarou"/>
      </w:pPr>
      <w:r>
        <w:rPr>
          <w:rStyle w:val="Odkaznapoznmkupodiarou"/>
        </w:rPr>
        <w:footnoteRef/>
      </w:r>
      <w:r>
        <w:t xml:space="preserve"> </w:t>
      </w:r>
      <w:hyperlink r:id="rId20" w:history="1">
        <w:r w:rsidRPr="00D9774A">
          <w:rPr>
            <w:rStyle w:val="Hypertextovprepojenie"/>
            <w:rFonts w:ascii="Times New Roman" w:hAnsi="Times New Roman"/>
            <w:sz w:val="18"/>
            <w:szCs w:val="18"/>
          </w:rPr>
          <w:t xml:space="preserve">Plán </w:t>
        </w:r>
        <w:proofErr w:type="spellStart"/>
        <w:r w:rsidRPr="00D9774A">
          <w:rPr>
            <w:rStyle w:val="Hypertextovprepojenie"/>
            <w:rFonts w:ascii="Times New Roman" w:hAnsi="Times New Roman"/>
            <w:sz w:val="18"/>
            <w:szCs w:val="18"/>
          </w:rPr>
          <w:t>REPower</w:t>
        </w:r>
        <w:proofErr w:type="spellEnd"/>
        <w:r w:rsidRPr="00D9774A">
          <w:rPr>
            <w:rStyle w:val="Hypertextovprepojenie"/>
            <w:rFonts w:ascii="Times New Roman" w:hAnsi="Times New Roman"/>
            <w:sz w:val="18"/>
            <w:szCs w:val="18"/>
          </w:rPr>
          <w:t xml:space="preserve"> EU: cenovo dostupná, bezpečná a udržateľná energia pre Európu</w:t>
        </w:r>
      </w:hyperlink>
      <w:r>
        <w:rPr>
          <w:rFonts w:ascii="Times New Roman" w:hAnsi="Times New Roman" w:cs="Times New Roman"/>
          <w:sz w:val="18"/>
          <w:szCs w:val="18"/>
        </w:rPr>
        <w:t xml:space="preserve"> </w:t>
      </w:r>
    </w:p>
  </w:footnote>
  <w:footnote w:id="22">
    <w:p w14:paraId="507E5558" w14:textId="35E18144" w:rsidR="00912DBC" w:rsidRPr="00B5189F" w:rsidRDefault="00912DBC">
      <w:pPr>
        <w:pStyle w:val="Textpoznmkypodiarou"/>
        <w:rPr>
          <w:rFonts w:ascii="Times New Roman" w:hAnsi="Times New Roman" w:cs="Times New Roman"/>
          <w:sz w:val="18"/>
          <w:szCs w:val="18"/>
        </w:rPr>
      </w:pPr>
      <w:r>
        <w:rPr>
          <w:rStyle w:val="Odkaznapoznmkupodiarou"/>
        </w:rPr>
        <w:footnoteRef/>
      </w:r>
      <w:r>
        <w:t xml:space="preserve"> </w:t>
      </w:r>
      <w:hyperlink r:id="rId21" w:history="1">
        <w:r w:rsidRPr="005B1DCA">
          <w:rPr>
            <w:rStyle w:val="Hypertextovprepojenie"/>
            <w:rFonts w:cs="Calibri"/>
          </w:rPr>
          <w:t>N</w:t>
        </w:r>
        <w:r w:rsidRPr="005B1DCA">
          <w:rPr>
            <w:rStyle w:val="Hypertextovprepojenie"/>
            <w:rFonts w:ascii="Times New Roman" w:hAnsi="Times New Roman"/>
            <w:sz w:val="18"/>
            <w:szCs w:val="18"/>
          </w:rPr>
          <w:t>ávrh Nariadenia Európskeho parlamentu a Rady o digitálnej prevádzkovej odolnosti finančného sektora a o zmene nariadení (es) č. 1060/2009, (</w:t>
        </w:r>
        <w:proofErr w:type="spellStart"/>
        <w:r w:rsidRPr="005B1DCA">
          <w:rPr>
            <w:rStyle w:val="Hypertextovprepojenie"/>
            <w:rFonts w:ascii="Times New Roman" w:hAnsi="Times New Roman"/>
            <w:sz w:val="18"/>
            <w:szCs w:val="18"/>
          </w:rPr>
          <w:t>eú</w:t>
        </w:r>
        <w:proofErr w:type="spellEnd"/>
        <w:r w:rsidRPr="005B1DCA">
          <w:rPr>
            <w:rStyle w:val="Hypertextovprepojenie"/>
            <w:rFonts w:ascii="Times New Roman" w:hAnsi="Times New Roman"/>
            <w:sz w:val="18"/>
            <w:szCs w:val="18"/>
          </w:rPr>
          <w:t>) č. 648/2012, (</w:t>
        </w:r>
        <w:proofErr w:type="spellStart"/>
        <w:r w:rsidRPr="005B1DCA">
          <w:rPr>
            <w:rStyle w:val="Hypertextovprepojenie"/>
            <w:rFonts w:ascii="Times New Roman" w:hAnsi="Times New Roman"/>
            <w:sz w:val="18"/>
            <w:szCs w:val="18"/>
          </w:rPr>
          <w:t>eú</w:t>
        </w:r>
        <w:proofErr w:type="spellEnd"/>
        <w:r w:rsidRPr="005B1DCA">
          <w:rPr>
            <w:rStyle w:val="Hypertextovprepojenie"/>
            <w:rFonts w:ascii="Times New Roman" w:hAnsi="Times New Roman"/>
            <w:sz w:val="18"/>
            <w:szCs w:val="18"/>
          </w:rPr>
          <w:t>) č. 600/2014 a (</w:t>
        </w:r>
        <w:proofErr w:type="spellStart"/>
        <w:r w:rsidRPr="005B1DCA">
          <w:rPr>
            <w:rStyle w:val="Hypertextovprepojenie"/>
            <w:rFonts w:ascii="Times New Roman" w:hAnsi="Times New Roman"/>
            <w:sz w:val="18"/>
            <w:szCs w:val="18"/>
          </w:rPr>
          <w:t>eú</w:t>
        </w:r>
        <w:proofErr w:type="spellEnd"/>
        <w:r w:rsidRPr="005B1DCA">
          <w:rPr>
            <w:rStyle w:val="Hypertextovprepojenie"/>
            <w:rFonts w:ascii="Times New Roman" w:hAnsi="Times New Roman"/>
            <w:sz w:val="18"/>
            <w:szCs w:val="18"/>
          </w:rPr>
          <w:t>) č. 909/2014</w:t>
        </w:r>
      </w:hyperlink>
    </w:p>
  </w:footnote>
  <w:footnote w:id="23">
    <w:p w14:paraId="0BED3B84" w14:textId="4E4890F9" w:rsidR="00912DBC" w:rsidRDefault="00912DBC">
      <w:pPr>
        <w:pStyle w:val="Textpoznmkypodiarou"/>
      </w:pPr>
      <w:r>
        <w:rPr>
          <w:rStyle w:val="Odkaznapoznmkupodiarou"/>
        </w:rPr>
        <w:footnoteRef/>
      </w:r>
      <w:r>
        <w:t xml:space="preserve"> </w:t>
      </w:r>
      <w:hyperlink r:id="rId22" w:history="1">
        <w:proofErr w:type="spellStart"/>
        <w:r w:rsidRPr="00B5189F">
          <w:rPr>
            <w:rStyle w:val="Hypertextovprepojenie"/>
            <w:rFonts w:ascii="Times New Roman" w:hAnsi="Times New Roman"/>
            <w:sz w:val="18"/>
            <w:szCs w:val="18"/>
          </w:rPr>
          <w:t>Proposal</w:t>
        </w:r>
        <w:proofErr w:type="spellEnd"/>
        <w:r w:rsidRPr="00B5189F">
          <w:rPr>
            <w:rStyle w:val="Hypertextovprepojenie"/>
            <w:rFonts w:ascii="Times New Roman" w:hAnsi="Times New Roman"/>
            <w:sz w:val="18"/>
            <w:szCs w:val="18"/>
          </w:rPr>
          <w:t xml:space="preserve"> </w:t>
        </w:r>
        <w:proofErr w:type="spellStart"/>
        <w:r w:rsidRPr="00B5189F">
          <w:rPr>
            <w:rStyle w:val="Hypertextovprepojenie"/>
            <w:rFonts w:ascii="Times New Roman" w:hAnsi="Times New Roman"/>
            <w:sz w:val="18"/>
            <w:szCs w:val="18"/>
          </w:rPr>
          <w:t>for</w:t>
        </w:r>
        <w:proofErr w:type="spellEnd"/>
        <w:r w:rsidRPr="00B5189F">
          <w:rPr>
            <w:rStyle w:val="Hypertextovprepojenie"/>
            <w:rFonts w:ascii="Times New Roman" w:hAnsi="Times New Roman"/>
            <w:sz w:val="18"/>
            <w:szCs w:val="18"/>
          </w:rPr>
          <w:t xml:space="preserve"> a </w:t>
        </w:r>
        <w:proofErr w:type="spellStart"/>
        <w:r w:rsidRPr="00B5189F">
          <w:rPr>
            <w:rStyle w:val="Hypertextovprepojenie"/>
            <w:rFonts w:ascii="Times New Roman" w:hAnsi="Times New Roman"/>
            <w:sz w:val="18"/>
            <w:szCs w:val="18"/>
          </w:rPr>
          <w:t>regulation</w:t>
        </w:r>
        <w:proofErr w:type="spellEnd"/>
        <w:r w:rsidRPr="00B5189F">
          <w:rPr>
            <w:rStyle w:val="Hypertextovprepojenie"/>
            <w:rFonts w:ascii="Times New Roman" w:hAnsi="Times New Roman"/>
            <w:sz w:val="18"/>
            <w:szCs w:val="18"/>
          </w:rPr>
          <w:t xml:space="preserve"> of </w:t>
        </w:r>
        <w:proofErr w:type="spellStart"/>
        <w:r w:rsidRPr="00B5189F">
          <w:rPr>
            <w:rStyle w:val="Hypertextovprepojenie"/>
            <w:rFonts w:ascii="Times New Roman" w:hAnsi="Times New Roman"/>
            <w:sz w:val="18"/>
            <w:szCs w:val="18"/>
          </w:rPr>
          <w:t>the</w:t>
        </w:r>
        <w:proofErr w:type="spellEnd"/>
        <w:r w:rsidRPr="00B5189F">
          <w:rPr>
            <w:rStyle w:val="Hypertextovprepojenie"/>
            <w:rFonts w:ascii="Times New Roman" w:hAnsi="Times New Roman"/>
            <w:sz w:val="18"/>
            <w:szCs w:val="18"/>
          </w:rPr>
          <w:t xml:space="preserve"> </w:t>
        </w:r>
        <w:proofErr w:type="spellStart"/>
        <w:r w:rsidRPr="00B5189F">
          <w:rPr>
            <w:rStyle w:val="Hypertextovprepojenie"/>
            <w:rFonts w:ascii="Times New Roman" w:hAnsi="Times New Roman"/>
            <w:sz w:val="18"/>
            <w:szCs w:val="18"/>
          </w:rPr>
          <w:t>European</w:t>
        </w:r>
        <w:proofErr w:type="spellEnd"/>
        <w:r w:rsidRPr="00B5189F">
          <w:rPr>
            <w:rStyle w:val="Hypertextovprepojenie"/>
            <w:rFonts w:ascii="Times New Roman" w:hAnsi="Times New Roman"/>
            <w:sz w:val="18"/>
            <w:szCs w:val="18"/>
          </w:rPr>
          <w:t xml:space="preserve"> </w:t>
        </w:r>
        <w:proofErr w:type="spellStart"/>
        <w:r w:rsidRPr="00B5189F">
          <w:rPr>
            <w:rStyle w:val="Hypertextovprepojenie"/>
            <w:rFonts w:ascii="Times New Roman" w:hAnsi="Times New Roman"/>
            <w:sz w:val="18"/>
            <w:szCs w:val="18"/>
          </w:rPr>
          <w:t>parliament</w:t>
        </w:r>
        <w:proofErr w:type="spellEnd"/>
        <w:r w:rsidRPr="00B5189F">
          <w:rPr>
            <w:rStyle w:val="Hypertextovprepojenie"/>
            <w:rFonts w:ascii="Times New Roman" w:hAnsi="Times New Roman"/>
            <w:sz w:val="18"/>
            <w:szCs w:val="18"/>
          </w:rPr>
          <w:t xml:space="preserve"> and of </w:t>
        </w:r>
        <w:proofErr w:type="spellStart"/>
        <w:r w:rsidRPr="00B5189F">
          <w:rPr>
            <w:rStyle w:val="Hypertextovprepojenie"/>
            <w:rFonts w:ascii="Times New Roman" w:hAnsi="Times New Roman"/>
            <w:sz w:val="18"/>
            <w:szCs w:val="18"/>
          </w:rPr>
          <w:t>the</w:t>
        </w:r>
        <w:proofErr w:type="spellEnd"/>
        <w:r w:rsidRPr="00B5189F">
          <w:rPr>
            <w:rStyle w:val="Hypertextovprepojenie"/>
            <w:rFonts w:ascii="Times New Roman" w:hAnsi="Times New Roman"/>
            <w:sz w:val="18"/>
            <w:szCs w:val="18"/>
          </w:rPr>
          <w:t xml:space="preserve"> </w:t>
        </w:r>
        <w:proofErr w:type="spellStart"/>
        <w:r w:rsidRPr="00B5189F">
          <w:rPr>
            <w:rStyle w:val="Hypertextovprepojenie"/>
            <w:rFonts w:ascii="Times New Roman" w:hAnsi="Times New Roman"/>
            <w:sz w:val="18"/>
            <w:szCs w:val="18"/>
          </w:rPr>
          <w:t>Council</w:t>
        </w:r>
        <w:proofErr w:type="spellEnd"/>
        <w:r w:rsidRPr="00B5189F">
          <w:rPr>
            <w:rStyle w:val="Hypertextovprepojenie"/>
            <w:rFonts w:ascii="Times New Roman" w:hAnsi="Times New Roman"/>
            <w:sz w:val="18"/>
            <w:szCs w:val="18"/>
          </w:rPr>
          <w:t xml:space="preserve"> on </w:t>
        </w:r>
        <w:proofErr w:type="spellStart"/>
        <w:r w:rsidRPr="00B5189F">
          <w:rPr>
            <w:rStyle w:val="Hypertextovprepojenie"/>
            <w:rFonts w:ascii="Times New Roman" w:hAnsi="Times New Roman"/>
            <w:sz w:val="18"/>
            <w:szCs w:val="18"/>
          </w:rPr>
          <w:t>markets</w:t>
        </w:r>
        <w:proofErr w:type="spellEnd"/>
        <w:r w:rsidRPr="00B5189F">
          <w:rPr>
            <w:rStyle w:val="Hypertextovprepojenie"/>
            <w:rFonts w:ascii="Times New Roman" w:hAnsi="Times New Roman"/>
            <w:sz w:val="18"/>
            <w:szCs w:val="18"/>
          </w:rPr>
          <w:t xml:space="preserve"> in </w:t>
        </w:r>
        <w:proofErr w:type="spellStart"/>
        <w:r w:rsidRPr="00B5189F">
          <w:rPr>
            <w:rStyle w:val="Hypertextovprepojenie"/>
            <w:rFonts w:ascii="Times New Roman" w:hAnsi="Times New Roman"/>
            <w:sz w:val="18"/>
            <w:szCs w:val="18"/>
          </w:rPr>
          <w:t>crypto-assets</w:t>
        </w:r>
        <w:proofErr w:type="spellEnd"/>
        <w:r w:rsidRPr="00B5189F">
          <w:rPr>
            <w:rStyle w:val="Hypertextovprepojenie"/>
            <w:rFonts w:ascii="Times New Roman" w:hAnsi="Times New Roman"/>
            <w:sz w:val="18"/>
            <w:szCs w:val="18"/>
          </w:rPr>
          <w:t xml:space="preserve">, and </w:t>
        </w:r>
        <w:proofErr w:type="spellStart"/>
        <w:r w:rsidRPr="00B5189F">
          <w:rPr>
            <w:rStyle w:val="Hypertextovprepojenie"/>
            <w:rFonts w:ascii="Times New Roman" w:hAnsi="Times New Roman"/>
            <w:sz w:val="18"/>
            <w:szCs w:val="18"/>
          </w:rPr>
          <w:t>amending</w:t>
        </w:r>
        <w:proofErr w:type="spellEnd"/>
        <w:r w:rsidRPr="00B5189F">
          <w:rPr>
            <w:rStyle w:val="Hypertextovprepojenie"/>
            <w:rFonts w:ascii="Times New Roman" w:hAnsi="Times New Roman"/>
            <w:sz w:val="18"/>
            <w:szCs w:val="18"/>
          </w:rPr>
          <w:t xml:space="preserve"> </w:t>
        </w:r>
        <w:proofErr w:type="spellStart"/>
        <w:r w:rsidRPr="00B5189F">
          <w:rPr>
            <w:rStyle w:val="Hypertextovprepojenie"/>
            <w:rFonts w:ascii="Times New Roman" w:hAnsi="Times New Roman"/>
            <w:sz w:val="18"/>
            <w:szCs w:val="18"/>
          </w:rPr>
          <w:t>directive</w:t>
        </w:r>
        <w:proofErr w:type="spellEnd"/>
        <w:r w:rsidRPr="00B5189F">
          <w:rPr>
            <w:rStyle w:val="Hypertextovprepojenie"/>
            <w:rFonts w:ascii="Times New Roman" w:hAnsi="Times New Roman"/>
            <w:sz w:val="18"/>
            <w:szCs w:val="18"/>
          </w:rPr>
          <w:t xml:space="preserve"> (</w:t>
        </w:r>
        <w:proofErr w:type="spellStart"/>
        <w:r w:rsidRPr="00B5189F">
          <w:rPr>
            <w:rStyle w:val="Hypertextovprepojenie"/>
            <w:rFonts w:ascii="Times New Roman" w:hAnsi="Times New Roman"/>
            <w:sz w:val="18"/>
            <w:szCs w:val="18"/>
          </w:rPr>
          <w:t>eu</w:t>
        </w:r>
        <w:proofErr w:type="spellEnd"/>
        <w:r w:rsidRPr="00B5189F">
          <w:rPr>
            <w:rStyle w:val="Hypertextovprepojenie"/>
            <w:rFonts w:ascii="Times New Roman" w:hAnsi="Times New Roman"/>
            <w:sz w:val="18"/>
            <w:szCs w:val="18"/>
          </w:rPr>
          <w:t>) 2019/1937</w:t>
        </w:r>
      </w:hyperlink>
    </w:p>
  </w:footnote>
  <w:footnote w:id="24">
    <w:p w14:paraId="40769D76" w14:textId="5CD3EE17" w:rsidR="00912DBC" w:rsidRPr="003169FA" w:rsidRDefault="00912DBC" w:rsidP="003169FA">
      <w:pPr>
        <w:pStyle w:val="Nadpis1"/>
        <w:shd w:val="clear" w:color="auto" w:fill="FFFFFF"/>
        <w:spacing w:line="360" w:lineRule="atLeast"/>
        <w:jc w:val="both"/>
        <w:rPr>
          <w:rFonts w:cs="Times New Roman"/>
          <w:b w:val="0"/>
          <w:color w:val="112250"/>
          <w:sz w:val="18"/>
          <w:szCs w:val="18"/>
        </w:rPr>
      </w:pPr>
      <w:r>
        <w:rPr>
          <w:rStyle w:val="Odkaznapoznmkupodiarou"/>
        </w:rPr>
        <w:footnoteRef/>
      </w:r>
      <w:r>
        <w:t xml:space="preserve"> </w:t>
      </w:r>
      <w:hyperlink r:id="rId23" w:history="1">
        <w:r w:rsidRPr="003169FA">
          <w:rPr>
            <w:rStyle w:val="Hypertextovprepojenie"/>
            <w:b w:val="0"/>
            <w:sz w:val="18"/>
            <w:szCs w:val="18"/>
          </w:rPr>
          <w:t>Návrh Smernice Európskeho parlamentu a Rady o zlepšení pracovných podmienok v oblasti práce pre platformy – všeobecné smerovanie</w:t>
        </w:r>
      </w:hyperlink>
    </w:p>
    <w:p w14:paraId="271843D4" w14:textId="2F5846E4" w:rsidR="00912DBC" w:rsidRDefault="00912DBC">
      <w:pPr>
        <w:pStyle w:val="Textpoznmkypodiarou"/>
      </w:pPr>
    </w:p>
  </w:footnote>
  <w:footnote w:id="25">
    <w:p w14:paraId="1FFFB163" w14:textId="3D9786F7" w:rsidR="00912DBC" w:rsidRPr="008A63B6" w:rsidRDefault="00912DBC">
      <w:pPr>
        <w:pStyle w:val="Textpoznmkypodiarou"/>
        <w:rPr>
          <w:rFonts w:ascii="Times New Roman" w:hAnsi="Times New Roman" w:cs="Times New Roman"/>
          <w:sz w:val="18"/>
          <w:szCs w:val="18"/>
        </w:rPr>
      </w:pPr>
      <w:r w:rsidRPr="008A63B6">
        <w:rPr>
          <w:rStyle w:val="Odkaznapoznmkupodiarou"/>
          <w:rFonts w:ascii="Times New Roman" w:hAnsi="Times New Roman"/>
          <w:sz w:val="18"/>
          <w:szCs w:val="18"/>
        </w:rPr>
        <w:footnoteRef/>
      </w:r>
      <w:r w:rsidRPr="008A63B6">
        <w:rPr>
          <w:rFonts w:ascii="Times New Roman" w:hAnsi="Times New Roman" w:cs="Times New Roman"/>
          <w:sz w:val="18"/>
          <w:szCs w:val="18"/>
        </w:rPr>
        <w:t xml:space="preserve"> </w:t>
      </w:r>
      <w:hyperlink r:id="rId24" w:history="1">
        <w:r w:rsidRPr="008A63B6">
          <w:rPr>
            <w:rStyle w:val="Hypertextovprepojenie"/>
            <w:rFonts w:ascii="Times New Roman" w:hAnsi="Times New Roman"/>
            <w:sz w:val="18"/>
            <w:szCs w:val="18"/>
          </w:rPr>
          <w:t>Oznámenie Komisie Dočasný krízový rámec pre opatrenia štátnej pomoci na podporu hospodárstva v dôsledku agresie Ruska proti Ukrajine</w:t>
        </w:r>
      </w:hyperlink>
    </w:p>
  </w:footnote>
  <w:footnote w:id="26">
    <w:p w14:paraId="2C215967" w14:textId="3F892122" w:rsidR="00912DBC" w:rsidRPr="00912DBC" w:rsidRDefault="00912DBC" w:rsidP="00912DBC">
      <w:pPr>
        <w:pStyle w:val="statut0"/>
        <w:shd w:val="clear" w:color="auto" w:fill="FFFFFF"/>
        <w:spacing w:before="0" w:beforeAutospacing="0" w:after="0" w:afterAutospacing="0"/>
        <w:jc w:val="both"/>
        <w:textAlignment w:val="baseline"/>
        <w:rPr>
          <w:bCs/>
          <w:color w:val="000000"/>
          <w:sz w:val="18"/>
          <w:szCs w:val="18"/>
        </w:rPr>
      </w:pPr>
      <w:r>
        <w:rPr>
          <w:rStyle w:val="Odkaznapoznmkupodiarou"/>
        </w:rPr>
        <w:footnoteRef/>
      </w:r>
      <w:r>
        <w:t xml:space="preserve"> </w:t>
      </w:r>
      <w:hyperlink r:id="rId25" w:history="1">
        <w:r w:rsidRPr="00912DBC">
          <w:rPr>
            <w:rStyle w:val="Hypertextovprepojenie"/>
          </w:rPr>
          <w:t>N</w:t>
        </w:r>
        <w:r w:rsidRPr="00912DBC">
          <w:rPr>
            <w:rStyle w:val="Hypertextovprepojenie"/>
            <w:sz w:val="18"/>
            <w:szCs w:val="18"/>
          </w:rPr>
          <w:t>ávrh N</w:t>
        </w:r>
        <w:r w:rsidRPr="00912DBC">
          <w:rPr>
            <w:rStyle w:val="Hypertextovprepojenie"/>
            <w:bCs/>
            <w:sz w:val="18"/>
            <w:szCs w:val="18"/>
          </w:rPr>
          <w:t>ariadenie Európskeho parlamentu a Rady o sprístupnení určitých komodít a výrobkov spojených s odlesňovaním a degradáciou lesov na trhu únie a o ich vývoze z únie, ktorým sa zrušuje nariadenie (</w:t>
        </w:r>
        <w:proofErr w:type="spellStart"/>
        <w:r w:rsidRPr="00912DBC">
          <w:rPr>
            <w:rStyle w:val="Hypertextovprepojenie"/>
            <w:bCs/>
            <w:sz w:val="18"/>
            <w:szCs w:val="18"/>
          </w:rPr>
          <w:t>eú</w:t>
        </w:r>
        <w:proofErr w:type="spellEnd"/>
        <w:r w:rsidRPr="00912DBC">
          <w:rPr>
            <w:rStyle w:val="Hypertextovprepojenie"/>
            <w:bCs/>
            <w:sz w:val="18"/>
            <w:szCs w:val="18"/>
          </w:rPr>
          <w:t>) č. 995/2010</w:t>
        </w:r>
      </w:hyperlink>
    </w:p>
    <w:p w14:paraId="550AC7BB" w14:textId="3EFA2E88" w:rsidR="00912DBC" w:rsidRDefault="00912DBC">
      <w:pPr>
        <w:pStyle w:val="Textpoznmkypodiarou"/>
      </w:pPr>
    </w:p>
  </w:footnote>
  <w:footnote w:id="27">
    <w:p w14:paraId="21D3E5F6" w14:textId="2EA6DB33" w:rsidR="00912DBC" w:rsidRPr="00912DBC" w:rsidRDefault="00912DBC">
      <w:pPr>
        <w:pStyle w:val="Textpoznmkypodiarou"/>
        <w:rPr>
          <w:rFonts w:ascii="Times New Roman" w:hAnsi="Times New Roman" w:cs="Times New Roman"/>
          <w:sz w:val="18"/>
          <w:szCs w:val="18"/>
        </w:rPr>
      </w:pPr>
      <w:r>
        <w:rPr>
          <w:rStyle w:val="Odkaznapoznmkupodiarou"/>
        </w:rPr>
        <w:footnoteRef/>
      </w:r>
      <w:r>
        <w:t xml:space="preserve"> </w:t>
      </w:r>
      <w:hyperlink r:id="rId26" w:history="1">
        <w:r w:rsidRPr="00912DBC">
          <w:rPr>
            <w:rStyle w:val="Hypertextovprepojenie"/>
            <w:rFonts w:ascii="Times New Roman" w:hAnsi="Times New Roman"/>
            <w:sz w:val="18"/>
            <w:szCs w:val="18"/>
          </w:rPr>
          <w:t>Návrh Nariadenie Európskeho parlamentu a Rady, ktorým sa menia nariadenia (EÚ) 2016/424, (EÚ) 2016/425, (EÚ) 2016/426, (EÚ) 2019/1009 a (EÚ) č. 305/2011, pokiaľ ide o núdzové postupy posudzovania zhody, prijímanie spoločných špecifikácií a dohľad nad trhom v dôsledku núdzovej situácie na jednotnom trhu</w:t>
        </w:r>
      </w:hyperlink>
    </w:p>
  </w:footnote>
  <w:footnote w:id="28">
    <w:p w14:paraId="19579DD2" w14:textId="63139433" w:rsidR="00912DBC" w:rsidRPr="00912DBC" w:rsidRDefault="00912DBC">
      <w:pPr>
        <w:pStyle w:val="Textpoznmkypodiarou"/>
        <w:rPr>
          <w:rFonts w:ascii="Times New Roman" w:hAnsi="Times New Roman" w:cs="Times New Roman"/>
          <w:sz w:val="18"/>
          <w:szCs w:val="18"/>
        </w:rPr>
      </w:pPr>
      <w:r>
        <w:rPr>
          <w:rStyle w:val="Odkaznapoznmkupodiarou"/>
        </w:rPr>
        <w:footnoteRef/>
      </w:r>
      <w:r>
        <w:t xml:space="preserve"> </w:t>
      </w:r>
      <w:hyperlink r:id="rId27" w:history="1">
        <w:r w:rsidRPr="00912DBC">
          <w:rPr>
            <w:rStyle w:val="Hypertextovprepojenie"/>
            <w:rFonts w:ascii="Times New Roman" w:hAnsi="Times New Roman"/>
            <w:sz w:val="18"/>
            <w:szCs w:val="18"/>
          </w:rPr>
          <w:t>Návrh Smernice Európskeho parlamentu a Rady o vymáhaní majetku a konfiškácií</w:t>
        </w:r>
      </w:hyperlink>
    </w:p>
  </w:footnote>
  <w:footnote w:id="29">
    <w:p w14:paraId="17D0E3A4" w14:textId="57F76C7A" w:rsidR="00912DBC" w:rsidRPr="00912DBC" w:rsidRDefault="00912DBC">
      <w:pPr>
        <w:pStyle w:val="Textpoznmkypodiarou"/>
        <w:rPr>
          <w:rFonts w:ascii="Times New Roman" w:hAnsi="Times New Roman" w:cs="Times New Roman"/>
          <w:sz w:val="18"/>
          <w:szCs w:val="18"/>
        </w:rPr>
      </w:pPr>
      <w:r w:rsidRPr="00912DBC">
        <w:rPr>
          <w:rStyle w:val="Odkaznapoznmkupodiarou"/>
          <w:rFonts w:ascii="Times New Roman" w:hAnsi="Times New Roman"/>
          <w:sz w:val="18"/>
          <w:szCs w:val="18"/>
        </w:rPr>
        <w:footnoteRef/>
      </w:r>
      <w:r w:rsidRPr="00912DBC">
        <w:rPr>
          <w:rFonts w:ascii="Times New Roman" w:hAnsi="Times New Roman" w:cs="Times New Roman"/>
          <w:sz w:val="18"/>
          <w:szCs w:val="18"/>
        </w:rPr>
        <w:t xml:space="preserve"> </w:t>
      </w:r>
      <w:hyperlink r:id="rId28" w:history="1">
        <w:r w:rsidRPr="00912DBC">
          <w:rPr>
            <w:rStyle w:val="Hypertextovprepojenie"/>
            <w:rFonts w:ascii="Times New Roman" w:hAnsi="Times New Roman"/>
            <w:sz w:val="18"/>
            <w:szCs w:val="18"/>
          </w:rPr>
          <w:t>Strategický kompas pre bezpečnosť a obranu – za Európsku úniu, ktorá chráni svojich občanov, hodnoty a záujmy a prispieva k medzinárodnému mieru a bezpečnosti</w:t>
        </w:r>
      </w:hyperlink>
    </w:p>
  </w:footnote>
  <w:footnote w:id="30">
    <w:p w14:paraId="7B272B09" w14:textId="6B0BD2F9" w:rsidR="00912DBC" w:rsidRPr="00912DBC" w:rsidRDefault="00912DBC" w:rsidP="00912DBC">
      <w:pPr>
        <w:pStyle w:val="oj-doc-ti"/>
        <w:shd w:val="clear" w:color="auto" w:fill="FFFFFF"/>
        <w:spacing w:before="240" w:beforeAutospacing="0" w:after="120" w:afterAutospacing="0"/>
        <w:jc w:val="both"/>
        <w:rPr>
          <w:bCs/>
          <w:color w:val="000000"/>
          <w:sz w:val="18"/>
          <w:szCs w:val="18"/>
        </w:rPr>
      </w:pPr>
      <w:r>
        <w:rPr>
          <w:rStyle w:val="Odkaznapoznmkupodiarou"/>
        </w:rPr>
        <w:footnoteRef/>
      </w:r>
      <w:r>
        <w:t xml:space="preserve"> </w:t>
      </w:r>
      <w:hyperlink r:id="rId29" w:history="1">
        <w:r w:rsidRPr="00912DBC">
          <w:rPr>
            <w:rStyle w:val="Hypertextovprepojenie"/>
            <w:bCs/>
            <w:sz w:val="18"/>
            <w:szCs w:val="18"/>
          </w:rPr>
          <w:t>Rozhodnutie Rady (SZBP) 2021/509 z 22. marca 2021, ktorým sa zriaďuje európsky mierový nástroj a zrušuje rozhodnutie (SZBP) 2015/528</w:t>
        </w:r>
      </w:hyperlink>
    </w:p>
    <w:p w14:paraId="15D8796D" w14:textId="04B95F82" w:rsidR="00912DBC" w:rsidRDefault="00912DBC">
      <w:pPr>
        <w:pStyle w:val="Textpoznmkypodiarou"/>
      </w:pPr>
    </w:p>
  </w:footnote>
  <w:footnote w:id="31">
    <w:p w14:paraId="7BE89A84" w14:textId="3B67D939" w:rsidR="00AC2DC9" w:rsidRPr="00AC2DC9" w:rsidRDefault="00AC2DC9" w:rsidP="00AC2DC9">
      <w:pPr>
        <w:pStyle w:val="typedudocumentcp"/>
        <w:shd w:val="clear" w:color="auto" w:fill="FFFFFF"/>
        <w:spacing w:before="0" w:beforeAutospacing="0" w:after="0" w:afterAutospacing="0"/>
        <w:jc w:val="both"/>
        <w:rPr>
          <w:bCs/>
          <w:color w:val="333333"/>
          <w:sz w:val="18"/>
          <w:szCs w:val="18"/>
        </w:rPr>
      </w:pPr>
      <w:r>
        <w:rPr>
          <w:rStyle w:val="Odkaznapoznmkupodiarou"/>
        </w:rPr>
        <w:footnoteRef/>
      </w:r>
      <w:r>
        <w:t xml:space="preserve"> </w:t>
      </w:r>
      <w:hyperlink r:id="rId30" w:history="1">
        <w:r w:rsidRPr="00AC2DC9">
          <w:rPr>
            <w:rStyle w:val="Hypertextovprepojenie"/>
            <w:bCs/>
            <w:sz w:val="18"/>
            <w:szCs w:val="18"/>
          </w:rPr>
          <w:t>Oznámenie Komisie o Novom pakte o migrácii a azyle</w:t>
        </w:r>
      </w:hyperlink>
    </w:p>
    <w:p w14:paraId="478381BC" w14:textId="08B9E5A7" w:rsidR="00AC2DC9" w:rsidRDefault="00AC2DC9">
      <w:pPr>
        <w:pStyle w:val="Textpoznmkypodiarou"/>
      </w:pPr>
    </w:p>
  </w:footnote>
  <w:footnote w:id="32">
    <w:p w14:paraId="2E8C2305" w14:textId="3299D1E5" w:rsidR="00912DBC" w:rsidRPr="00B5189F" w:rsidRDefault="00912DBC" w:rsidP="00B5189F">
      <w:pPr>
        <w:pStyle w:val="statut0"/>
        <w:shd w:val="clear" w:color="auto" w:fill="FFFFFF"/>
        <w:spacing w:before="0" w:beforeAutospacing="0" w:after="0" w:afterAutospacing="0"/>
        <w:jc w:val="both"/>
        <w:textAlignment w:val="baseline"/>
        <w:rPr>
          <w:bCs/>
          <w:color w:val="000000"/>
          <w:sz w:val="18"/>
          <w:szCs w:val="18"/>
        </w:rPr>
      </w:pPr>
      <w:r>
        <w:rPr>
          <w:rStyle w:val="Odkaznapoznmkupodiarou"/>
        </w:rPr>
        <w:footnoteRef/>
      </w:r>
      <w:r>
        <w:t xml:space="preserve"> </w:t>
      </w:r>
      <w:hyperlink r:id="rId31" w:history="1">
        <w:r w:rsidRPr="00A25D23">
          <w:rPr>
            <w:rStyle w:val="Hypertextovprepojenie"/>
            <w:sz w:val="18"/>
            <w:szCs w:val="18"/>
          </w:rPr>
          <w:t>Návrh N</w:t>
        </w:r>
        <w:r w:rsidRPr="00A25D23">
          <w:rPr>
            <w:rStyle w:val="Hypertextovprepojenie"/>
            <w:bCs/>
            <w:sz w:val="18"/>
            <w:szCs w:val="18"/>
          </w:rPr>
          <w:t>ariadenia Európskeho parlamentu a Rady o európskom priestore pre zdravotné údaje</w:t>
        </w:r>
      </w:hyperlink>
    </w:p>
    <w:p w14:paraId="5745E0DE" w14:textId="13098B20" w:rsidR="00912DBC" w:rsidRPr="00B5189F" w:rsidRDefault="00912DBC" w:rsidP="00A25D23">
      <w:pPr>
        <w:pStyle w:val="Textpoznmkypodiarou"/>
        <w:rPr>
          <w:sz w:val="18"/>
          <w:szCs w:val="18"/>
        </w:rPr>
      </w:pPr>
    </w:p>
  </w:footnote>
  <w:footnote w:id="33">
    <w:p w14:paraId="364586D0" w14:textId="2FFC4BB6" w:rsidR="00912DBC" w:rsidRPr="00B5189F" w:rsidRDefault="00912DBC">
      <w:pPr>
        <w:pStyle w:val="Textpoznmkypodiarou"/>
        <w:rPr>
          <w:rFonts w:ascii="Times New Roman" w:hAnsi="Times New Roman" w:cs="Times New Roman"/>
          <w:sz w:val="18"/>
          <w:szCs w:val="18"/>
        </w:rPr>
      </w:pPr>
      <w:r>
        <w:rPr>
          <w:rStyle w:val="Odkaznapoznmkupodiarou"/>
        </w:rPr>
        <w:footnoteRef/>
      </w:r>
      <w:r>
        <w:t xml:space="preserve"> </w:t>
      </w:r>
      <w:hyperlink r:id="rId32" w:history="1">
        <w:r w:rsidRPr="005D0FFD">
          <w:rPr>
            <w:rStyle w:val="Hypertextovprepojenie"/>
            <w:rFonts w:cs="Calibri"/>
          </w:rPr>
          <w:t>N</w:t>
        </w:r>
        <w:r w:rsidRPr="005D0FFD">
          <w:rPr>
            <w:rStyle w:val="Hypertextovprepojenie"/>
            <w:rFonts w:ascii="Times New Roman" w:hAnsi="Times New Roman"/>
            <w:sz w:val="18"/>
            <w:szCs w:val="18"/>
          </w:rPr>
          <w:t>ávrh Nariadenie Európskeho parlamentu a Rady o normách kvality a bezpečnosti pre látky ľudského pôvodu určené na humánne použitie a o zrušení smerníc 2002/98/es a 2004/23/ES</w:t>
        </w:r>
      </w:hyperlink>
    </w:p>
  </w:footnote>
  <w:footnote w:id="34">
    <w:p w14:paraId="56C3EE59" w14:textId="3FB9AC10" w:rsidR="00006427" w:rsidRPr="00006427" w:rsidRDefault="00006427">
      <w:pPr>
        <w:pStyle w:val="Textpoznmkypodiarou"/>
        <w:rPr>
          <w:rFonts w:ascii="Times New Roman" w:hAnsi="Times New Roman" w:cs="Times New Roman"/>
          <w:sz w:val="18"/>
          <w:szCs w:val="18"/>
        </w:rPr>
      </w:pPr>
      <w:r>
        <w:rPr>
          <w:rStyle w:val="Odkaznapoznmkupodiarou"/>
        </w:rPr>
        <w:footnoteRef/>
      </w:r>
      <w:r>
        <w:t xml:space="preserve"> </w:t>
      </w:r>
      <w:hyperlink r:id="rId33" w:history="1">
        <w:r w:rsidRPr="00006427">
          <w:rPr>
            <w:rStyle w:val="Hypertextovprepojenie"/>
            <w:rFonts w:cs="Calibri"/>
          </w:rPr>
          <w:t>O</w:t>
        </w:r>
        <w:r w:rsidRPr="00006427">
          <w:rPr>
            <w:rStyle w:val="Hypertextovprepojenie"/>
            <w:rFonts w:ascii="Times New Roman" w:hAnsi="Times New Roman"/>
            <w:sz w:val="18"/>
            <w:szCs w:val="18"/>
          </w:rPr>
          <w:t>dporúčanie Rady (EU) 2022/2548 z 13. decembra 2022 o koordinovanom prístupe k cestovaniu do únie počas pandémie covid-19, ktorým sa nahrádza odporúčanie rady (EU) 2020/912</w:t>
        </w:r>
      </w:hyperlink>
    </w:p>
  </w:footnote>
  <w:footnote w:id="35">
    <w:p w14:paraId="3FE693DA" w14:textId="773F195D" w:rsidR="00912DBC" w:rsidRPr="00E6523E" w:rsidRDefault="00912DBC">
      <w:pPr>
        <w:pStyle w:val="Textpoznmkypodiarou"/>
        <w:rPr>
          <w:rFonts w:ascii="Times New Roman" w:hAnsi="Times New Roman" w:cs="Times New Roman"/>
          <w:sz w:val="18"/>
          <w:szCs w:val="18"/>
        </w:rPr>
      </w:pPr>
      <w:r>
        <w:rPr>
          <w:rStyle w:val="Odkaznapoznmkupodiarou"/>
        </w:rPr>
        <w:footnoteRef/>
      </w:r>
      <w:r>
        <w:t xml:space="preserve"> </w:t>
      </w:r>
      <w:r w:rsidRPr="00E6523E">
        <w:rPr>
          <w:rFonts w:ascii="Times New Roman" w:hAnsi="Times New Roman" w:cs="Times New Roman"/>
          <w:sz w:val="18"/>
          <w:szCs w:val="18"/>
        </w:rPr>
        <w:t>Návrh nariadenia Európskeho parlamentu a Rady, ktorým sa mení nariadenie Rady (ES) č. 1217/2009, pokiaľ ide o zmenu informačnej siete poľnohospodárskeho účtovníctva na informačnú sieť poľnohospodárskej udržateľnosti</w:t>
      </w:r>
    </w:p>
  </w:footnote>
  <w:footnote w:id="36">
    <w:p w14:paraId="5B4CDCA4" w14:textId="49F370D3" w:rsidR="00AC023E" w:rsidRPr="00AC023E" w:rsidRDefault="00AC023E" w:rsidP="00AC023E">
      <w:pPr>
        <w:pStyle w:val="statut0"/>
        <w:shd w:val="clear" w:color="auto" w:fill="FFFFFF"/>
        <w:spacing w:before="0" w:beforeAutospacing="0" w:after="0" w:afterAutospacing="0"/>
        <w:jc w:val="both"/>
        <w:textAlignment w:val="baseline"/>
        <w:rPr>
          <w:bCs/>
          <w:color w:val="000000"/>
          <w:sz w:val="18"/>
          <w:szCs w:val="18"/>
        </w:rPr>
      </w:pPr>
      <w:r>
        <w:rPr>
          <w:rStyle w:val="Odkaznapoznmkupodiarou"/>
        </w:rPr>
        <w:footnoteRef/>
      </w:r>
      <w:r>
        <w:t xml:space="preserve"> </w:t>
      </w:r>
      <w:hyperlink r:id="rId34" w:history="1">
        <w:r w:rsidRPr="00AC023E">
          <w:rPr>
            <w:rStyle w:val="Hypertextovprepojenie"/>
            <w:sz w:val="18"/>
            <w:szCs w:val="18"/>
          </w:rPr>
          <w:t>Návrh N</w:t>
        </w:r>
        <w:r w:rsidRPr="00AC023E">
          <w:rPr>
            <w:rStyle w:val="Hypertextovprepojenie"/>
            <w:bCs/>
            <w:sz w:val="18"/>
            <w:szCs w:val="18"/>
          </w:rPr>
          <w:t>ariadenia Európskeho parlamentu a Rady, ktorým sa ustanovuje spoločný rámec pre mediálne služby na vnútornom trhu (európsky akt o slobode médií) a mení smernica 2010/13/EU</w:t>
        </w:r>
      </w:hyperlink>
    </w:p>
    <w:p w14:paraId="6A6043EF" w14:textId="4C4C03B3" w:rsidR="00AC023E" w:rsidRDefault="00AC023E">
      <w:pPr>
        <w:pStyle w:val="Textpoznmkypodiarou"/>
      </w:pPr>
    </w:p>
  </w:footnote>
  <w:footnote w:id="37">
    <w:p w14:paraId="08653196" w14:textId="6AA4168D" w:rsidR="00AC023E" w:rsidRPr="00AC023E" w:rsidRDefault="00AC023E">
      <w:pPr>
        <w:pStyle w:val="Textpoznmkypodiarou"/>
        <w:rPr>
          <w:rFonts w:ascii="Times New Roman" w:hAnsi="Times New Roman" w:cs="Times New Roman"/>
          <w:sz w:val="18"/>
          <w:szCs w:val="18"/>
        </w:rPr>
      </w:pPr>
      <w:r>
        <w:rPr>
          <w:rStyle w:val="Odkaznapoznmkupodiarou"/>
        </w:rPr>
        <w:footnoteRef/>
      </w:r>
      <w:r>
        <w:t xml:space="preserve"> </w:t>
      </w:r>
      <w:hyperlink r:id="rId35" w:history="1">
        <w:r w:rsidRPr="00AC023E">
          <w:rPr>
            <w:rStyle w:val="Hypertextovprepojenie"/>
            <w:rFonts w:ascii="Times New Roman" w:hAnsi="Times New Roman"/>
            <w:sz w:val="18"/>
            <w:szCs w:val="18"/>
          </w:rPr>
          <w:t xml:space="preserve">Výročná správa Komisie o stave právneho štátu v EÚ </w:t>
        </w:r>
      </w:hyperlink>
      <w:r w:rsidRPr="00AC023E">
        <w:rPr>
          <w:rFonts w:ascii="Times New Roman" w:hAnsi="Times New Roman" w:cs="Times New Roman"/>
          <w:sz w:val="18"/>
          <w:szCs w:val="18"/>
        </w:rPr>
        <w:t xml:space="preserve"> </w:t>
      </w:r>
    </w:p>
  </w:footnote>
  <w:footnote w:id="38">
    <w:p w14:paraId="326505AD" w14:textId="5D1AE458" w:rsidR="00255782" w:rsidRPr="00255782" w:rsidRDefault="00255782">
      <w:pPr>
        <w:pStyle w:val="Textpoznmkypodiarou"/>
        <w:rPr>
          <w:rFonts w:ascii="Times New Roman" w:hAnsi="Times New Roman" w:cs="Times New Roman"/>
          <w:sz w:val="18"/>
          <w:szCs w:val="18"/>
        </w:rPr>
      </w:pPr>
      <w:r>
        <w:rPr>
          <w:rStyle w:val="Odkaznapoznmkupodiarou"/>
        </w:rPr>
        <w:footnoteRef/>
      </w:r>
      <w:r>
        <w:t xml:space="preserve"> </w:t>
      </w:r>
      <w:hyperlink r:id="rId36" w:history="1">
        <w:r w:rsidRPr="00255782">
          <w:rPr>
            <w:rStyle w:val="Hypertextovprepojenie"/>
            <w:rFonts w:ascii="Times New Roman" w:hAnsi="Times New Roman"/>
            <w:bCs/>
            <w:sz w:val="18"/>
            <w:szCs w:val="18"/>
            <w:shd w:val="clear" w:color="auto" w:fill="FFFFFF"/>
          </w:rPr>
          <w:t xml:space="preserve">Nariadenie Európskeho parlamentu a Rady (EÚ, </w:t>
        </w:r>
        <w:proofErr w:type="spellStart"/>
        <w:r w:rsidRPr="00255782">
          <w:rPr>
            <w:rStyle w:val="Hypertextovprepojenie"/>
            <w:rFonts w:ascii="Times New Roman" w:hAnsi="Times New Roman"/>
            <w:bCs/>
            <w:sz w:val="18"/>
            <w:szCs w:val="18"/>
            <w:shd w:val="clear" w:color="auto" w:fill="FFFFFF"/>
          </w:rPr>
          <w:t>Euratom</w:t>
        </w:r>
        <w:proofErr w:type="spellEnd"/>
        <w:r w:rsidRPr="00255782">
          <w:rPr>
            <w:rStyle w:val="Hypertextovprepojenie"/>
            <w:rFonts w:ascii="Times New Roman" w:hAnsi="Times New Roman"/>
            <w:bCs/>
            <w:sz w:val="18"/>
            <w:szCs w:val="18"/>
            <w:shd w:val="clear" w:color="auto" w:fill="FFFFFF"/>
          </w:rPr>
          <w:t>) 2020/2092 zo 16. decembra 2020 o všeobecnom režime podmienenosti na ochranu rozpočtu Únie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DD629CB8"/>
    <w:name w:val="Points"/>
    <w:lvl w:ilvl="0">
      <w:start w:val="1"/>
      <w:numFmt w:val="decimal"/>
      <w:pStyle w:val="Point123"/>
      <w:lvlText w:val="%1."/>
      <w:lvlJc w:val="left"/>
      <w:pPr>
        <w:tabs>
          <w:tab w:val="num" w:pos="567"/>
        </w:tabs>
        <w:ind w:left="567" w:hanging="567"/>
      </w:pPr>
      <w:rPr>
        <w:rFonts w:cs="Times New Roman" w:hint="default"/>
      </w:rPr>
    </w:lvl>
    <w:lvl w:ilvl="1">
      <w:start w:val="1"/>
      <w:numFmt w:val="lowerLetter"/>
      <w:pStyle w:val="Pointabc"/>
      <w:lvlText w:val="%2)"/>
      <w:lvlJc w:val="left"/>
      <w:pPr>
        <w:tabs>
          <w:tab w:val="num" w:pos="567"/>
        </w:tabs>
        <w:ind w:left="567" w:hanging="567"/>
      </w:pPr>
      <w:rPr>
        <w:rFonts w:cs="Times New Roman" w:hint="default"/>
      </w:rPr>
    </w:lvl>
    <w:lvl w:ilvl="2">
      <w:start w:val="1"/>
      <w:numFmt w:val="decimal"/>
      <w:pStyle w:val="Point1231"/>
      <w:lvlText w:val="%3."/>
      <w:lvlJc w:val="left"/>
      <w:pPr>
        <w:tabs>
          <w:tab w:val="num" w:pos="1134"/>
        </w:tabs>
        <w:ind w:left="1134" w:hanging="567"/>
      </w:pPr>
      <w:rPr>
        <w:rFonts w:cs="Times New Roman" w:hint="default"/>
      </w:rPr>
    </w:lvl>
    <w:lvl w:ilvl="3">
      <w:start w:val="1"/>
      <w:numFmt w:val="lowerLetter"/>
      <w:pStyle w:val="Pointabc1"/>
      <w:lvlText w:val="%4)"/>
      <w:lvlJc w:val="left"/>
      <w:pPr>
        <w:tabs>
          <w:tab w:val="num" w:pos="1134"/>
        </w:tabs>
        <w:ind w:left="1134" w:hanging="567"/>
      </w:pPr>
      <w:rPr>
        <w:rFonts w:cs="Times New Roman" w:hint="default"/>
      </w:rPr>
    </w:lvl>
    <w:lvl w:ilvl="4">
      <w:start w:val="1"/>
      <w:numFmt w:val="decimal"/>
      <w:pStyle w:val="Point1232"/>
      <w:lvlText w:val="%5."/>
      <w:lvlJc w:val="left"/>
      <w:pPr>
        <w:tabs>
          <w:tab w:val="num" w:pos="1701"/>
        </w:tabs>
        <w:ind w:left="1701" w:hanging="567"/>
      </w:pPr>
      <w:rPr>
        <w:rFonts w:cs="Times New Roman" w:hint="default"/>
      </w:rPr>
    </w:lvl>
    <w:lvl w:ilvl="5">
      <w:start w:val="1"/>
      <w:numFmt w:val="lowerLetter"/>
      <w:pStyle w:val="Pointabc2"/>
      <w:lvlText w:val="%6)"/>
      <w:lvlJc w:val="left"/>
      <w:pPr>
        <w:tabs>
          <w:tab w:val="num" w:pos="1701"/>
        </w:tabs>
        <w:ind w:left="1701" w:hanging="567"/>
      </w:pPr>
      <w:rPr>
        <w:rFonts w:cs="Times New Roman" w:hint="default"/>
      </w:rPr>
    </w:lvl>
    <w:lvl w:ilvl="6">
      <w:start w:val="1"/>
      <w:numFmt w:val="decimal"/>
      <w:pStyle w:val="Point1233"/>
      <w:lvlText w:val="%7."/>
      <w:lvlJc w:val="left"/>
      <w:pPr>
        <w:tabs>
          <w:tab w:val="num" w:pos="2268"/>
        </w:tabs>
        <w:ind w:left="2268" w:hanging="567"/>
      </w:pPr>
      <w:rPr>
        <w:rFonts w:cs="Times New Roman" w:hint="default"/>
      </w:rPr>
    </w:lvl>
    <w:lvl w:ilvl="7">
      <w:start w:val="1"/>
      <w:numFmt w:val="lowerLetter"/>
      <w:pStyle w:val="Pointabc3"/>
      <w:lvlText w:val="%8)"/>
      <w:lvlJc w:val="left"/>
      <w:pPr>
        <w:tabs>
          <w:tab w:val="num" w:pos="2268"/>
        </w:tabs>
        <w:ind w:left="2268" w:hanging="567"/>
      </w:pPr>
      <w:rPr>
        <w:rFonts w:cs="Times New Roman" w:hint="default"/>
      </w:rPr>
    </w:lvl>
    <w:lvl w:ilvl="8">
      <w:start w:val="1"/>
      <w:numFmt w:val="lowerLetter"/>
      <w:pStyle w:val="Pointabc4"/>
      <w:lvlText w:val="%9)"/>
      <w:lvlJc w:val="left"/>
      <w:pPr>
        <w:tabs>
          <w:tab w:val="num" w:pos="2835"/>
        </w:tabs>
        <w:ind w:left="2835" w:hanging="567"/>
      </w:pPr>
      <w:rPr>
        <w:rFonts w:cs="Times New Roman" w:hint="default"/>
      </w:rPr>
    </w:lvl>
  </w:abstractNum>
  <w:abstractNum w:abstractNumId="1" w15:restartNumberingAfterBreak="0">
    <w:nsid w:val="059842F3"/>
    <w:multiLevelType w:val="hybridMultilevel"/>
    <w:tmpl w:val="310013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5B06B38"/>
    <w:multiLevelType w:val="hybridMultilevel"/>
    <w:tmpl w:val="0D7CCFF2"/>
    <w:lvl w:ilvl="0" w:tplc="92449F4E">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CE71BC0"/>
    <w:multiLevelType w:val="singleLevel"/>
    <w:tmpl w:val="ACF824C4"/>
    <w:lvl w:ilvl="0">
      <w:start w:val="1"/>
      <w:numFmt w:val="upperLetter"/>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4" w15:restartNumberingAfterBreak="0">
    <w:nsid w:val="0E7E238C"/>
    <w:multiLevelType w:val="hybridMultilevel"/>
    <w:tmpl w:val="7A50CE66"/>
    <w:lvl w:ilvl="0" w:tplc="40623E7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D600FE8"/>
    <w:multiLevelType w:val="hybridMultilevel"/>
    <w:tmpl w:val="D7DA73DA"/>
    <w:lvl w:ilvl="0" w:tplc="BAAC0FF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0CA1C2E"/>
    <w:multiLevelType w:val="hybridMultilevel"/>
    <w:tmpl w:val="E878C4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955F1A"/>
    <w:multiLevelType w:val="hybridMultilevel"/>
    <w:tmpl w:val="6F661D38"/>
    <w:lvl w:ilvl="0" w:tplc="3586E2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4B0E59"/>
    <w:multiLevelType w:val="hybridMultilevel"/>
    <w:tmpl w:val="22CE84DE"/>
    <w:lvl w:ilvl="0" w:tplc="3586E2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DCF1469"/>
    <w:multiLevelType w:val="singleLevel"/>
    <w:tmpl w:val="B6EE6892"/>
    <w:lvl w:ilvl="0">
      <w:start w:val="2"/>
      <w:numFmt w:val="upperLetter"/>
      <w:lvlText w:val="%1. "/>
      <w:lvlJc w:val="left"/>
      <w:pPr>
        <w:ind w:left="283" w:hanging="283"/>
      </w:pPr>
      <w:rPr>
        <w:rFonts w:ascii="Times New Roman" w:hAnsi="Times New Roman" w:cs="Times New Roman" w:hint="default"/>
        <w:b w:val="0"/>
        <w:i w:val="0"/>
        <w:sz w:val="24"/>
        <w:szCs w:val="24"/>
      </w:rPr>
    </w:lvl>
  </w:abstractNum>
  <w:abstractNum w:abstractNumId="10" w15:restartNumberingAfterBreak="0">
    <w:nsid w:val="37696996"/>
    <w:multiLevelType w:val="singleLevel"/>
    <w:tmpl w:val="3C1EC432"/>
    <w:lvl w:ilvl="0">
      <w:start w:val="1"/>
      <w:numFmt w:val="decimal"/>
      <w:lvlText w:val="%1. "/>
      <w:legacy w:legacy="1" w:legacySpace="0" w:legacyIndent="283"/>
      <w:lvlJc w:val="left"/>
      <w:pPr>
        <w:ind w:left="1560" w:hanging="283"/>
      </w:pPr>
      <w:rPr>
        <w:rFonts w:ascii="Times New Roman" w:hAnsi="Times New Roman" w:cs="Times New Roman" w:hint="default"/>
        <w:b w:val="0"/>
        <w:i w:val="0"/>
        <w:sz w:val="24"/>
        <w:szCs w:val="24"/>
      </w:rPr>
    </w:lvl>
  </w:abstractNum>
  <w:abstractNum w:abstractNumId="11" w15:restartNumberingAfterBreak="0">
    <w:nsid w:val="3DE83920"/>
    <w:multiLevelType w:val="hybridMultilevel"/>
    <w:tmpl w:val="68E0F65E"/>
    <w:lvl w:ilvl="0" w:tplc="041B0001">
      <w:start w:val="1"/>
      <w:numFmt w:val="bullet"/>
      <w:lvlText w:val=""/>
      <w:lvlJc w:val="left"/>
      <w:pPr>
        <w:ind w:left="720" w:hanging="360"/>
      </w:pPr>
      <w:rPr>
        <w:rFonts w:ascii="Symbol" w:hAnsi="Symbol" w:hint="default"/>
      </w:rPr>
    </w:lvl>
    <w:lvl w:ilvl="1" w:tplc="3586E296">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45FF1610"/>
    <w:multiLevelType w:val="hybridMultilevel"/>
    <w:tmpl w:val="E63A04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B5E27EF"/>
    <w:multiLevelType w:val="hybridMultilevel"/>
    <w:tmpl w:val="9134F110"/>
    <w:lvl w:ilvl="0" w:tplc="041B0001">
      <w:start w:val="1"/>
      <w:numFmt w:val="bullet"/>
      <w:lvlText w:val=""/>
      <w:lvlJc w:val="left"/>
      <w:pPr>
        <w:ind w:left="720" w:hanging="360"/>
      </w:pPr>
      <w:rPr>
        <w:rFonts w:ascii="Symbol" w:hAnsi="Symbol" w:hint="default"/>
      </w:rPr>
    </w:lvl>
    <w:lvl w:ilvl="1" w:tplc="3586E296">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4C7D2953"/>
    <w:multiLevelType w:val="hybridMultilevel"/>
    <w:tmpl w:val="26D89648"/>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07A253E"/>
    <w:multiLevelType w:val="hybridMultilevel"/>
    <w:tmpl w:val="ED961F8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60F4603"/>
    <w:multiLevelType w:val="hybridMultilevel"/>
    <w:tmpl w:val="5F440E3A"/>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644"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68357FA1"/>
    <w:multiLevelType w:val="hybridMultilevel"/>
    <w:tmpl w:val="46049ED8"/>
    <w:lvl w:ilvl="0" w:tplc="3586E2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4635C97"/>
    <w:multiLevelType w:val="hybridMultilevel"/>
    <w:tmpl w:val="AA5074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6A024D6"/>
    <w:multiLevelType w:val="hybridMultilevel"/>
    <w:tmpl w:val="BD4208AC"/>
    <w:lvl w:ilvl="0" w:tplc="3586E2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1" w15:restartNumberingAfterBreak="0">
    <w:nsid w:val="7EC63A42"/>
    <w:multiLevelType w:val="hybridMultilevel"/>
    <w:tmpl w:val="80861F4A"/>
    <w:lvl w:ilvl="0" w:tplc="3586E2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F1519C6"/>
    <w:multiLevelType w:val="hybridMultilevel"/>
    <w:tmpl w:val="FD2AD1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lvlOverride w:ilvl="0">
      <w:startOverride w:val="1"/>
    </w:lvlOverride>
  </w:num>
  <w:num w:numId="4">
    <w:abstractNumId w:val="9"/>
  </w:num>
  <w:num w:numId="5">
    <w:abstractNumId w:val="20"/>
  </w:num>
  <w:num w:numId="6">
    <w:abstractNumId w:val="22"/>
  </w:num>
  <w:num w:numId="7">
    <w:abstractNumId w:val="1"/>
  </w:num>
  <w:num w:numId="8">
    <w:abstractNumId w:val="18"/>
  </w:num>
  <w:num w:numId="9">
    <w:abstractNumId w:val="15"/>
  </w:num>
  <w:num w:numId="10">
    <w:abstractNumId w:val="7"/>
  </w:num>
  <w:num w:numId="11">
    <w:abstractNumId w:val="17"/>
  </w:num>
  <w:num w:numId="12">
    <w:abstractNumId w:val="11"/>
  </w:num>
  <w:num w:numId="13">
    <w:abstractNumId w:val="13"/>
  </w:num>
  <w:num w:numId="14">
    <w:abstractNumId w:val="16"/>
  </w:num>
  <w:num w:numId="15">
    <w:abstractNumId w:val="14"/>
  </w:num>
  <w:num w:numId="16">
    <w:abstractNumId w:val="21"/>
  </w:num>
  <w:num w:numId="17">
    <w:abstractNumId w:val="5"/>
  </w:num>
  <w:num w:numId="18">
    <w:abstractNumId w:val="19"/>
  </w:num>
  <w:num w:numId="19">
    <w:abstractNumId w:val="4"/>
  </w:num>
  <w:num w:numId="20">
    <w:abstractNumId w:val="12"/>
  </w:num>
  <w:num w:numId="21">
    <w:abstractNumId w:val="8"/>
  </w:num>
  <w:num w:numId="22">
    <w:abstractNumId w:val="2"/>
  </w:num>
  <w:num w:numId="2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E4B"/>
    <w:rsid w:val="00000965"/>
    <w:rsid w:val="00005488"/>
    <w:rsid w:val="000055BC"/>
    <w:rsid w:val="00006427"/>
    <w:rsid w:val="000066A8"/>
    <w:rsid w:val="00010088"/>
    <w:rsid w:val="00011BC7"/>
    <w:rsid w:val="00011ED5"/>
    <w:rsid w:val="00012069"/>
    <w:rsid w:val="00015073"/>
    <w:rsid w:val="000150DA"/>
    <w:rsid w:val="00015383"/>
    <w:rsid w:val="000155F3"/>
    <w:rsid w:val="000157A8"/>
    <w:rsid w:val="00016819"/>
    <w:rsid w:val="00017266"/>
    <w:rsid w:val="000173EF"/>
    <w:rsid w:val="000175BC"/>
    <w:rsid w:val="00020E5C"/>
    <w:rsid w:val="00021B6C"/>
    <w:rsid w:val="00023A0A"/>
    <w:rsid w:val="00023CC1"/>
    <w:rsid w:val="00024239"/>
    <w:rsid w:val="00024F2E"/>
    <w:rsid w:val="000258FE"/>
    <w:rsid w:val="00025C96"/>
    <w:rsid w:val="00030999"/>
    <w:rsid w:val="000315F6"/>
    <w:rsid w:val="00031F63"/>
    <w:rsid w:val="0003378F"/>
    <w:rsid w:val="00034368"/>
    <w:rsid w:val="00040B33"/>
    <w:rsid w:val="000425E0"/>
    <w:rsid w:val="00042A93"/>
    <w:rsid w:val="00042B25"/>
    <w:rsid w:val="00043D8B"/>
    <w:rsid w:val="000440D7"/>
    <w:rsid w:val="000445D3"/>
    <w:rsid w:val="00044C30"/>
    <w:rsid w:val="00046006"/>
    <w:rsid w:val="0004622A"/>
    <w:rsid w:val="00046376"/>
    <w:rsid w:val="000479D6"/>
    <w:rsid w:val="00047A75"/>
    <w:rsid w:val="000501EB"/>
    <w:rsid w:val="000537F0"/>
    <w:rsid w:val="00053E3B"/>
    <w:rsid w:val="00054203"/>
    <w:rsid w:val="00055178"/>
    <w:rsid w:val="00055255"/>
    <w:rsid w:val="0005541A"/>
    <w:rsid w:val="000555E7"/>
    <w:rsid w:val="00061F74"/>
    <w:rsid w:val="000627B1"/>
    <w:rsid w:val="00063145"/>
    <w:rsid w:val="00063597"/>
    <w:rsid w:val="0006405F"/>
    <w:rsid w:val="00064B64"/>
    <w:rsid w:val="00064FDB"/>
    <w:rsid w:val="0006708B"/>
    <w:rsid w:val="0006754F"/>
    <w:rsid w:val="000675BB"/>
    <w:rsid w:val="00070483"/>
    <w:rsid w:val="00071463"/>
    <w:rsid w:val="0007214D"/>
    <w:rsid w:val="00072335"/>
    <w:rsid w:val="00074A20"/>
    <w:rsid w:val="000752DB"/>
    <w:rsid w:val="00077460"/>
    <w:rsid w:val="00077921"/>
    <w:rsid w:val="00080248"/>
    <w:rsid w:val="000804E5"/>
    <w:rsid w:val="0008256D"/>
    <w:rsid w:val="00083A3C"/>
    <w:rsid w:val="0008418C"/>
    <w:rsid w:val="00085047"/>
    <w:rsid w:val="00086D85"/>
    <w:rsid w:val="000870E2"/>
    <w:rsid w:val="000914A3"/>
    <w:rsid w:val="00094598"/>
    <w:rsid w:val="00094635"/>
    <w:rsid w:val="00094CC4"/>
    <w:rsid w:val="000961AA"/>
    <w:rsid w:val="0009649D"/>
    <w:rsid w:val="00096C0C"/>
    <w:rsid w:val="00097227"/>
    <w:rsid w:val="00097721"/>
    <w:rsid w:val="000A0029"/>
    <w:rsid w:val="000A046B"/>
    <w:rsid w:val="000A0669"/>
    <w:rsid w:val="000A1139"/>
    <w:rsid w:val="000A124A"/>
    <w:rsid w:val="000A13B2"/>
    <w:rsid w:val="000A22C0"/>
    <w:rsid w:val="000A3081"/>
    <w:rsid w:val="000A31EC"/>
    <w:rsid w:val="000A34FD"/>
    <w:rsid w:val="000A3887"/>
    <w:rsid w:val="000A43FD"/>
    <w:rsid w:val="000A6DCF"/>
    <w:rsid w:val="000A704A"/>
    <w:rsid w:val="000A73E4"/>
    <w:rsid w:val="000A7D51"/>
    <w:rsid w:val="000B2C8C"/>
    <w:rsid w:val="000B4003"/>
    <w:rsid w:val="000B4331"/>
    <w:rsid w:val="000B4462"/>
    <w:rsid w:val="000B4568"/>
    <w:rsid w:val="000B4F2A"/>
    <w:rsid w:val="000B50B8"/>
    <w:rsid w:val="000B590B"/>
    <w:rsid w:val="000B6758"/>
    <w:rsid w:val="000C2BD4"/>
    <w:rsid w:val="000C371D"/>
    <w:rsid w:val="000C4B2A"/>
    <w:rsid w:val="000C656B"/>
    <w:rsid w:val="000C67D7"/>
    <w:rsid w:val="000C77DD"/>
    <w:rsid w:val="000D1F2D"/>
    <w:rsid w:val="000D273B"/>
    <w:rsid w:val="000D5ADA"/>
    <w:rsid w:val="000D7A06"/>
    <w:rsid w:val="000E080B"/>
    <w:rsid w:val="000E1125"/>
    <w:rsid w:val="000E11B1"/>
    <w:rsid w:val="000E2378"/>
    <w:rsid w:val="000E2E5D"/>
    <w:rsid w:val="000E3D54"/>
    <w:rsid w:val="000E3DC0"/>
    <w:rsid w:val="000E3E15"/>
    <w:rsid w:val="000E4079"/>
    <w:rsid w:val="000E44FB"/>
    <w:rsid w:val="000E4C0D"/>
    <w:rsid w:val="000E4FBF"/>
    <w:rsid w:val="000E5178"/>
    <w:rsid w:val="000E55E0"/>
    <w:rsid w:val="000E6CA2"/>
    <w:rsid w:val="000F1422"/>
    <w:rsid w:val="000F1E5F"/>
    <w:rsid w:val="000F1F54"/>
    <w:rsid w:val="000F2515"/>
    <w:rsid w:val="000F3D8A"/>
    <w:rsid w:val="000F4670"/>
    <w:rsid w:val="000F473B"/>
    <w:rsid w:val="000F47B7"/>
    <w:rsid w:val="000F492B"/>
    <w:rsid w:val="000F4C23"/>
    <w:rsid w:val="000F5CEF"/>
    <w:rsid w:val="000F62EF"/>
    <w:rsid w:val="000F6D26"/>
    <w:rsid w:val="000F7199"/>
    <w:rsid w:val="00100271"/>
    <w:rsid w:val="00100559"/>
    <w:rsid w:val="00101392"/>
    <w:rsid w:val="00101B07"/>
    <w:rsid w:val="0010322F"/>
    <w:rsid w:val="00103608"/>
    <w:rsid w:val="00103DF8"/>
    <w:rsid w:val="00104943"/>
    <w:rsid w:val="0010560A"/>
    <w:rsid w:val="001057F0"/>
    <w:rsid w:val="00105849"/>
    <w:rsid w:val="00106729"/>
    <w:rsid w:val="00107632"/>
    <w:rsid w:val="0010780A"/>
    <w:rsid w:val="001110DE"/>
    <w:rsid w:val="00111BF6"/>
    <w:rsid w:val="001129C1"/>
    <w:rsid w:val="00112A42"/>
    <w:rsid w:val="00112E83"/>
    <w:rsid w:val="00114329"/>
    <w:rsid w:val="00114C47"/>
    <w:rsid w:val="0011506E"/>
    <w:rsid w:val="00115513"/>
    <w:rsid w:val="001158A9"/>
    <w:rsid w:val="00116981"/>
    <w:rsid w:val="00117084"/>
    <w:rsid w:val="00117FC4"/>
    <w:rsid w:val="0012111E"/>
    <w:rsid w:val="00121CA1"/>
    <w:rsid w:val="00122325"/>
    <w:rsid w:val="001227C0"/>
    <w:rsid w:val="00122FEB"/>
    <w:rsid w:val="0012335D"/>
    <w:rsid w:val="00123B2F"/>
    <w:rsid w:val="001244EF"/>
    <w:rsid w:val="0012520D"/>
    <w:rsid w:val="00125CF1"/>
    <w:rsid w:val="00126A26"/>
    <w:rsid w:val="00126AAA"/>
    <w:rsid w:val="0013020F"/>
    <w:rsid w:val="0013029E"/>
    <w:rsid w:val="00130A1E"/>
    <w:rsid w:val="001310B3"/>
    <w:rsid w:val="00132663"/>
    <w:rsid w:val="00132D82"/>
    <w:rsid w:val="00133937"/>
    <w:rsid w:val="00135777"/>
    <w:rsid w:val="00143AFC"/>
    <w:rsid w:val="00143C76"/>
    <w:rsid w:val="00144234"/>
    <w:rsid w:val="0014440A"/>
    <w:rsid w:val="0014566F"/>
    <w:rsid w:val="001456FE"/>
    <w:rsid w:val="00146393"/>
    <w:rsid w:val="0014735C"/>
    <w:rsid w:val="00147901"/>
    <w:rsid w:val="00147C10"/>
    <w:rsid w:val="001505BC"/>
    <w:rsid w:val="00150E00"/>
    <w:rsid w:val="00150E05"/>
    <w:rsid w:val="00150E74"/>
    <w:rsid w:val="0015382C"/>
    <w:rsid w:val="00153DAB"/>
    <w:rsid w:val="00154F55"/>
    <w:rsid w:val="00155492"/>
    <w:rsid w:val="00157DB0"/>
    <w:rsid w:val="00160895"/>
    <w:rsid w:val="00161D69"/>
    <w:rsid w:val="00162A17"/>
    <w:rsid w:val="00162EE8"/>
    <w:rsid w:val="001656D9"/>
    <w:rsid w:val="00166235"/>
    <w:rsid w:val="00166297"/>
    <w:rsid w:val="001664F5"/>
    <w:rsid w:val="00166946"/>
    <w:rsid w:val="001677AC"/>
    <w:rsid w:val="001700BA"/>
    <w:rsid w:val="00172DE8"/>
    <w:rsid w:val="001734FE"/>
    <w:rsid w:val="001738A3"/>
    <w:rsid w:val="0017629D"/>
    <w:rsid w:val="001762A2"/>
    <w:rsid w:val="0017668F"/>
    <w:rsid w:val="001772DE"/>
    <w:rsid w:val="00180FAF"/>
    <w:rsid w:val="0018196B"/>
    <w:rsid w:val="00182276"/>
    <w:rsid w:val="001836EE"/>
    <w:rsid w:val="001837E7"/>
    <w:rsid w:val="00184AB4"/>
    <w:rsid w:val="001862F3"/>
    <w:rsid w:val="00186878"/>
    <w:rsid w:val="00186B1E"/>
    <w:rsid w:val="00187B82"/>
    <w:rsid w:val="001906FE"/>
    <w:rsid w:val="00190B38"/>
    <w:rsid w:val="0019101E"/>
    <w:rsid w:val="0019302E"/>
    <w:rsid w:val="00193D78"/>
    <w:rsid w:val="00193F49"/>
    <w:rsid w:val="001955E1"/>
    <w:rsid w:val="00195C5B"/>
    <w:rsid w:val="001975B1"/>
    <w:rsid w:val="00197699"/>
    <w:rsid w:val="0019793E"/>
    <w:rsid w:val="00197A5C"/>
    <w:rsid w:val="001A0ECC"/>
    <w:rsid w:val="001A1981"/>
    <w:rsid w:val="001A1C06"/>
    <w:rsid w:val="001A22A1"/>
    <w:rsid w:val="001A270F"/>
    <w:rsid w:val="001A2CB6"/>
    <w:rsid w:val="001A3068"/>
    <w:rsid w:val="001A3D93"/>
    <w:rsid w:val="001A4016"/>
    <w:rsid w:val="001A4682"/>
    <w:rsid w:val="001A47AC"/>
    <w:rsid w:val="001A4DA0"/>
    <w:rsid w:val="001A5178"/>
    <w:rsid w:val="001A55A3"/>
    <w:rsid w:val="001A572B"/>
    <w:rsid w:val="001A57AE"/>
    <w:rsid w:val="001A57F9"/>
    <w:rsid w:val="001A7168"/>
    <w:rsid w:val="001A754C"/>
    <w:rsid w:val="001A7571"/>
    <w:rsid w:val="001A76ED"/>
    <w:rsid w:val="001A7AD5"/>
    <w:rsid w:val="001A7C91"/>
    <w:rsid w:val="001A7DA9"/>
    <w:rsid w:val="001B1F70"/>
    <w:rsid w:val="001B23F7"/>
    <w:rsid w:val="001B28D4"/>
    <w:rsid w:val="001B2B14"/>
    <w:rsid w:val="001B2B4D"/>
    <w:rsid w:val="001B2B9C"/>
    <w:rsid w:val="001B3A4D"/>
    <w:rsid w:val="001B5053"/>
    <w:rsid w:val="001B5DB4"/>
    <w:rsid w:val="001B7275"/>
    <w:rsid w:val="001C00CD"/>
    <w:rsid w:val="001C06D3"/>
    <w:rsid w:val="001C0FA9"/>
    <w:rsid w:val="001C1155"/>
    <w:rsid w:val="001C1445"/>
    <w:rsid w:val="001C325C"/>
    <w:rsid w:val="001C3297"/>
    <w:rsid w:val="001C3DC9"/>
    <w:rsid w:val="001C3F50"/>
    <w:rsid w:val="001C67D4"/>
    <w:rsid w:val="001C7D71"/>
    <w:rsid w:val="001D04F6"/>
    <w:rsid w:val="001D0AF1"/>
    <w:rsid w:val="001D11A5"/>
    <w:rsid w:val="001D23BA"/>
    <w:rsid w:val="001D4C8C"/>
    <w:rsid w:val="001D620D"/>
    <w:rsid w:val="001D68A1"/>
    <w:rsid w:val="001E1892"/>
    <w:rsid w:val="001E19A5"/>
    <w:rsid w:val="001E1AD0"/>
    <w:rsid w:val="001E24EB"/>
    <w:rsid w:val="001E272A"/>
    <w:rsid w:val="001E2763"/>
    <w:rsid w:val="001E4490"/>
    <w:rsid w:val="001E44CF"/>
    <w:rsid w:val="001E47D9"/>
    <w:rsid w:val="001E5328"/>
    <w:rsid w:val="001E62C9"/>
    <w:rsid w:val="001E6585"/>
    <w:rsid w:val="001E7E1A"/>
    <w:rsid w:val="001F05A8"/>
    <w:rsid w:val="001F11B1"/>
    <w:rsid w:val="001F19AB"/>
    <w:rsid w:val="001F1E7C"/>
    <w:rsid w:val="001F53EE"/>
    <w:rsid w:val="001F5655"/>
    <w:rsid w:val="001F637F"/>
    <w:rsid w:val="001F7ED9"/>
    <w:rsid w:val="00200DAB"/>
    <w:rsid w:val="002013A2"/>
    <w:rsid w:val="002018FF"/>
    <w:rsid w:val="00201FCC"/>
    <w:rsid w:val="0020301E"/>
    <w:rsid w:val="00204DAA"/>
    <w:rsid w:val="0020655B"/>
    <w:rsid w:val="002072F8"/>
    <w:rsid w:val="002108C7"/>
    <w:rsid w:val="00210CB9"/>
    <w:rsid w:val="00210F4B"/>
    <w:rsid w:val="0021280C"/>
    <w:rsid w:val="002132C3"/>
    <w:rsid w:val="002146E8"/>
    <w:rsid w:val="00214DD2"/>
    <w:rsid w:val="00217ED4"/>
    <w:rsid w:val="00220483"/>
    <w:rsid w:val="00221361"/>
    <w:rsid w:val="00221D43"/>
    <w:rsid w:val="0022206E"/>
    <w:rsid w:val="00222307"/>
    <w:rsid w:val="0022434E"/>
    <w:rsid w:val="00225CB8"/>
    <w:rsid w:val="00227408"/>
    <w:rsid w:val="002315B8"/>
    <w:rsid w:val="00231877"/>
    <w:rsid w:val="002349F3"/>
    <w:rsid w:val="00235B13"/>
    <w:rsid w:val="002364F1"/>
    <w:rsid w:val="00236B0C"/>
    <w:rsid w:val="00236FB2"/>
    <w:rsid w:val="00237F0D"/>
    <w:rsid w:val="00240913"/>
    <w:rsid w:val="00240EA2"/>
    <w:rsid w:val="00241E7F"/>
    <w:rsid w:val="00242954"/>
    <w:rsid w:val="0024353F"/>
    <w:rsid w:val="00243E5E"/>
    <w:rsid w:val="00245737"/>
    <w:rsid w:val="0024610F"/>
    <w:rsid w:val="00246364"/>
    <w:rsid w:val="00250A22"/>
    <w:rsid w:val="00250C73"/>
    <w:rsid w:val="00250D8A"/>
    <w:rsid w:val="00251902"/>
    <w:rsid w:val="002523B3"/>
    <w:rsid w:val="00252494"/>
    <w:rsid w:val="002528BD"/>
    <w:rsid w:val="00252D2B"/>
    <w:rsid w:val="00252DE6"/>
    <w:rsid w:val="00254292"/>
    <w:rsid w:val="0025471E"/>
    <w:rsid w:val="00255782"/>
    <w:rsid w:val="00256E62"/>
    <w:rsid w:val="002575BE"/>
    <w:rsid w:val="00257892"/>
    <w:rsid w:val="00257E10"/>
    <w:rsid w:val="0026011C"/>
    <w:rsid w:val="002607E9"/>
    <w:rsid w:val="00262A4E"/>
    <w:rsid w:val="00262D9A"/>
    <w:rsid w:val="002640B8"/>
    <w:rsid w:val="00265A4A"/>
    <w:rsid w:val="00267085"/>
    <w:rsid w:val="00270037"/>
    <w:rsid w:val="00270118"/>
    <w:rsid w:val="00270818"/>
    <w:rsid w:val="00270976"/>
    <w:rsid w:val="00270C42"/>
    <w:rsid w:val="00272DF4"/>
    <w:rsid w:val="00272FB3"/>
    <w:rsid w:val="002742C4"/>
    <w:rsid w:val="00274EF0"/>
    <w:rsid w:val="002767A3"/>
    <w:rsid w:val="00277AF3"/>
    <w:rsid w:val="00280F81"/>
    <w:rsid w:val="0028183B"/>
    <w:rsid w:val="00282EE4"/>
    <w:rsid w:val="002831E0"/>
    <w:rsid w:val="002844CF"/>
    <w:rsid w:val="00285C0F"/>
    <w:rsid w:val="00286353"/>
    <w:rsid w:val="00287059"/>
    <w:rsid w:val="00287B11"/>
    <w:rsid w:val="00291000"/>
    <w:rsid w:val="0029102D"/>
    <w:rsid w:val="00291238"/>
    <w:rsid w:val="00291943"/>
    <w:rsid w:val="00293A91"/>
    <w:rsid w:val="00295ABE"/>
    <w:rsid w:val="00296CC7"/>
    <w:rsid w:val="002976DA"/>
    <w:rsid w:val="00297866"/>
    <w:rsid w:val="00297A74"/>
    <w:rsid w:val="002A055F"/>
    <w:rsid w:val="002A1384"/>
    <w:rsid w:val="002A17EC"/>
    <w:rsid w:val="002A1CCF"/>
    <w:rsid w:val="002A2BD9"/>
    <w:rsid w:val="002A3598"/>
    <w:rsid w:val="002A491D"/>
    <w:rsid w:val="002A58D2"/>
    <w:rsid w:val="002A7722"/>
    <w:rsid w:val="002B2744"/>
    <w:rsid w:val="002B2E5C"/>
    <w:rsid w:val="002B6056"/>
    <w:rsid w:val="002B6794"/>
    <w:rsid w:val="002B726C"/>
    <w:rsid w:val="002B74DA"/>
    <w:rsid w:val="002B7CB7"/>
    <w:rsid w:val="002B7DFC"/>
    <w:rsid w:val="002C05DB"/>
    <w:rsid w:val="002C0624"/>
    <w:rsid w:val="002C25E0"/>
    <w:rsid w:val="002C29B9"/>
    <w:rsid w:val="002C2C0B"/>
    <w:rsid w:val="002C2FC0"/>
    <w:rsid w:val="002C4B04"/>
    <w:rsid w:val="002C5B34"/>
    <w:rsid w:val="002C6986"/>
    <w:rsid w:val="002C71B2"/>
    <w:rsid w:val="002C78EC"/>
    <w:rsid w:val="002C7B06"/>
    <w:rsid w:val="002C7D17"/>
    <w:rsid w:val="002C7ED6"/>
    <w:rsid w:val="002D006A"/>
    <w:rsid w:val="002D07AB"/>
    <w:rsid w:val="002D176E"/>
    <w:rsid w:val="002D1783"/>
    <w:rsid w:val="002D1D64"/>
    <w:rsid w:val="002D2F5A"/>
    <w:rsid w:val="002D4C05"/>
    <w:rsid w:val="002D6ABA"/>
    <w:rsid w:val="002D73AE"/>
    <w:rsid w:val="002D7A69"/>
    <w:rsid w:val="002E04D3"/>
    <w:rsid w:val="002E1333"/>
    <w:rsid w:val="002E2C53"/>
    <w:rsid w:val="002E38E0"/>
    <w:rsid w:val="002E49BA"/>
    <w:rsid w:val="002E5A9D"/>
    <w:rsid w:val="002E6033"/>
    <w:rsid w:val="002E6206"/>
    <w:rsid w:val="002E6AB8"/>
    <w:rsid w:val="002E6E59"/>
    <w:rsid w:val="002F0F86"/>
    <w:rsid w:val="002F1A62"/>
    <w:rsid w:val="002F230B"/>
    <w:rsid w:val="002F2A04"/>
    <w:rsid w:val="002F4173"/>
    <w:rsid w:val="002F6B3E"/>
    <w:rsid w:val="002F7216"/>
    <w:rsid w:val="003001C8"/>
    <w:rsid w:val="00300B00"/>
    <w:rsid w:val="0030155B"/>
    <w:rsid w:val="00302696"/>
    <w:rsid w:val="0030279E"/>
    <w:rsid w:val="0030330A"/>
    <w:rsid w:val="00306A23"/>
    <w:rsid w:val="00307E4D"/>
    <w:rsid w:val="00310557"/>
    <w:rsid w:val="00310929"/>
    <w:rsid w:val="00314F10"/>
    <w:rsid w:val="003169FA"/>
    <w:rsid w:val="003206C3"/>
    <w:rsid w:val="003213ED"/>
    <w:rsid w:val="00326297"/>
    <w:rsid w:val="00327AE2"/>
    <w:rsid w:val="00327B2C"/>
    <w:rsid w:val="003314CE"/>
    <w:rsid w:val="00332156"/>
    <w:rsid w:val="00333D5E"/>
    <w:rsid w:val="003353A7"/>
    <w:rsid w:val="00336376"/>
    <w:rsid w:val="003370F8"/>
    <w:rsid w:val="00341B61"/>
    <w:rsid w:val="003429CB"/>
    <w:rsid w:val="00342E82"/>
    <w:rsid w:val="00343CCF"/>
    <w:rsid w:val="003440A8"/>
    <w:rsid w:val="0034454B"/>
    <w:rsid w:val="003449D3"/>
    <w:rsid w:val="00344B62"/>
    <w:rsid w:val="0034527C"/>
    <w:rsid w:val="00346067"/>
    <w:rsid w:val="00346D29"/>
    <w:rsid w:val="00346D58"/>
    <w:rsid w:val="00347B3C"/>
    <w:rsid w:val="00350734"/>
    <w:rsid w:val="003508F0"/>
    <w:rsid w:val="00351334"/>
    <w:rsid w:val="00351765"/>
    <w:rsid w:val="003517A8"/>
    <w:rsid w:val="00352651"/>
    <w:rsid w:val="00353893"/>
    <w:rsid w:val="003543D2"/>
    <w:rsid w:val="00354ED5"/>
    <w:rsid w:val="003566D1"/>
    <w:rsid w:val="00357173"/>
    <w:rsid w:val="00357A19"/>
    <w:rsid w:val="00360C13"/>
    <w:rsid w:val="00363736"/>
    <w:rsid w:val="003645B9"/>
    <w:rsid w:val="0036590B"/>
    <w:rsid w:val="00365F31"/>
    <w:rsid w:val="00366B36"/>
    <w:rsid w:val="00367EA0"/>
    <w:rsid w:val="003702B5"/>
    <w:rsid w:val="00370C53"/>
    <w:rsid w:val="00370DAB"/>
    <w:rsid w:val="0037100B"/>
    <w:rsid w:val="003711F6"/>
    <w:rsid w:val="00371AA8"/>
    <w:rsid w:val="00371B86"/>
    <w:rsid w:val="00371F4E"/>
    <w:rsid w:val="00372239"/>
    <w:rsid w:val="003725B6"/>
    <w:rsid w:val="0037281F"/>
    <w:rsid w:val="003748CF"/>
    <w:rsid w:val="00375B12"/>
    <w:rsid w:val="00377FBC"/>
    <w:rsid w:val="0038091C"/>
    <w:rsid w:val="00381214"/>
    <w:rsid w:val="003826CE"/>
    <w:rsid w:val="00382716"/>
    <w:rsid w:val="003847E2"/>
    <w:rsid w:val="00384897"/>
    <w:rsid w:val="003851F2"/>
    <w:rsid w:val="00385652"/>
    <w:rsid w:val="00386646"/>
    <w:rsid w:val="003876B0"/>
    <w:rsid w:val="00392879"/>
    <w:rsid w:val="003968B1"/>
    <w:rsid w:val="00397384"/>
    <w:rsid w:val="00397540"/>
    <w:rsid w:val="003975A2"/>
    <w:rsid w:val="00397606"/>
    <w:rsid w:val="003A0395"/>
    <w:rsid w:val="003A17E2"/>
    <w:rsid w:val="003A4083"/>
    <w:rsid w:val="003A425F"/>
    <w:rsid w:val="003A4292"/>
    <w:rsid w:val="003A5CDA"/>
    <w:rsid w:val="003A673A"/>
    <w:rsid w:val="003A7794"/>
    <w:rsid w:val="003B0629"/>
    <w:rsid w:val="003B0906"/>
    <w:rsid w:val="003B0DC6"/>
    <w:rsid w:val="003B210F"/>
    <w:rsid w:val="003B2974"/>
    <w:rsid w:val="003B2F37"/>
    <w:rsid w:val="003B3044"/>
    <w:rsid w:val="003B3563"/>
    <w:rsid w:val="003B390D"/>
    <w:rsid w:val="003B44AA"/>
    <w:rsid w:val="003B7888"/>
    <w:rsid w:val="003B7D3A"/>
    <w:rsid w:val="003C41B5"/>
    <w:rsid w:val="003C480E"/>
    <w:rsid w:val="003C5A59"/>
    <w:rsid w:val="003C6C9E"/>
    <w:rsid w:val="003C70E4"/>
    <w:rsid w:val="003C7A9F"/>
    <w:rsid w:val="003D10F9"/>
    <w:rsid w:val="003D2930"/>
    <w:rsid w:val="003D33A5"/>
    <w:rsid w:val="003D3594"/>
    <w:rsid w:val="003D5787"/>
    <w:rsid w:val="003D7870"/>
    <w:rsid w:val="003E09A7"/>
    <w:rsid w:val="003E111F"/>
    <w:rsid w:val="003E12FE"/>
    <w:rsid w:val="003E22F3"/>
    <w:rsid w:val="003E542B"/>
    <w:rsid w:val="003E55E8"/>
    <w:rsid w:val="003E6DDA"/>
    <w:rsid w:val="003F1141"/>
    <w:rsid w:val="003F1BA1"/>
    <w:rsid w:val="003F1BA8"/>
    <w:rsid w:val="003F32D8"/>
    <w:rsid w:val="003F3514"/>
    <w:rsid w:val="003F588F"/>
    <w:rsid w:val="003F59BB"/>
    <w:rsid w:val="003F6601"/>
    <w:rsid w:val="003F6C62"/>
    <w:rsid w:val="003F720C"/>
    <w:rsid w:val="004000BB"/>
    <w:rsid w:val="0040065B"/>
    <w:rsid w:val="004010FD"/>
    <w:rsid w:val="00401B28"/>
    <w:rsid w:val="0040254F"/>
    <w:rsid w:val="00402840"/>
    <w:rsid w:val="0040624D"/>
    <w:rsid w:val="004064D5"/>
    <w:rsid w:val="004072CB"/>
    <w:rsid w:val="00407A1A"/>
    <w:rsid w:val="00410E0D"/>
    <w:rsid w:val="0041413B"/>
    <w:rsid w:val="00414EBE"/>
    <w:rsid w:val="004163EA"/>
    <w:rsid w:val="0041643C"/>
    <w:rsid w:val="00416551"/>
    <w:rsid w:val="0041778D"/>
    <w:rsid w:val="00420F28"/>
    <w:rsid w:val="00422C09"/>
    <w:rsid w:val="00422E19"/>
    <w:rsid w:val="0042496C"/>
    <w:rsid w:val="00425141"/>
    <w:rsid w:val="00425937"/>
    <w:rsid w:val="004266F5"/>
    <w:rsid w:val="00430FC5"/>
    <w:rsid w:val="0043152E"/>
    <w:rsid w:val="00434749"/>
    <w:rsid w:val="00435C27"/>
    <w:rsid w:val="00437A12"/>
    <w:rsid w:val="00440DB8"/>
    <w:rsid w:val="0044109D"/>
    <w:rsid w:val="00441916"/>
    <w:rsid w:val="004434BE"/>
    <w:rsid w:val="00443F43"/>
    <w:rsid w:val="0044462D"/>
    <w:rsid w:val="00444866"/>
    <w:rsid w:val="0044496F"/>
    <w:rsid w:val="00444DEF"/>
    <w:rsid w:val="00446128"/>
    <w:rsid w:val="004461B0"/>
    <w:rsid w:val="0044664A"/>
    <w:rsid w:val="00447416"/>
    <w:rsid w:val="00450012"/>
    <w:rsid w:val="004518E1"/>
    <w:rsid w:val="0045198F"/>
    <w:rsid w:val="0045255E"/>
    <w:rsid w:val="00452B2C"/>
    <w:rsid w:val="00452CC4"/>
    <w:rsid w:val="00453256"/>
    <w:rsid w:val="0045355A"/>
    <w:rsid w:val="00453FBF"/>
    <w:rsid w:val="00455306"/>
    <w:rsid w:val="004570A1"/>
    <w:rsid w:val="004575D4"/>
    <w:rsid w:val="0045794B"/>
    <w:rsid w:val="004615FC"/>
    <w:rsid w:val="0046250B"/>
    <w:rsid w:val="00462C75"/>
    <w:rsid w:val="00463266"/>
    <w:rsid w:val="00463B07"/>
    <w:rsid w:val="00464140"/>
    <w:rsid w:val="004642A5"/>
    <w:rsid w:val="00464A38"/>
    <w:rsid w:val="00464AED"/>
    <w:rsid w:val="00466408"/>
    <w:rsid w:val="00467C6C"/>
    <w:rsid w:val="004716C8"/>
    <w:rsid w:val="00472098"/>
    <w:rsid w:val="0047302D"/>
    <w:rsid w:val="00473531"/>
    <w:rsid w:val="004736E3"/>
    <w:rsid w:val="004747F5"/>
    <w:rsid w:val="00474E53"/>
    <w:rsid w:val="004751F5"/>
    <w:rsid w:val="004755E7"/>
    <w:rsid w:val="00475E10"/>
    <w:rsid w:val="004763CB"/>
    <w:rsid w:val="0047673C"/>
    <w:rsid w:val="00477FC4"/>
    <w:rsid w:val="00481387"/>
    <w:rsid w:val="00481747"/>
    <w:rsid w:val="00481D6A"/>
    <w:rsid w:val="0048329E"/>
    <w:rsid w:val="004842CF"/>
    <w:rsid w:val="00484851"/>
    <w:rsid w:val="0048546B"/>
    <w:rsid w:val="00486212"/>
    <w:rsid w:val="00490340"/>
    <w:rsid w:val="00490D73"/>
    <w:rsid w:val="00492B1E"/>
    <w:rsid w:val="0049400B"/>
    <w:rsid w:val="00494942"/>
    <w:rsid w:val="004955C8"/>
    <w:rsid w:val="0049588E"/>
    <w:rsid w:val="00495896"/>
    <w:rsid w:val="0049675D"/>
    <w:rsid w:val="00496A6D"/>
    <w:rsid w:val="004A3E3B"/>
    <w:rsid w:val="004A3F02"/>
    <w:rsid w:val="004A4478"/>
    <w:rsid w:val="004A4FB5"/>
    <w:rsid w:val="004A5051"/>
    <w:rsid w:val="004A6D8E"/>
    <w:rsid w:val="004A7C5A"/>
    <w:rsid w:val="004A7CBE"/>
    <w:rsid w:val="004B2468"/>
    <w:rsid w:val="004B28E1"/>
    <w:rsid w:val="004B2BA0"/>
    <w:rsid w:val="004B3B3F"/>
    <w:rsid w:val="004B5DA9"/>
    <w:rsid w:val="004B711E"/>
    <w:rsid w:val="004C04B6"/>
    <w:rsid w:val="004C33E4"/>
    <w:rsid w:val="004C5395"/>
    <w:rsid w:val="004C5F26"/>
    <w:rsid w:val="004C7011"/>
    <w:rsid w:val="004C7BB1"/>
    <w:rsid w:val="004D0AF5"/>
    <w:rsid w:val="004D1DC1"/>
    <w:rsid w:val="004D3007"/>
    <w:rsid w:val="004D3E3D"/>
    <w:rsid w:val="004D5371"/>
    <w:rsid w:val="004D567B"/>
    <w:rsid w:val="004D5B76"/>
    <w:rsid w:val="004D5EB4"/>
    <w:rsid w:val="004D6D3C"/>
    <w:rsid w:val="004D7BC9"/>
    <w:rsid w:val="004E07FA"/>
    <w:rsid w:val="004E0EF2"/>
    <w:rsid w:val="004E2550"/>
    <w:rsid w:val="004E2CBC"/>
    <w:rsid w:val="004E2DC1"/>
    <w:rsid w:val="004E32F4"/>
    <w:rsid w:val="004E3319"/>
    <w:rsid w:val="004E3E95"/>
    <w:rsid w:val="004E5C70"/>
    <w:rsid w:val="004E6615"/>
    <w:rsid w:val="004E7F33"/>
    <w:rsid w:val="004F039F"/>
    <w:rsid w:val="004F0743"/>
    <w:rsid w:val="004F0966"/>
    <w:rsid w:val="004F09B4"/>
    <w:rsid w:val="004F227F"/>
    <w:rsid w:val="004F2352"/>
    <w:rsid w:val="004F26BF"/>
    <w:rsid w:val="004F274B"/>
    <w:rsid w:val="004F2C63"/>
    <w:rsid w:val="004F2F38"/>
    <w:rsid w:val="004F3B07"/>
    <w:rsid w:val="004F3B32"/>
    <w:rsid w:val="004F4E1F"/>
    <w:rsid w:val="004F4E5E"/>
    <w:rsid w:val="004F54F0"/>
    <w:rsid w:val="004F56C9"/>
    <w:rsid w:val="004F61F5"/>
    <w:rsid w:val="004F631C"/>
    <w:rsid w:val="00500A4B"/>
    <w:rsid w:val="00502600"/>
    <w:rsid w:val="00502F4F"/>
    <w:rsid w:val="005031A9"/>
    <w:rsid w:val="00504438"/>
    <w:rsid w:val="00504C20"/>
    <w:rsid w:val="0050530E"/>
    <w:rsid w:val="00506F76"/>
    <w:rsid w:val="005076DE"/>
    <w:rsid w:val="00507E20"/>
    <w:rsid w:val="00507F59"/>
    <w:rsid w:val="0051103D"/>
    <w:rsid w:val="005121F5"/>
    <w:rsid w:val="00512AC8"/>
    <w:rsid w:val="005135D2"/>
    <w:rsid w:val="0051454C"/>
    <w:rsid w:val="005146CF"/>
    <w:rsid w:val="00514E4B"/>
    <w:rsid w:val="00515EEC"/>
    <w:rsid w:val="00516396"/>
    <w:rsid w:val="00517568"/>
    <w:rsid w:val="0051787E"/>
    <w:rsid w:val="00522F2E"/>
    <w:rsid w:val="0052342F"/>
    <w:rsid w:val="00525027"/>
    <w:rsid w:val="005253B4"/>
    <w:rsid w:val="00525509"/>
    <w:rsid w:val="005258A1"/>
    <w:rsid w:val="00527475"/>
    <w:rsid w:val="005301E5"/>
    <w:rsid w:val="0053100F"/>
    <w:rsid w:val="00531157"/>
    <w:rsid w:val="005315C1"/>
    <w:rsid w:val="0053161C"/>
    <w:rsid w:val="005325EF"/>
    <w:rsid w:val="00532F4E"/>
    <w:rsid w:val="00533922"/>
    <w:rsid w:val="00533C90"/>
    <w:rsid w:val="00533E00"/>
    <w:rsid w:val="00534356"/>
    <w:rsid w:val="005356F1"/>
    <w:rsid w:val="0053574A"/>
    <w:rsid w:val="00535D6C"/>
    <w:rsid w:val="00536116"/>
    <w:rsid w:val="005373B6"/>
    <w:rsid w:val="00540422"/>
    <w:rsid w:val="005404FA"/>
    <w:rsid w:val="00540B52"/>
    <w:rsid w:val="005416CE"/>
    <w:rsid w:val="00542FF9"/>
    <w:rsid w:val="005439D4"/>
    <w:rsid w:val="00543B8B"/>
    <w:rsid w:val="00543B8E"/>
    <w:rsid w:val="00544C72"/>
    <w:rsid w:val="005455E7"/>
    <w:rsid w:val="00545FF6"/>
    <w:rsid w:val="00547648"/>
    <w:rsid w:val="00547822"/>
    <w:rsid w:val="00550B8D"/>
    <w:rsid w:val="0055196F"/>
    <w:rsid w:val="00552882"/>
    <w:rsid w:val="00554073"/>
    <w:rsid w:val="00555F7B"/>
    <w:rsid w:val="00556A5C"/>
    <w:rsid w:val="00557779"/>
    <w:rsid w:val="00560B94"/>
    <w:rsid w:val="00562751"/>
    <w:rsid w:val="005627F4"/>
    <w:rsid w:val="005629DB"/>
    <w:rsid w:val="00564764"/>
    <w:rsid w:val="00565AD3"/>
    <w:rsid w:val="0056603C"/>
    <w:rsid w:val="0056660F"/>
    <w:rsid w:val="00566DC7"/>
    <w:rsid w:val="00571373"/>
    <w:rsid w:val="00571BB6"/>
    <w:rsid w:val="005725AB"/>
    <w:rsid w:val="005727F9"/>
    <w:rsid w:val="00572DA4"/>
    <w:rsid w:val="0057393C"/>
    <w:rsid w:val="005739F3"/>
    <w:rsid w:val="0057438A"/>
    <w:rsid w:val="0057456F"/>
    <w:rsid w:val="0057496B"/>
    <w:rsid w:val="00575F8D"/>
    <w:rsid w:val="00576233"/>
    <w:rsid w:val="00580A81"/>
    <w:rsid w:val="00581CBE"/>
    <w:rsid w:val="00581FA4"/>
    <w:rsid w:val="00582F72"/>
    <w:rsid w:val="0058328D"/>
    <w:rsid w:val="005848CC"/>
    <w:rsid w:val="0058545E"/>
    <w:rsid w:val="005859CE"/>
    <w:rsid w:val="00585A2D"/>
    <w:rsid w:val="00586F38"/>
    <w:rsid w:val="00587537"/>
    <w:rsid w:val="00592A3A"/>
    <w:rsid w:val="0059326B"/>
    <w:rsid w:val="00593618"/>
    <w:rsid w:val="00593A7E"/>
    <w:rsid w:val="00593D42"/>
    <w:rsid w:val="00594A04"/>
    <w:rsid w:val="0059575F"/>
    <w:rsid w:val="005967B1"/>
    <w:rsid w:val="005973AF"/>
    <w:rsid w:val="00597A08"/>
    <w:rsid w:val="005A016D"/>
    <w:rsid w:val="005A0A9B"/>
    <w:rsid w:val="005A0D25"/>
    <w:rsid w:val="005A1971"/>
    <w:rsid w:val="005A2C8F"/>
    <w:rsid w:val="005A3ABC"/>
    <w:rsid w:val="005A4820"/>
    <w:rsid w:val="005A4849"/>
    <w:rsid w:val="005A4CB3"/>
    <w:rsid w:val="005A51DC"/>
    <w:rsid w:val="005A6BEC"/>
    <w:rsid w:val="005B01F5"/>
    <w:rsid w:val="005B0379"/>
    <w:rsid w:val="005B120A"/>
    <w:rsid w:val="005B12C4"/>
    <w:rsid w:val="005B1DCA"/>
    <w:rsid w:val="005B30EB"/>
    <w:rsid w:val="005B4D1C"/>
    <w:rsid w:val="005B51EB"/>
    <w:rsid w:val="005B53E6"/>
    <w:rsid w:val="005B5AFD"/>
    <w:rsid w:val="005C098C"/>
    <w:rsid w:val="005C0B64"/>
    <w:rsid w:val="005C1125"/>
    <w:rsid w:val="005C1FA4"/>
    <w:rsid w:val="005C2298"/>
    <w:rsid w:val="005C2896"/>
    <w:rsid w:val="005C3947"/>
    <w:rsid w:val="005C493C"/>
    <w:rsid w:val="005C6687"/>
    <w:rsid w:val="005C757B"/>
    <w:rsid w:val="005C7FCD"/>
    <w:rsid w:val="005D0767"/>
    <w:rsid w:val="005D0FFD"/>
    <w:rsid w:val="005D2178"/>
    <w:rsid w:val="005D301B"/>
    <w:rsid w:val="005D3D71"/>
    <w:rsid w:val="005D43AB"/>
    <w:rsid w:val="005D4533"/>
    <w:rsid w:val="005D497E"/>
    <w:rsid w:val="005D5102"/>
    <w:rsid w:val="005D5B6E"/>
    <w:rsid w:val="005D5BF0"/>
    <w:rsid w:val="005D61E4"/>
    <w:rsid w:val="005E02F4"/>
    <w:rsid w:val="005E2A71"/>
    <w:rsid w:val="005E4A84"/>
    <w:rsid w:val="005E6BE2"/>
    <w:rsid w:val="005E781E"/>
    <w:rsid w:val="005E7E6A"/>
    <w:rsid w:val="005F002B"/>
    <w:rsid w:val="005F0DD1"/>
    <w:rsid w:val="005F15BA"/>
    <w:rsid w:val="005F18E3"/>
    <w:rsid w:val="005F4245"/>
    <w:rsid w:val="005F48B5"/>
    <w:rsid w:val="005F65A2"/>
    <w:rsid w:val="005F66B1"/>
    <w:rsid w:val="005F77BA"/>
    <w:rsid w:val="006003CF"/>
    <w:rsid w:val="00600669"/>
    <w:rsid w:val="00600988"/>
    <w:rsid w:val="00601C88"/>
    <w:rsid w:val="00603ABB"/>
    <w:rsid w:val="00603F46"/>
    <w:rsid w:val="00605B66"/>
    <w:rsid w:val="00606129"/>
    <w:rsid w:val="00611223"/>
    <w:rsid w:val="00611786"/>
    <w:rsid w:val="00611B50"/>
    <w:rsid w:val="00616F2D"/>
    <w:rsid w:val="00621588"/>
    <w:rsid w:val="00622E7B"/>
    <w:rsid w:val="006243CA"/>
    <w:rsid w:val="00624B63"/>
    <w:rsid w:val="006265BB"/>
    <w:rsid w:val="00630A84"/>
    <w:rsid w:val="00630CAF"/>
    <w:rsid w:val="006331DB"/>
    <w:rsid w:val="00633525"/>
    <w:rsid w:val="006341C2"/>
    <w:rsid w:val="0063470D"/>
    <w:rsid w:val="00635C42"/>
    <w:rsid w:val="00636554"/>
    <w:rsid w:val="0064060B"/>
    <w:rsid w:val="00641738"/>
    <w:rsid w:val="0064307C"/>
    <w:rsid w:val="006435C6"/>
    <w:rsid w:val="0064517F"/>
    <w:rsid w:val="0064540C"/>
    <w:rsid w:val="006458BF"/>
    <w:rsid w:val="006464B9"/>
    <w:rsid w:val="006466AE"/>
    <w:rsid w:val="00647DD2"/>
    <w:rsid w:val="00651556"/>
    <w:rsid w:val="00652848"/>
    <w:rsid w:val="00652C4A"/>
    <w:rsid w:val="00653192"/>
    <w:rsid w:val="00653E13"/>
    <w:rsid w:val="0065451D"/>
    <w:rsid w:val="006547F0"/>
    <w:rsid w:val="006548BD"/>
    <w:rsid w:val="00655569"/>
    <w:rsid w:val="00656FA3"/>
    <w:rsid w:val="00660512"/>
    <w:rsid w:val="0066094D"/>
    <w:rsid w:val="00662205"/>
    <w:rsid w:val="00662210"/>
    <w:rsid w:val="006624D0"/>
    <w:rsid w:val="006631E2"/>
    <w:rsid w:val="0066354B"/>
    <w:rsid w:val="00664BBE"/>
    <w:rsid w:val="0066698D"/>
    <w:rsid w:val="00670DDE"/>
    <w:rsid w:val="00672662"/>
    <w:rsid w:val="00672DE4"/>
    <w:rsid w:val="0067346D"/>
    <w:rsid w:val="00674A6E"/>
    <w:rsid w:val="006762EC"/>
    <w:rsid w:val="006766A8"/>
    <w:rsid w:val="00676AA1"/>
    <w:rsid w:val="0067752B"/>
    <w:rsid w:val="00681166"/>
    <w:rsid w:val="006814CC"/>
    <w:rsid w:val="0068201A"/>
    <w:rsid w:val="0068261B"/>
    <w:rsid w:val="00682D51"/>
    <w:rsid w:val="0068381E"/>
    <w:rsid w:val="00683C0C"/>
    <w:rsid w:val="00683D2B"/>
    <w:rsid w:val="00685CE9"/>
    <w:rsid w:val="00685E79"/>
    <w:rsid w:val="006868E3"/>
    <w:rsid w:val="00687BC4"/>
    <w:rsid w:val="00687CE7"/>
    <w:rsid w:val="00692605"/>
    <w:rsid w:val="0069341B"/>
    <w:rsid w:val="0069426E"/>
    <w:rsid w:val="00695E5F"/>
    <w:rsid w:val="006961B8"/>
    <w:rsid w:val="00697F6A"/>
    <w:rsid w:val="006A0AC7"/>
    <w:rsid w:val="006A208A"/>
    <w:rsid w:val="006A224D"/>
    <w:rsid w:val="006A259A"/>
    <w:rsid w:val="006A316A"/>
    <w:rsid w:val="006A4E62"/>
    <w:rsid w:val="006A57E0"/>
    <w:rsid w:val="006A66FB"/>
    <w:rsid w:val="006A6871"/>
    <w:rsid w:val="006B0BBC"/>
    <w:rsid w:val="006B11C3"/>
    <w:rsid w:val="006B1BE9"/>
    <w:rsid w:val="006B2633"/>
    <w:rsid w:val="006B369B"/>
    <w:rsid w:val="006B4D80"/>
    <w:rsid w:val="006B53DB"/>
    <w:rsid w:val="006B6015"/>
    <w:rsid w:val="006B694C"/>
    <w:rsid w:val="006B7022"/>
    <w:rsid w:val="006B7871"/>
    <w:rsid w:val="006C1D32"/>
    <w:rsid w:val="006C23BA"/>
    <w:rsid w:val="006C2482"/>
    <w:rsid w:val="006C3A7F"/>
    <w:rsid w:val="006C3AB6"/>
    <w:rsid w:val="006C60A0"/>
    <w:rsid w:val="006C64CC"/>
    <w:rsid w:val="006C7168"/>
    <w:rsid w:val="006D07CD"/>
    <w:rsid w:val="006D0B3A"/>
    <w:rsid w:val="006D299C"/>
    <w:rsid w:val="006D36D7"/>
    <w:rsid w:val="006D3C97"/>
    <w:rsid w:val="006D4FBD"/>
    <w:rsid w:val="006D5779"/>
    <w:rsid w:val="006D7BA5"/>
    <w:rsid w:val="006E0C99"/>
    <w:rsid w:val="006E1719"/>
    <w:rsid w:val="006E19B1"/>
    <w:rsid w:val="006E1F6A"/>
    <w:rsid w:val="006E2905"/>
    <w:rsid w:val="006E2E55"/>
    <w:rsid w:val="006E44B0"/>
    <w:rsid w:val="006E4785"/>
    <w:rsid w:val="006E55F5"/>
    <w:rsid w:val="006E5E40"/>
    <w:rsid w:val="006E6893"/>
    <w:rsid w:val="006F0DCD"/>
    <w:rsid w:val="006F2457"/>
    <w:rsid w:val="006F5686"/>
    <w:rsid w:val="006F7182"/>
    <w:rsid w:val="007001EC"/>
    <w:rsid w:val="00701749"/>
    <w:rsid w:val="00701D6D"/>
    <w:rsid w:val="00701E39"/>
    <w:rsid w:val="0070215D"/>
    <w:rsid w:val="007032CC"/>
    <w:rsid w:val="0070347B"/>
    <w:rsid w:val="0070415E"/>
    <w:rsid w:val="00704980"/>
    <w:rsid w:val="00705AE6"/>
    <w:rsid w:val="00706134"/>
    <w:rsid w:val="00706E51"/>
    <w:rsid w:val="00711910"/>
    <w:rsid w:val="007133CC"/>
    <w:rsid w:val="00714BD3"/>
    <w:rsid w:val="00714D8B"/>
    <w:rsid w:val="00715691"/>
    <w:rsid w:val="00715752"/>
    <w:rsid w:val="007157B2"/>
    <w:rsid w:val="007161FD"/>
    <w:rsid w:val="007162D8"/>
    <w:rsid w:val="00717371"/>
    <w:rsid w:val="0071778D"/>
    <w:rsid w:val="007205B0"/>
    <w:rsid w:val="00721786"/>
    <w:rsid w:val="007219B3"/>
    <w:rsid w:val="00722189"/>
    <w:rsid w:val="00722714"/>
    <w:rsid w:val="0072425C"/>
    <w:rsid w:val="00726497"/>
    <w:rsid w:val="00726E02"/>
    <w:rsid w:val="007275D7"/>
    <w:rsid w:val="0073084B"/>
    <w:rsid w:val="00730F55"/>
    <w:rsid w:val="00732DC0"/>
    <w:rsid w:val="0073316B"/>
    <w:rsid w:val="00735DD1"/>
    <w:rsid w:val="00736EC4"/>
    <w:rsid w:val="0073703A"/>
    <w:rsid w:val="00740E3E"/>
    <w:rsid w:val="00741121"/>
    <w:rsid w:val="00741392"/>
    <w:rsid w:val="00741817"/>
    <w:rsid w:val="00741A52"/>
    <w:rsid w:val="00741AEB"/>
    <w:rsid w:val="00741ECA"/>
    <w:rsid w:val="00742D0C"/>
    <w:rsid w:val="007435FD"/>
    <w:rsid w:val="00743D98"/>
    <w:rsid w:val="00744D16"/>
    <w:rsid w:val="00744D77"/>
    <w:rsid w:val="00746898"/>
    <w:rsid w:val="00746D52"/>
    <w:rsid w:val="0074713D"/>
    <w:rsid w:val="00747CFF"/>
    <w:rsid w:val="00750E07"/>
    <w:rsid w:val="00751ACB"/>
    <w:rsid w:val="00751B76"/>
    <w:rsid w:val="00751E87"/>
    <w:rsid w:val="00751F92"/>
    <w:rsid w:val="007528EE"/>
    <w:rsid w:val="00752ADE"/>
    <w:rsid w:val="007530E8"/>
    <w:rsid w:val="00753EAE"/>
    <w:rsid w:val="00754081"/>
    <w:rsid w:val="0075526C"/>
    <w:rsid w:val="00756657"/>
    <w:rsid w:val="00756C09"/>
    <w:rsid w:val="007573EC"/>
    <w:rsid w:val="00757B8D"/>
    <w:rsid w:val="00761D07"/>
    <w:rsid w:val="00762AD4"/>
    <w:rsid w:val="007639A4"/>
    <w:rsid w:val="00763E08"/>
    <w:rsid w:val="00764815"/>
    <w:rsid w:val="00764878"/>
    <w:rsid w:val="00765264"/>
    <w:rsid w:val="00765427"/>
    <w:rsid w:val="00766170"/>
    <w:rsid w:val="00766653"/>
    <w:rsid w:val="00767177"/>
    <w:rsid w:val="00767EDB"/>
    <w:rsid w:val="00771E3B"/>
    <w:rsid w:val="0077340D"/>
    <w:rsid w:val="00774C77"/>
    <w:rsid w:val="007766BA"/>
    <w:rsid w:val="00776DCA"/>
    <w:rsid w:val="007770E4"/>
    <w:rsid w:val="00780E74"/>
    <w:rsid w:val="00781C33"/>
    <w:rsid w:val="0078265A"/>
    <w:rsid w:val="00782722"/>
    <w:rsid w:val="00782C5E"/>
    <w:rsid w:val="00787F55"/>
    <w:rsid w:val="00793CEC"/>
    <w:rsid w:val="00796471"/>
    <w:rsid w:val="00796A6E"/>
    <w:rsid w:val="007A02D8"/>
    <w:rsid w:val="007A1F59"/>
    <w:rsid w:val="007A2B5C"/>
    <w:rsid w:val="007A36B8"/>
    <w:rsid w:val="007A4CD4"/>
    <w:rsid w:val="007A5A28"/>
    <w:rsid w:val="007A5CBE"/>
    <w:rsid w:val="007A63B1"/>
    <w:rsid w:val="007A7738"/>
    <w:rsid w:val="007A7EC4"/>
    <w:rsid w:val="007B1703"/>
    <w:rsid w:val="007B1DA6"/>
    <w:rsid w:val="007B246F"/>
    <w:rsid w:val="007B3889"/>
    <w:rsid w:val="007B4850"/>
    <w:rsid w:val="007B607C"/>
    <w:rsid w:val="007B6E14"/>
    <w:rsid w:val="007B6F22"/>
    <w:rsid w:val="007C01D9"/>
    <w:rsid w:val="007C079B"/>
    <w:rsid w:val="007C30B8"/>
    <w:rsid w:val="007C372F"/>
    <w:rsid w:val="007C429F"/>
    <w:rsid w:val="007C50C7"/>
    <w:rsid w:val="007C6D09"/>
    <w:rsid w:val="007C6D2D"/>
    <w:rsid w:val="007D0527"/>
    <w:rsid w:val="007D102D"/>
    <w:rsid w:val="007D1105"/>
    <w:rsid w:val="007D11B1"/>
    <w:rsid w:val="007D2A32"/>
    <w:rsid w:val="007D6676"/>
    <w:rsid w:val="007D6ABC"/>
    <w:rsid w:val="007D6B62"/>
    <w:rsid w:val="007D6E3A"/>
    <w:rsid w:val="007D70D8"/>
    <w:rsid w:val="007E0C8B"/>
    <w:rsid w:val="007E1016"/>
    <w:rsid w:val="007E18B0"/>
    <w:rsid w:val="007E286E"/>
    <w:rsid w:val="007E38F3"/>
    <w:rsid w:val="007E41D6"/>
    <w:rsid w:val="007E51FE"/>
    <w:rsid w:val="007E6AC9"/>
    <w:rsid w:val="007E6B09"/>
    <w:rsid w:val="007E74BF"/>
    <w:rsid w:val="007F0039"/>
    <w:rsid w:val="007F08FB"/>
    <w:rsid w:val="007F24A1"/>
    <w:rsid w:val="007F27B1"/>
    <w:rsid w:val="007F2A4F"/>
    <w:rsid w:val="007F32D9"/>
    <w:rsid w:val="007F4ECD"/>
    <w:rsid w:val="007F52B4"/>
    <w:rsid w:val="007F6C23"/>
    <w:rsid w:val="007F6CA0"/>
    <w:rsid w:val="007F78F0"/>
    <w:rsid w:val="007F7AF5"/>
    <w:rsid w:val="00801F82"/>
    <w:rsid w:val="008029E3"/>
    <w:rsid w:val="00803641"/>
    <w:rsid w:val="00803E98"/>
    <w:rsid w:val="0080458F"/>
    <w:rsid w:val="00804772"/>
    <w:rsid w:val="00804A38"/>
    <w:rsid w:val="008055D2"/>
    <w:rsid w:val="00805688"/>
    <w:rsid w:val="008067FE"/>
    <w:rsid w:val="008100B1"/>
    <w:rsid w:val="008105FC"/>
    <w:rsid w:val="00810D4C"/>
    <w:rsid w:val="008114F7"/>
    <w:rsid w:val="008130BF"/>
    <w:rsid w:val="00815300"/>
    <w:rsid w:val="00815342"/>
    <w:rsid w:val="00815A89"/>
    <w:rsid w:val="0081621C"/>
    <w:rsid w:val="00816D20"/>
    <w:rsid w:val="00817806"/>
    <w:rsid w:val="00817D6D"/>
    <w:rsid w:val="00820696"/>
    <w:rsid w:val="00825F2B"/>
    <w:rsid w:val="0082637C"/>
    <w:rsid w:val="008273FE"/>
    <w:rsid w:val="008327BF"/>
    <w:rsid w:val="008327F4"/>
    <w:rsid w:val="00833647"/>
    <w:rsid w:val="00833A98"/>
    <w:rsid w:val="00834B02"/>
    <w:rsid w:val="008377B3"/>
    <w:rsid w:val="0084046B"/>
    <w:rsid w:val="0084149F"/>
    <w:rsid w:val="008422D2"/>
    <w:rsid w:val="00842C17"/>
    <w:rsid w:val="00843012"/>
    <w:rsid w:val="00844254"/>
    <w:rsid w:val="00844AE2"/>
    <w:rsid w:val="00846165"/>
    <w:rsid w:val="00846493"/>
    <w:rsid w:val="00846D1B"/>
    <w:rsid w:val="00846E93"/>
    <w:rsid w:val="008471CD"/>
    <w:rsid w:val="008512B8"/>
    <w:rsid w:val="00854283"/>
    <w:rsid w:val="00854292"/>
    <w:rsid w:val="00857B73"/>
    <w:rsid w:val="00857E66"/>
    <w:rsid w:val="00857E9A"/>
    <w:rsid w:val="008606BA"/>
    <w:rsid w:val="00860C8C"/>
    <w:rsid w:val="0086260E"/>
    <w:rsid w:val="00862ACE"/>
    <w:rsid w:val="0086390F"/>
    <w:rsid w:val="00863BA3"/>
    <w:rsid w:val="008644E8"/>
    <w:rsid w:val="00864C86"/>
    <w:rsid w:val="008654B2"/>
    <w:rsid w:val="00865AEF"/>
    <w:rsid w:val="008669BD"/>
    <w:rsid w:val="00867CCF"/>
    <w:rsid w:val="00870F34"/>
    <w:rsid w:val="00872867"/>
    <w:rsid w:val="008734DA"/>
    <w:rsid w:val="0087454D"/>
    <w:rsid w:val="00874CB9"/>
    <w:rsid w:val="008757EE"/>
    <w:rsid w:val="00875A63"/>
    <w:rsid w:val="00876F75"/>
    <w:rsid w:val="008772F4"/>
    <w:rsid w:val="008777A5"/>
    <w:rsid w:val="00880912"/>
    <w:rsid w:val="00880B33"/>
    <w:rsid w:val="008819E9"/>
    <w:rsid w:val="00881A17"/>
    <w:rsid w:val="00881DE8"/>
    <w:rsid w:val="008827A4"/>
    <w:rsid w:val="008836B5"/>
    <w:rsid w:val="0088373D"/>
    <w:rsid w:val="0088741D"/>
    <w:rsid w:val="008900E9"/>
    <w:rsid w:val="00892879"/>
    <w:rsid w:val="0089345A"/>
    <w:rsid w:val="00893518"/>
    <w:rsid w:val="00893E18"/>
    <w:rsid w:val="00893FCC"/>
    <w:rsid w:val="008948F1"/>
    <w:rsid w:val="00894963"/>
    <w:rsid w:val="00894B89"/>
    <w:rsid w:val="008964F5"/>
    <w:rsid w:val="008967C8"/>
    <w:rsid w:val="008A0019"/>
    <w:rsid w:val="008A038B"/>
    <w:rsid w:val="008A07D9"/>
    <w:rsid w:val="008A209E"/>
    <w:rsid w:val="008A4928"/>
    <w:rsid w:val="008A5CEB"/>
    <w:rsid w:val="008A5D49"/>
    <w:rsid w:val="008A63B6"/>
    <w:rsid w:val="008A715E"/>
    <w:rsid w:val="008A7DD7"/>
    <w:rsid w:val="008B024B"/>
    <w:rsid w:val="008B1823"/>
    <w:rsid w:val="008B19CD"/>
    <w:rsid w:val="008B43A7"/>
    <w:rsid w:val="008B7701"/>
    <w:rsid w:val="008B7A18"/>
    <w:rsid w:val="008B7EC2"/>
    <w:rsid w:val="008C0F0D"/>
    <w:rsid w:val="008C1099"/>
    <w:rsid w:val="008C4CF9"/>
    <w:rsid w:val="008C5015"/>
    <w:rsid w:val="008C5672"/>
    <w:rsid w:val="008C5A1F"/>
    <w:rsid w:val="008C5D1C"/>
    <w:rsid w:val="008C6672"/>
    <w:rsid w:val="008C6FC3"/>
    <w:rsid w:val="008C747E"/>
    <w:rsid w:val="008D0FEF"/>
    <w:rsid w:val="008D21C8"/>
    <w:rsid w:val="008D3AD4"/>
    <w:rsid w:val="008D4405"/>
    <w:rsid w:val="008D4456"/>
    <w:rsid w:val="008D5F6D"/>
    <w:rsid w:val="008D7AD9"/>
    <w:rsid w:val="008E11B0"/>
    <w:rsid w:val="008E14CF"/>
    <w:rsid w:val="008E2001"/>
    <w:rsid w:val="008E205A"/>
    <w:rsid w:val="008E3DF0"/>
    <w:rsid w:val="008E44E4"/>
    <w:rsid w:val="008E4B82"/>
    <w:rsid w:val="008E5145"/>
    <w:rsid w:val="008E6BE5"/>
    <w:rsid w:val="008E70B7"/>
    <w:rsid w:val="008E7595"/>
    <w:rsid w:val="008E76E9"/>
    <w:rsid w:val="008E7F6A"/>
    <w:rsid w:val="008F015D"/>
    <w:rsid w:val="008F0AD2"/>
    <w:rsid w:val="008F2432"/>
    <w:rsid w:val="008F2F29"/>
    <w:rsid w:val="008F3679"/>
    <w:rsid w:val="008F409B"/>
    <w:rsid w:val="008F6B25"/>
    <w:rsid w:val="008F6B6A"/>
    <w:rsid w:val="008F6E9E"/>
    <w:rsid w:val="008F7CBF"/>
    <w:rsid w:val="00902B4A"/>
    <w:rsid w:val="00904237"/>
    <w:rsid w:val="00906B3A"/>
    <w:rsid w:val="00907B18"/>
    <w:rsid w:val="00910C2A"/>
    <w:rsid w:val="00912DBC"/>
    <w:rsid w:val="0091374C"/>
    <w:rsid w:val="0091464D"/>
    <w:rsid w:val="00920FC2"/>
    <w:rsid w:val="00921169"/>
    <w:rsid w:val="00921393"/>
    <w:rsid w:val="00923A90"/>
    <w:rsid w:val="00923B90"/>
    <w:rsid w:val="00923F0F"/>
    <w:rsid w:val="00925412"/>
    <w:rsid w:val="00925BAE"/>
    <w:rsid w:val="00925F8B"/>
    <w:rsid w:val="00926359"/>
    <w:rsid w:val="00926A4D"/>
    <w:rsid w:val="00926DA1"/>
    <w:rsid w:val="0092759D"/>
    <w:rsid w:val="00930131"/>
    <w:rsid w:val="009307D7"/>
    <w:rsid w:val="0093230F"/>
    <w:rsid w:val="00934222"/>
    <w:rsid w:val="00934ECA"/>
    <w:rsid w:val="00935EAD"/>
    <w:rsid w:val="00940047"/>
    <w:rsid w:val="00941415"/>
    <w:rsid w:val="00944596"/>
    <w:rsid w:val="00944CD8"/>
    <w:rsid w:val="009457C3"/>
    <w:rsid w:val="00945B4B"/>
    <w:rsid w:val="00947425"/>
    <w:rsid w:val="009500AD"/>
    <w:rsid w:val="00950DB7"/>
    <w:rsid w:val="00950E95"/>
    <w:rsid w:val="009510F7"/>
    <w:rsid w:val="00951166"/>
    <w:rsid w:val="00952328"/>
    <w:rsid w:val="0095272A"/>
    <w:rsid w:val="00953E01"/>
    <w:rsid w:val="0095452D"/>
    <w:rsid w:val="0095545E"/>
    <w:rsid w:val="009556FF"/>
    <w:rsid w:val="00956FD3"/>
    <w:rsid w:val="009570DB"/>
    <w:rsid w:val="00960738"/>
    <w:rsid w:val="00960DDC"/>
    <w:rsid w:val="0096189A"/>
    <w:rsid w:val="00961CAA"/>
    <w:rsid w:val="00961DD1"/>
    <w:rsid w:val="009624EF"/>
    <w:rsid w:val="009634BA"/>
    <w:rsid w:val="0096365C"/>
    <w:rsid w:val="00963BA0"/>
    <w:rsid w:val="00963F11"/>
    <w:rsid w:val="00964498"/>
    <w:rsid w:val="00964591"/>
    <w:rsid w:val="00964822"/>
    <w:rsid w:val="0096536A"/>
    <w:rsid w:val="00965806"/>
    <w:rsid w:val="00966489"/>
    <w:rsid w:val="009669D9"/>
    <w:rsid w:val="009678C3"/>
    <w:rsid w:val="00967D70"/>
    <w:rsid w:val="009711C2"/>
    <w:rsid w:val="00972D98"/>
    <w:rsid w:val="009734A4"/>
    <w:rsid w:val="009738E6"/>
    <w:rsid w:val="0097420E"/>
    <w:rsid w:val="00975688"/>
    <w:rsid w:val="009814B7"/>
    <w:rsid w:val="00983850"/>
    <w:rsid w:val="00983DAD"/>
    <w:rsid w:val="0098533A"/>
    <w:rsid w:val="00986491"/>
    <w:rsid w:val="009919B2"/>
    <w:rsid w:val="00991C7D"/>
    <w:rsid w:val="009941E1"/>
    <w:rsid w:val="0099438E"/>
    <w:rsid w:val="00994606"/>
    <w:rsid w:val="009959F7"/>
    <w:rsid w:val="00996269"/>
    <w:rsid w:val="009971BA"/>
    <w:rsid w:val="009971D9"/>
    <w:rsid w:val="00997B70"/>
    <w:rsid w:val="009A09D6"/>
    <w:rsid w:val="009A29A2"/>
    <w:rsid w:val="009A2FBB"/>
    <w:rsid w:val="009A300B"/>
    <w:rsid w:val="009A377E"/>
    <w:rsid w:val="009A41C7"/>
    <w:rsid w:val="009A52B9"/>
    <w:rsid w:val="009B1A17"/>
    <w:rsid w:val="009B216E"/>
    <w:rsid w:val="009B2539"/>
    <w:rsid w:val="009B4392"/>
    <w:rsid w:val="009B53B6"/>
    <w:rsid w:val="009B5D27"/>
    <w:rsid w:val="009B6AE6"/>
    <w:rsid w:val="009B73C5"/>
    <w:rsid w:val="009C01E9"/>
    <w:rsid w:val="009C4A96"/>
    <w:rsid w:val="009C4F6D"/>
    <w:rsid w:val="009C621A"/>
    <w:rsid w:val="009C7DAE"/>
    <w:rsid w:val="009D1D35"/>
    <w:rsid w:val="009D3228"/>
    <w:rsid w:val="009D4513"/>
    <w:rsid w:val="009D4AE1"/>
    <w:rsid w:val="009D4E7B"/>
    <w:rsid w:val="009D4FB7"/>
    <w:rsid w:val="009D58A4"/>
    <w:rsid w:val="009D5DCD"/>
    <w:rsid w:val="009D7951"/>
    <w:rsid w:val="009E0624"/>
    <w:rsid w:val="009E2991"/>
    <w:rsid w:val="009E2CA3"/>
    <w:rsid w:val="009E2E6E"/>
    <w:rsid w:val="009E56B2"/>
    <w:rsid w:val="009E5F60"/>
    <w:rsid w:val="009E61E1"/>
    <w:rsid w:val="009E6324"/>
    <w:rsid w:val="009E75DC"/>
    <w:rsid w:val="009E7601"/>
    <w:rsid w:val="009F01FD"/>
    <w:rsid w:val="009F1A96"/>
    <w:rsid w:val="009F4FDA"/>
    <w:rsid w:val="009F5750"/>
    <w:rsid w:val="009F6CE5"/>
    <w:rsid w:val="009F6DA7"/>
    <w:rsid w:val="009F77CA"/>
    <w:rsid w:val="00A003C4"/>
    <w:rsid w:val="00A00C4B"/>
    <w:rsid w:val="00A02172"/>
    <w:rsid w:val="00A0507F"/>
    <w:rsid w:val="00A0594C"/>
    <w:rsid w:val="00A05A1C"/>
    <w:rsid w:val="00A06355"/>
    <w:rsid w:val="00A06474"/>
    <w:rsid w:val="00A1154B"/>
    <w:rsid w:val="00A119E5"/>
    <w:rsid w:val="00A11DF9"/>
    <w:rsid w:val="00A13A6C"/>
    <w:rsid w:val="00A13B16"/>
    <w:rsid w:val="00A13BBD"/>
    <w:rsid w:val="00A13DEF"/>
    <w:rsid w:val="00A16C69"/>
    <w:rsid w:val="00A22EE7"/>
    <w:rsid w:val="00A23502"/>
    <w:rsid w:val="00A23899"/>
    <w:rsid w:val="00A24046"/>
    <w:rsid w:val="00A2541D"/>
    <w:rsid w:val="00A25812"/>
    <w:rsid w:val="00A25D23"/>
    <w:rsid w:val="00A25E90"/>
    <w:rsid w:val="00A26511"/>
    <w:rsid w:val="00A26652"/>
    <w:rsid w:val="00A26908"/>
    <w:rsid w:val="00A26929"/>
    <w:rsid w:val="00A26E48"/>
    <w:rsid w:val="00A26E97"/>
    <w:rsid w:val="00A272C9"/>
    <w:rsid w:val="00A306A3"/>
    <w:rsid w:val="00A3228C"/>
    <w:rsid w:val="00A3330F"/>
    <w:rsid w:val="00A35265"/>
    <w:rsid w:val="00A360F9"/>
    <w:rsid w:val="00A374FF"/>
    <w:rsid w:val="00A4047D"/>
    <w:rsid w:val="00A407C8"/>
    <w:rsid w:val="00A407CD"/>
    <w:rsid w:val="00A4127E"/>
    <w:rsid w:val="00A41E9A"/>
    <w:rsid w:val="00A4393C"/>
    <w:rsid w:val="00A43988"/>
    <w:rsid w:val="00A44DBC"/>
    <w:rsid w:val="00A45428"/>
    <w:rsid w:val="00A46A11"/>
    <w:rsid w:val="00A473D4"/>
    <w:rsid w:val="00A50702"/>
    <w:rsid w:val="00A509F4"/>
    <w:rsid w:val="00A50B33"/>
    <w:rsid w:val="00A521A2"/>
    <w:rsid w:val="00A53310"/>
    <w:rsid w:val="00A537E5"/>
    <w:rsid w:val="00A53D18"/>
    <w:rsid w:val="00A53FBC"/>
    <w:rsid w:val="00A553CC"/>
    <w:rsid w:val="00A55468"/>
    <w:rsid w:val="00A555D1"/>
    <w:rsid w:val="00A557D1"/>
    <w:rsid w:val="00A56926"/>
    <w:rsid w:val="00A56B02"/>
    <w:rsid w:val="00A607D4"/>
    <w:rsid w:val="00A6459B"/>
    <w:rsid w:val="00A65933"/>
    <w:rsid w:val="00A65EDF"/>
    <w:rsid w:val="00A674BD"/>
    <w:rsid w:val="00A67D0F"/>
    <w:rsid w:val="00A71480"/>
    <w:rsid w:val="00A73E8A"/>
    <w:rsid w:val="00A779F7"/>
    <w:rsid w:val="00A8026B"/>
    <w:rsid w:val="00A8051D"/>
    <w:rsid w:val="00A836BE"/>
    <w:rsid w:val="00A83701"/>
    <w:rsid w:val="00A83D14"/>
    <w:rsid w:val="00A85210"/>
    <w:rsid w:val="00A85402"/>
    <w:rsid w:val="00A860F7"/>
    <w:rsid w:val="00A86AF9"/>
    <w:rsid w:val="00A87595"/>
    <w:rsid w:val="00A87D4C"/>
    <w:rsid w:val="00A9131B"/>
    <w:rsid w:val="00A9153D"/>
    <w:rsid w:val="00A9221F"/>
    <w:rsid w:val="00A936E9"/>
    <w:rsid w:val="00A9382E"/>
    <w:rsid w:val="00A93C5A"/>
    <w:rsid w:val="00A94018"/>
    <w:rsid w:val="00A953EB"/>
    <w:rsid w:val="00A9583F"/>
    <w:rsid w:val="00A95E08"/>
    <w:rsid w:val="00A95E4B"/>
    <w:rsid w:val="00A96215"/>
    <w:rsid w:val="00A9706B"/>
    <w:rsid w:val="00AA00EB"/>
    <w:rsid w:val="00AA2305"/>
    <w:rsid w:val="00AA2C1C"/>
    <w:rsid w:val="00AA2F7A"/>
    <w:rsid w:val="00AA34F4"/>
    <w:rsid w:val="00AA3964"/>
    <w:rsid w:val="00AA4B57"/>
    <w:rsid w:val="00AA4C62"/>
    <w:rsid w:val="00AA6996"/>
    <w:rsid w:val="00AA7468"/>
    <w:rsid w:val="00AA77DA"/>
    <w:rsid w:val="00AA780F"/>
    <w:rsid w:val="00AA7F3D"/>
    <w:rsid w:val="00AB0E33"/>
    <w:rsid w:val="00AB234B"/>
    <w:rsid w:val="00AB29AD"/>
    <w:rsid w:val="00AB3801"/>
    <w:rsid w:val="00AB5351"/>
    <w:rsid w:val="00AB59DA"/>
    <w:rsid w:val="00AB5FB9"/>
    <w:rsid w:val="00AB6A8C"/>
    <w:rsid w:val="00AC023E"/>
    <w:rsid w:val="00AC02C6"/>
    <w:rsid w:val="00AC0F58"/>
    <w:rsid w:val="00AC1820"/>
    <w:rsid w:val="00AC2DC9"/>
    <w:rsid w:val="00AC2E11"/>
    <w:rsid w:val="00AC396B"/>
    <w:rsid w:val="00AC4D3E"/>
    <w:rsid w:val="00AC68D7"/>
    <w:rsid w:val="00AC6FB1"/>
    <w:rsid w:val="00AC7619"/>
    <w:rsid w:val="00AC7900"/>
    <w:rsid w:val="00AD0AB4"/>
    <w:rsid w:val="00AD0F96"/>
    <w:rsid w:val="00AD120F"/>
    <w:rsid w:val="00AD1B72"/>
    <w:rsid w:val="00AD1CFB"/>
    <w:rsid w:val="00AD22A9"/>
    <w:rsid w:val="00AD6AAC"/>
    <w:rsid w:val="00AD7895"/>
    <w:rsid w:val="00AE0ABB"/>
    <w:rsid w:val="00AE3D43"/>
    <w:rsid w:val="00AE3F45"/>
    <w:rsid w:val="00AE41C4"/>
    <w:rsid w:val="00AE43EC"/>
    <w:rsid w:val="00AE57C4"/>
    <w:rsid w:val="00AE590E"/>
    <w:rsid w:val="00AF05DD"/>
    <w:rsid w:val="00AF2B85"/>
    <w:rsid w:val="00AF317A"/>
    <w:rsid w:val="00AF3AF3"/>
    <w:rsid w:val="00AF40D2"/>
    <w:rsid w:val="00AF4AF4"/>
    <w:rsid w:val="00AF52AE"/>
    <w:rsid w:val="00AF602B"/>
    <w:rsid w:val="00B012FB"/>
    <w:rsid w:val="00B01899"/>
    <w:rsid w:val="00B02004"/>
    <w:rsid w:val="00B03AE3"/>
    <w:rsid w:val="00B03E57"/>
    <w:rsid w:val="00B042E9"/>
    <w:rsid w:val="00B050A3"/>
    <w:rsid w:val="00B06592"/>
    <w:rsid w:val="00B103D0"/>
    <w:rsid w:val="00B10728"/>
    <w:rsid w:val="00B10788"/>
    <w:rsid w:val="00B10FF9"/>
    <w:rsid w:val="00B12E6F"/>
    <w:rsid w:val="00B137F8"/>
    <w:rsid w:val="00B15C5E"/>
    <w:rsid w:val="00B15F0F"/>
    <w:rsid w:val="00B1660F"/>
    <w:rsid w:val="00B170CF"/>
    <w:rsid w:val="00B1766E"/>
    <w:rsid w:val="00B205BA"/>
    <w:rsid w:val="00B218CF"/>
    <w:rsid w:val="00B22519"/>
    <w:rsid w:val="00B226B4"/>
    <w:rsid w:val="00B24C43"/>
    <w:rsid w:val="00B24EAC"/>
    <w:rsid w:val="00B25FE1"/>
    <w:rsid w:val="00B274D9"/>
    <w:rsid w:val="00B27DD0"/>
    <w:rsid w:val="00B30DD5"/>
    <w:rsid w:val="00B3260B"/>
    <w:rsid w:val="00B34597"/>
    <w:rsid w:val="00B36548"/>
    <w:rsid w:val="00B37808"/>
    <w:rsid w:val="00B4050A"/>
    <w:rsid w:val="00B4095C"/>
    <w:rsid w:val="00B411BD"/>
    <w:rsid w:val="00B425DD"/>
    <w:rsid w:val="00B427CF"/>
    <w:rsid w:val="00B42D19"/>
    <w:rsid w:val="00B433BB"/>
    <w:rsid w:val="00B437A8"/>
    <w:rsid w:val="00B441CD"/>
    <w:rsid w:val="00B44CD4"/>
    <w:rsid w:val="00B45AAC"/>
    <w:rsid w:val="00B45E63"/>
    <w:rsid w:val="00B4604A"/>
    <w:rsid w:val="00B460DD"/>
    <w:rsid w:val="00B46DB0"/>
    <w:rsid w:val="00B46E06"/>
    <w:rsid w:val="00B4771F"/>
    <w:rsid w:val="00B5189F"/>
    <w:rsid w:val="00B52910"/>
    <w:rsid w:val="00B52C6D"/>
    <w:rsid w:val="00B53123"/>
    <w:rsid w:val="00B53EF8"/>
    <w:rsid w:val="00B55D69"/>
    <w:rsid w:val="00B61654"/>
    <w:rsid w:val="00B61CF2"/>
    <w:rsid w:val="00B627B2"/>
    <w:rsid w:val="00B62DF0"/>
    <w:rsid w:val="00B62F20"/>
    <w:rsid w:val="00B63362"/>
    <w:rsid w:val="00B642FD"/>
    <w:rsid w:val="00B65B06"/>
    <w:rsid w:val="00B6611F"/>
    <w:rsid w:val="00B66E7F"/>
    <w:rsid w:val="00B7032C"/>
    <w:rsid w:val="00B70428"/>
    <w:rsid w:val="00B71438"/>
    <w:rsid w:val="00B71A5A"/>
    <w:rsid w:val="00B727F9"/>
    <w:rsid w:val="00B7526A"/>
    <w:rsid w:val="00B752F2"/>
    <w:rsid w:val="00B75AD0"/>
    <w:rsid w:val="00B75F4E"/>
    <w:rsid w:val="00B771B0"/>
    <w:rsid w:val="00B80CB2"/>
    <w:rsid w:val="00B82051"/>
    <w:rsid w:val="00B8394F"/>
    <w:rsid w:val="00B86AA0"/>
    <w:rsid w:val="00B87991"/>
    <w:rsid w:val="00B9037F"/>
    <w:rsid w:val="00B90495"/>
    <w:rsid w:val="00B9052B"/>
    <w:rsid w:val="00B91534"/>
    <w:rsid w:val="00B952D0"/>
    <w:rsid w:val="00B95F27"/>
    <w:rsid w:val="00B96D74"/>
    <w:rsid w:val="00B972E5"/>
    <w:rsid w:val="00BA0C54"/>
    <w:rsid w:val="00BA11DA"/>
    <w:rsid w:val="00BA22E9"/>
    <w:rsid w:val="00BA37D3"/>
    <w:rsid w:val="00BA4DBB"/>
    <w:rsid w:val="00BA624B"/>
    <w:rsid w:val="00BA6DA3"/>
    <w:rsid w:val="00BB226D"/>
    <w:rsid w:val="00BB3354"/>
    <w:rsid w:val="00BB3668"/>
    <w:rsid w:val="00BB4A21"/>
    <w:rsid w:val="00BB56D5"/>
    <w:rsid w:val="00BB6BB3"/>
    <w:rsid w:val="00BB73B6"/>
    <w:rsid w:val="00BB79B9"/>
    <w:rsid w:val="00BC07E9"/>
    <w:rsid w:val="00BC0954"/>
    <w:rsid w:val="00BC33CE"/>
    <w:rsid w:val="00BC34DA"/>
    <w:rsid w:val="00BC4576"/>
    <w:rsid w:val="00BC46AE"/>
    <w:rsid w:val="00BC5B29"/>
    <w:rsid w:val="00BC5C80"/>
    <w:rsid w:val="00BC61EA"/>
    <w:rsid w:val="00BC7279"/>
    <w:rsid w:val="00BC7F5C"/>
    <w:rsid w:val="00BD315E"/>
    <w:rsid w:val="00BD3A18"/>
    <w:rsid w:val="00BD3F58"/>
    <w:rsid w:val="00BD4B12"/>
    <w:rsid w:val="00BD5F33"/>
    <w:rsid w:val="00BD72C0"/>
    <w:rsid w:val="00BD7601"/>
    <w:rsid w:val="00BD76AD"/>
    <w:rsid w:val="00BE0402"/>
    <w:rsid w:val="00BE0972"/>
    <w:rsid w:val="00BE73E3"/>
    <w:rsid w:val="00BE79B2"/>
    <w:rsid w:val="00BF0F6C"/>
    <w:rsid w:val="00BF10AF"/>
    <w:rsid w:val="00BF19CE"/>
    <w:rsid w:val="00BF31FE"/>
    <w:rsid w:val="00BF3700"/>
    <w:rsid w:val="00BF47B4"/>
    <w:rsid w:val="00BF4946"/>
    <w:rsid w:val="00BF5F37"/>
    <w:rsid w:val="00BF673B"/>
    <w:rsid w:val="00BF6DD4"/>
    <w:rsid w:val="00BF7C80"/>
    <w:rsid w:val="00C00726"/>
    <w:rsid w:val="00C00CEF"/>
    <w:rsid w:val="00C018FB"/>
    <w:rsid w:val="00C01FFE"/>
    <w:rsid w:val="00C02B1C"/>
    <w:rsid w:val="00C02BE5"/>
    <w:rsid w:val="00C02BF7"/>
    <w:rsid w:val="00C03DAC"/>
    <w:rsid w:val="00C048AC"/>
    <w:rsid w:val="00C05E9D"/>
    <w:rsid w:val="00C0646B"/>
    <w:rsid w:val="00C07C2D"/>
    <w:rsid w:val="00C1070E"/>
    <w:rsid w:val="00C11409"/>
    <w:rsid w:val="00C14C55"/>
    <w:rsid w:val="00C14C7F"/>
    <w:rsid w:val="00C151A7"/>
    <w:rsid w:val="00C151CD"/>
    <w:rsid w:val="00C1564B"/>
    <w:rsid w:val="00C15978"/>
    <w:rsid w:val="00C167E2"/>
    <w:rsid w:val="00C16890"/>
    <w:rsid w:val="00C1743E"/>
    <w:rsid w:val="00C208FD"/>
    <w:rsid w:val="00C212EB"/>
    <w:rsid w:val="00C23419"/>
    <w:rsid w:val="00C23EE3"/>
    <w:rsid w:val="00C25BD9"/>
    <w:rsid w:val="00C2611D"/>
    <w:rsid w:val="00C26646"/>
    <w:rsid w:val="00C26CA8"/>
    <w:rsid w:val="00C278FA"/>
    <w:rsid w:val="00C3111D"/>
    <w:rsid w:val="00C3129B"/>
    <w:rsid w:val="00C31E2F"/>
    <w:rsid w:val="00C320B3"/>
    <w:rsid w:val="00C33646"/>
    <w:rsid w:val="00C33BDD"/>
    <w:rsid w:val="00C358D9"/>
    <w:rsid w:val="00C36011"/>
    <w:rsid w:val="00C37048"/>
    <w:rsid w:val="00C419BC"/>
    <w:rsid w:val="00C4296E"/>
    <w:rsid w:val="00C453A0"/>
    <w:rsid w:val="00C45584"/>
    <w:rsid w:val="00C46B05"/>
    <w:rsid w:val="00C47712"/>
    <w:rsid w:val="00C47828"/>
    <w:rsid w:val="00C47AD8"/>
    <w:rsid w:val="00C519BC"/>
    <w:rsid w:val="00C542FB"/>
    <w:rsid w:val="00C56F12"/>
    <w:rsid w:val="00C615BE"/>
    <w:rsid w:val="00C61783"/>
    <w:rsid w:val="00C623AE"/>
    <w:rsid w:val="00C62803"/>
    <w:rsid w:val="00C62B52"/>
    <w:rsid w:val="00C62FD7"/>
    <w:rsid w:val="00C63380"/>
    <w:rsid w:val="00C63506"/>
    <w:rsid w:val="00C640D0"/>
    <w:rsid w:val="00C653B5"/>
    <w:rsid w:val="00C66C33"/>
    <w:rsid w:val="00C66E51"/>
    <w:rsid w:val="00C678E9"/>
    <w:rsid w:val="00C7077A"/>
    <w:rsid w:val="00C70CFA"/>
    <w:rsid w:val="00C71F37"/>
    <w:rsid w:val="00C72C8C"/>
    <w:rsid w:val="00C731E8"/>
    <w:rsid w:val="00C74BD8"/>
    <w:rsid w:val="00C74F1E"/>
    <w:rsid w:val="00C75665"/>
    <w:rsid w:val="00C75E2D"/>
    <w:rsid w:val="00C77176"/>
    <w:rsid w:val="00C77D8A"/>
    <w:rsid w:val="00C80955"/>
    <w:rsid w:val="00C80E4D"/>
    <w:rsid w:val="00C819D9"/>
    <w:rsid w:val="00C82F9F"/>
    <w:rsid w:val="00C8398D"/>
    <w:rsid w:val="00C83DF6"/>
    <w:rsid w:val="00C841FF"/>
    <w:rsid w:val="00C8425F"/>
    <w:rsid w:val="00C84362"/>
    <w:rsid w:val="00C84952"/>
    <w:rsid w:val="00C85752"/>
    <w:rsid w:val="00C8634A"/>
    <w:rsid w:val="00C8656E"/>
    <w:rsid w:val="00C8712D"/>
    <w:rsid w:val="00C87830"/>
    <w:rsid w:val="00C87C7C"/>
    <w:rsid w:val="00C90C6C"/>
    <w:rsid w:val="00C919B8"/>
    <w:rsid w:val="00C922E9"/>
    <w:rsid w:val="00C9364C"/>
    <w:rsid w:val="00C9514C"/>
    <w:rsid w:val="00C9554E"/>
    <w:rsid w:val="00C97B29"/>
    <w:rsid w:val="00C97C87"/>
    <w:rsid w:val="00CA0505"/>
    <w:rsid w:val="00CA1670"/>
    <w:rsid w:val="00CA219D"/>
    <w:rsid w:val="00CA2AB9"/>
    <w:rsid w:val="00CA32B4"/>
    <w:rsid w:val="00CA3F59"/>
    <w:rsid w:val="00CA439B"/>
    <w:rsid w:val="00CA4504"/>
    <w:rsid w:val="00CA4908"/>
    <w:rsid w:val="00CA4B20"/>
    <w:rsid w:val="00CA5117"/>
    <w:rsid w:val="00CA6E29"/>
    <w:rsid w:val="00CA75A2"/>
    <w:rsid w:val="00CA75E8"/>
    <w:rsid w:val="00CA780D"/>
    <w:rsid w:val="00CA7CA7"/>
    <w:rsid w:val="00CB212B"/>
    <w:rsid w:val="00CB21BE"/>
    <w:rsid w:val="00CB22BD"/>
    <w:rsid w:val="00CB2461"/>
    <w:rsid w:val="00CB293E"/>
    <w:rsid w:val="00CB3981"/>
    <w:rsid w:val="00CB595B"/>
    <w:rsid w:val="00CB6B1E"/>
    <w:rsid w:val="00CB6CBE"/>
    <w:rsid w:val="00CB7011"/>
    <w:rsid w:val="00CC0AF7"/>
    <w:rsid w:val="00CC0B8F"/>
    <w:rsid w:val="00CC35E8"/>
    <w:rsid w:val="00CC592E"/>
    <w:rsid w:val="00CC5C20"/>
    <w:rsid w:val="00CC614F"/>
    <w:rsid w:val="00CC7029"/>
    <w:rsid w:val="00CD24E0"/>
    <w:rsid w:val="00CD2CAA"/>
    <w:rsid w:val="00CD34C7"/>
    <w:rsid w:val="00CD638E"/>
    <w:rsid w:val="00CD6DA1"/>
    <w:rsid w:val="00CD73AB"/>
    <w:rsid w:val="00CE0084"/>
    <w:rsid w:val="00CE026A"/>
    <w:rsid w:val="00CE3E3D"/>
    <w:rsid w:val="00CE59E3"/>
    <w:rsid w:val="00CE5C62"/>
    <w:rsid w:val="00CE63DA"/>
    <w:rsid w:val="00CE6940"/>
    <w:rsid w:val="00CE6CE2"/>
    <w:rsid w:val="00CF1201"/>
    <w:rsid w:val="00CF2357"/>
    <w:rsid w:val="00CF3696"/>
    <w:rsid w:val="00CF3788"/>
    <w:rsid w:val="00CF54BB"/>
    <w:rsid w:val="00CF7405"/>
    <w:rsid w:val="00D004E1"/>
    <w:rsid w:val="00D006C6"/>
    <w:rsid w:val="00D009D5"/>
    <w:rsid w:val="00D01641"/>
    <w:rsid w:val="00D016AB"/>
    <w:rsid w:val="00D01AC4"/>
    <w:rsid w:val="00D020BC"/>
    <w:rsid w:val="00D03A5B"/>
    <w:rsid w:val="00D0433E"/>
    <w:rsid w:val="00D06B31"/>
    <w:rsid w:val="00D07AA5"/>
    <w:rsid w:val="00D10797"/>
    <w:rsid w:val="00D10D1E"/>
    <w:rsid w:val="00D10D73"/>
    <w:rsid w:val="00D111DE"/>
    <w:rsid w:val="00D12578"/>
    <w:rsid w:val="00D13815"/>
    <w:rsid w:val="00D13E58"/>
    <w:rsid w:val="00D13E8D"/>
    <w:rsid w:val="00D14607"/>
    <w:rsid w:val="00D14AD0"/>
    <w:rsid w:val="00D15D4C"/>
    <w:rsid w:val="00D1677B"/>
    <w:rsid w:val="00D17291"/>
    <w:rsid w:val="00D172C9"/>
    <w:rsid w:val="00D17B5C"/>
    <w:rsid w:val="00D21E47"/>
    <w:rsid w:val="00D2329C"/>
    <w:rsid w:val="00D24A1C"/>
    <w:rsid w:val="00D24D04"/>
    <w:rsid w:val="00D25F3E"/>
    <w:rsid w:val="00D26F8F"/>
    <w:rsid w:val="00D278EA"/>
    <w:rsid w:val="00D27A4E"/>
    <w:rsid w:val="00D302F1"/>
    <w:rsid w:val="00D311B2"/>
    <w:rsid w:val="00D31221"/>
    <w:rsid w:val="00D340AF"/>
    <w:rsid w:val="00D35D7B"/>
    <w:rsid w:val="00D361A5"/>
    <w:rsid w:val="00D377D3"/>
    <w:rsid w:val="00D411C7"/>
    <w:rsid w:val="00D41ADA"/>
    <w:rsid w:val="00D43445"/>
    <w:rsid w:val="00D46768"/>
    <w:rsid w:val="00D46B4B"/>
    <w:rsid w:val="00D47AA3"/>
    <w:rsid w:val="00D51558"/>
    <w:rsid w:val="00D539DF"/>
    <w:rsid w:val="00D53BA1"/>
    <w:rsid w:val="00D545C3"/>
    <w:rsid w:val="00D54A84"/>
    <w:rsid w:val="00D54BEB"/>
    <w:rsid w:val="00D55056"/>
    <w:rsid w:val="00D56442"/>
    <w:rsid w:val="00D57FC8"/>
    <w:rsid w:val="00D606AD"/>
    <w:rsid w:val="00D61184"/>
    <w:rsid w:val="00D614CE"/>
    <w:rsid w:val="00D620F7"/>
    <w:rsid w:val="00D62667"/>
    <w:rsid w:val="00D62ACB"/>
    <w:rsid w:val="00D62C8B"/>
    <w:rsid w:val="00D6335D"/>
    <w:rsid w:val="00D64972"/>
    <w:rsid w:val="00D6549B"/>
    <w:rsid w:val="00D662CF"/>
    <w:rsid w:val="00D6688D"/>
    <w:rsid w:val="00D66F90"/>
    <w:rsid w:val="00D66FDE"/>
    <w:rsid w:val="00D673F1"/>
    <w:rsid w:val="00D678B4"/>
    <w:rsid w:val="00D74231"/>
    <w:rsid w:val="00D746F2"/>
    <w:rsid w:val="00D74755"/>
    <w:rsid w:val="00D75B8B"/>
    <w:rsid w:val="00D771CD"/>
    <w:rsid w:val="00D80429"/>
    <w:rsid w:val="00D81D1E"/>
    <w:rsid w:val="00D83198"/>
    <w:rsid w:val="00D85023"/>
    <w:rsid w:val="00D854AA"/>
    <w:rsid w:val="00D85BBF"/>
    <w:rsid w:val="00D85DAC"/>
    <w:rsid w:val="00D865A1"/>
    <w:rsid w:val="00D86FDC"/>
    <w:rsid w:val="00D87ED0"/>
    <w:rsid w:val="00D95580"/>
    <w:rsid w:val="00D9774A"/>
    <w:rsid w:val="00DA006D"/>
    <w:rsid w:val="00DA067C"/>
    <w:rsid w:val="00DA0771"/>
    <w:rsid w:val="00DA0C6A"/>
    <w:rsid w:val="00DA0E3F"/>
    <w:rsid w:val="00DA1E48"/>
    <w:rsid w:val="00DA259E"/>
    <w:rsid w:val="00DA2A76"/>
    <w:rsid w:val="00DA2BCD"/>
    <w:rsid w:val="00DA3E99"/>
    <w:rsid w:val="00DA3F50"/>
    <w:rsid w:val="00DA4167"/>
    <w:rsid w:val="00DA41E1"/>
    <w:rsid w:val="00DA4C04"/>
    <w:rsid w:val="00DA50CB"/>
    <w:rsid w:val="00DA77DF"/>
    <w:rsid w:val="00DA79DA"/>
    <w:rsid w:val="00DB00E1"/>
    <w:rsid w:val="00DB03CC"/>
    <w:rsid w:val="00DB1FAA"/>
    <w:rsid w:val="00DB21D4"/>
    <w:rsid w:val="00DB2F89"/>
    <w:rsid w:val="00DB3FE5"/>
    <w:rsid w:val="00DB41D4"/>
    <w:rsid w:val="00DB458C"/>
    <w:rsid w:val="00DB4A73"/>
    <w:rsid w:val="00DB5D0B"/>
    <w:rsid w:val="00DC00D7"/>
    <w:rsid w:val="00DC1698"/>
    <w:rsid w:val="00DC3102"/>
    <w:rsid w:val="00DC3499"/>
    <w:rsid w:val="00DC4EFD"/>
    <w:rsid w:val="00DC5BDC"/>
    <w:rsid w:val="00DC5E8F"/>
    <w:rsid w:val="00DC6D63"/>
    <w:rsid w:val="00DC7D03"/>
    <w:rsid w:val="00DD05DE"/>
    <w:rsid w:val="00DD1675"/>
    <w:rsid w:val="00DD311F"/>
    <w:rsid w:val="00DD4C88"/>
    <w:rsid w:val="00DD503A"/>
    <w:rsid w:val="00DD77AA"/>
    <w:rsid w:val="00DD7D49"/>
    <w:rsid w:val="00DE0098"/>
    <w:rsid w:val="00DE07B5"/>
    <w:rsid w:val="00DE2707"/>
    <w:rsid w:val="00DE2C4F"/>
    <w:rsid w:val="00DE34F9"/>
    <w:rsid w:val="00DE5E08"/>
    <w:rsid w:val="00DE5F5C"/>
    <w:rsid w:val="00DE692B"/>
    <w:rsid w:val="00DE6A1C"/>
    <w:rsid w:val="00DE6DCD"/>
    <w:rsid w:val="00DE7799"/>
    <w:rsid w:val="00DF03C5"/>
    <w:rsid w:val="00DF13AD"/>
    <w:rsid w:val="00DF1F26"/>
    <w:rsid w:val="00DF24B2"/>
    <w:rsid w:val="00DF255A"/>
    <w:rsid w:val="00DF514F"/>
    <w:rsid w:val="00E00908"/>
    <w:rsid w:val="00E00CCB"/>
    <w:rsid w:val="00E01BDC"/>
    <w:rsid w:val="00E02A60"/>
    <w:rsid w:val="00E039CE"/>
    <w:rsid w:val="00E06B06"/>
    <w:rsid w:val="00E1102D"/>
    <w:rsid w:val="00E125C2"/>
    <w:rsid w:val="00E128AA"/>
    <w:rsid w:val="00E146EB"/>
    <w:rsid w:val="00E15119"/>
    <w:rsid w:val="00E153C5"/>
    <w:rsid w:val="00E153D9"/>
    <w:rsid w:val="00E173B7"/>
    <w:rsid w:val="00E17979"/>
    <w:rsid w:val="00E24A20"/>
    <w:rsid w:val="00E24CCE"/>
    <w:rsid w:val="00E250B5"/>
    <w:rsid w:val="00E251B8"/>
    <w:rsid w:val="00E25B47"/>
    <w:rsid w:val="00E26DCE"/>
    <w:rsid w:val="00E30360"/>
    <w:rsid w:val="00E30658"/>
    <w:rsid w:val="00E3085F"/>
    <w:rsid w:val="00E30CC8"/>
    <w:rsid w:val="00E3295E"/>
    <w:rsid w:val="00E3327F"/>
    <w:rsid w:val="00E345C5"/>
    <w:rsid w:val="00E35F68"/>
    <w:rsid w:val="00E3662F"/>
    <w:rsid w:val="00E377A3"/>
    <w:rsid w:val="00E4013C"/>
    <w:rsid w:val="00E40404"/>
    <w:rsid w:val="00E40486"/>
    <w:rsid w:val="00E40858"/>
    <w:rsid w:val="00E41A5E"/>
    <w:rsid w:val="00E41B32"/>
    <w:rsid w:val="00E428AB"/>
    <w:rsid w:val="00E43C14"/>
    <w:rsid w:val="00E45319"/>
    <w:rsid w:val="00E45641"/>
    <w:rsid w:val="00E45DBF"/>
    <w:rsid w:val="00E467BE"/>
    <w:rsid w:val="00E468C7"/>
    <w:rsid w:val="00E46A66"/>
    <w:rsid w:val="00E472B8"/>
    <w:rsid w:val="00E47756"/>
    <w:rsid w:val="00E47D23"/>
    <w:rsid w:val="00E47DAC"/>
    <w:rsid w:val="00E50820"/>
    <w:rsid w:val="00E513FD"/>
    <w:rsid w:val="00E51A07"/>
    <w:rsid w:val="00E54098"/>
    <w:rsid w:val="00E55BEE"/>
    <w:rsid w:val="00E55E19"/>
    <w:rsid w:val="00E604C0"/>
    <w:rsid w:val="00E62FAF"/>
    <w:rsid w:val="00E6523E"/>
    <w:rsid w:val="00E652A7"/>
    <w:rsid w:val="00E657FF"/>
    <w:rsid w:val="00E662E6"/>
    <w:rsid w:val="00E6635C"/>
    <w:rsid w:val="00E67C0D"/>
    <w:rsid w:val="00E74801"/>
    <w:rsid w:val="00E74F19"/>
    <w:rsid w:val="00E767C4"/>
    <w:rsid w:val="00E76D4A"/>
    <w:rsid w:val="00E77629"/>
    <w:rsid w:val="00E8161D"/>
    <w:rsid w:val="00E83470"/>
    <w:rsid w:val="00E83B4A"/>
    <w:rsid w:val="00E83FAD"/>
    <w:rsid w:val="00E83FFE"/>
    <w:rsid w:val="00E85E80"/>
    <w:rsid w:val="00E86253"/>
    <w:rsid w:val="00E86FD4"/>
    <w:rsid w:val="00E87706"/>
    <w:rsid w:val="00E915C5"/>
    <w:rsid w:val="00E922D3"/>
    <w:rsid w:val="00E924C7"/>
    <w:rsid w:val="00E9256E"/>
    <w:rsid w:val="00E92F68"/>
    <w:rsid w:val="00E944F9"/>
    <w:rsid w:val="00E95743"/>
    <w:rsid w:val="00E95812"/>
    <w:rsid w:val="00E95B4D"/>
    <w:rsid w:val="00E95F13"/>
    <w:rsid w:val="00E960CB"/>
    <w:rsid w:val="00E962C2"/>
    <w:rsid w:val="00EA04F5"/>
    <w:rsid w:val="00EA3610"/>
    <w:rsid w:val="00EA4530"/>
    <w:rsid w:val="00EA5009"/>
    <w:rsid w:val="00EA6583"/>
    <w:rsid w:val="00EA6778"/>
    <w:rsid w:val="00EA6E75"/>
    <w:rsid w:val="00EA7ECA"/>
    <w:rsid w:val="00EB017A"/>
    <w:rsid w:val="00EB09CF"/>
    <w:rsid w:val="00EB115D"/>
    <w:rsid w:val="00EB28DA"/>
    <w:rsid w:val="00EB347B"/>
    <w:rsid w:val="00EB3753"/>
    <w:rsid w:val="00EB3A61"/>
    <w:rsid w:val="00EB4BBD"/>
    <w:rsid w:val="00EB5464"/>
    <w:rsid w:val="00EB6401"/>
    <w:rsid w:val="00EC1542"/>
    <w:rsid w:val="00EC16A8"/>
    <w:rsid w:val="00EC269D"/>
    <w:rsid w:val="00EC2E2C"/>
    <w:rsid w:val="00EC49B2"/>
    <w:rsid w:val="00EC510F"/>
    <w:rsid w:val="00EC598E"/>
    <w:rsid w:val="00EC5A9B"/>
    <w:rsid w:val="00EC5ED7"/>
    <w:rsid w:val="00ED1C4B"/>
    <w:rsid w:val="00ED2A60"/>
    <w:rsid w:val="00ED2F04"/>
    <w:rsid w:val="00ED3FED"/>
    <w:rsid w:val="00ED412E"/>
    <w:rsid w:val="00EE4653"/>
    <w:rsid w:val="00EE4AAB"/>
    <w:rsid w:val="00EE4E2B"/>
    <w:rsid w:val="00EE5CBB"/>
    <w:rsid w:val="00EE692B"/>
    <w:rsid w:val="00EE7090"/>
    <w:rsid w:val="00EE7610"/>
    <w:rsid w:val="00EF1757"/>
    <w:rsid w:val="00EF27CF"/>
    <w:rsid w:val="00EF4B11"/>
    <w:rsid w:val="00EF778C"/>
    <w:rsid w:val="00F0158B"/>
    <w:rsid w:val="00F02779"/>
    <w:rsid w:val="00F030F5"/>
    <w:rsid w:val="00F036F7"/>
    <w:rsid w:val="00F049FC"/>
    <w:rsid w:val="00F04D40"/>
    <w:rsid w:val="00F0529C"/>
    <w:rsid w:val="00F06194"/>
    <w:rsid w:val="00F06291"/>
    <w:rsid w:val="00F06CC2"/>
    <w:rsid w:val="00F072AF"/>
    <w:rsid w:val="00F10F3E"/>
    <w:rsid w:val="00F11C6D"/>
    <w:rsid w:val="00F126E2"/>
    <w:rsid w:val="00F12850"/>
    <w:rsid w:val="00F13041"/>
    <w:rsid w:val="00F131FB"/>
    <w:rsid w:val="00F1358C"/>
    <w:rsid w:val="00F13F21"/>
    <w:rsid w:val="00F14C71"/>
    <w:rsid w:val="00F1628C"/>
    <w:rsid w:val="00F16FA4"/>
    <w:rsid w:val="00F17143"/>
    <w:rsid w:val="00F17AEF"/>
    <w:rsid w:val="00F20690"/>
    <w:rsid w:val="00F21470"/>
    <w:rsid w:val="00F225AA"/>
    <w:rsid w:val="00F22759"/>
    <w:rsid w:val="00F22E75"/>
    <w:rsid w:val="00F23BDE"/>
    <w:rsid w:val="00F23DB4"/>
    <w:rsid w:val="00F24D1B"/>
    <w:rsid w:val="00F26879"/>
    <w:rsid w:val="00F26D47"/>
    <w:rsid w:val="00F275A6"/>
    <w:rsid w:val="00F27D00"/>
    <w:rsid w:val="00F32790"/>
    <w:rsid w:val="00F3537A"/>
    <w:rsid w:val="00F35FDF"/>
    <w:rsid w:val="00F360C3"/>
    <w:rsid w:val="00F3640E"/>
    <w:rsid w:val="00F4390C"/>
    <w:rsid w:val="00F43B61"/>
    <w:rsid w:val="00F43DED"/>
    <w:rsid w:val="00F43E47"/>
    <w:rsid w:val="00F44758"/>
    <w:rsid w:val="00F450F8"/>
    <w:rsid w:val="00F45796"/>
    <w:rsid w:val="00F45CAD"/>
    <w:rsid w:val="00F45EB6"/>
    <w:rsid w:val="00F46572"/>
    <w:rsid w:val="00F50111"/>
    <w:rsid w:val="00F50A6F"/>
    <w:rsid w:val="00F51D6B"/>
    <w:rsid w:val="00F52E2D"/>
    <w:rsid w:val="00F52E69"/>
    <w:rsid w:val="00F54200"/>
    <w:rsid w:val="00F54574"/>
    <w:rsid w:val="00F54E0C"/>
    <w:rsid w:val="00F55F02"/>
    <w:rsid w:val="00F56216"/>
    <w:rsid w:val="00F562C2"/>
    <w:rsid w:val="00F568A9"/>
    <w:rsid w:val="00F60F29"/>
    <w:rsid w:val="00F61821"/>
    <w:rsid w:val="00F62041"/>
    <w:rsid w:val="00F64257"/>
    <w:rsid w:val="00F652FE"/>
    <w:rsid w:val="00F65E1A"/>
    <w:rsid w:val="00F674D3"/>
    <w:rsid w:val="00F67C53"/>
    <w:rsid w:val="00F7122C"/>
    <w:rsid w:val="00F7331C"/>
    <w:rsid w:val="00F76049"/>
    <w:rsid w:val="00F804CD"/>
    <w:rsid w:val="00F80FF2"/>
    <w:rsid w:val="00F815CB"/>
    <w:rsid w:val="00F816F8"/>
    <w:rsid w:val="00F838F3"/>
    <w:rsid w:val="00F84B0A"/>
    <w:rsid w:val="00F87A6E"/>
    <w:rsid w:val="00F915E0"/>
    <w:rsid w:val="00F91D21"/>
    <w:rsid w:val="00F928DA"/>
    <w:rsid w:val="00F92CD1"/>
    <w:rsid w:val="00F94075"/>
    <w:rsid w:val="00F94CBB"/>
    <w:rsid w:val="00F954CB"/>
    <w:rsid w:val="00F9617F"/>
    <w:rsid w:val="00F9629E"/>
    <w:rsid w:val="00F97D01"/>
    <w:rsid w:val="00F97ED6"/>
    <w:rsid w:val="00FA0112"/>
    <w:rsid w:val="00FA03E9"/>
    <w:rsid w:val="00FA09CD"/>
    <w:rsid w:val="00FA1BA0"/>
    <w:rsid w:val="00FA1EB7"/>
    <w:rsid w:val="00FA2730"/>
    <w:rsid w:val="00FA31EF"/>
    <w:rsid w:val="00FA43D0"/>
    <w:rsid w:val="00FA4520"/>
    <w:rsid w:val="00FA45BA"/>
    <w:rsid w:val="00FA4E52"/>
    <w:rsid w:val="00FA61ED"/>
    <w:rsid w:val="00FA64AC"/>
    <w:rsid w:val="00FA6926"/>
    <w:rsid w:val="00FB0A01"/>
    <w:rsid w:val="00FB2638"/>
    <w:rsid w:val="00FB37E4"/>
    <w:rsid w:val="00FB38E4"/>
    <w:rsid w:val="00FB39CC"/>
    <w:rsid w:val="00FB6437"/>
    <w:rsid w:val="00FB6C0D"/>
    <w:rsid w:val="00FB6EA9"/>
    <w:rsid w:val="00FC02F3"/>
    <w:rsid w:val="00FC07D3"/>
    <w:rsid w:val="00FC108F"/>
    <w:rsid w:val="00FC32BC"/>
    <w:rsid w:val="00FC468D"/>
    <w:rsid w:val="00FC4E55"/>
    <w:rsid w:val="00FC4EE4"/>
    <w:rsid w:val="00FC4FF5"/>
    <w:rsid w:val="00FC5690"/>
    <w:rsid w:val="00FD1408"/>
    <w:rsid w:val="00FD560E"/>
    <w:rsid w:val="00FD6C35"/>
    <w:rsid w:val="00FD7C43"/>
    <w:rsid w:val="00FE030B"/>
    <w:rsid w:val="00FE06DD"/>
    <w:rsid w:val="00FE13A1"/>
    <w:rsid w:val="00FE1BE2"/>
    <w:rsid w:val="00FE2023"/>
    <w:rsid w:val="00FE216A"/>
    <w:rsid w:val="00FE2961"/>
    <w:rsid w:val="00FE4121"/>
    <w:rsid w:val="00FE47F7"/>
    <w:rsid w:val="00FE589D"/>
    <w:rsid w:val="00FE655B"/>
    <w:rsid w:val="00FE657E"/>
    <w:rsid w:val="00FE66D3"/>
    <w:rsid w:val="00FE722D"/>
    <w:rsid w:val="00FE7529"/>
    <w:rsid w:val="00FE7AC3"/>
    <w:rsid w:val="00FF18DF"/>
    <w:rsid w:val="00FF274A"/>
    <w:rsid w:val="00FF36A1"/>
    <w:rsid w:val="00FF3CCE"/>
    <w:rsid w:val="00FF40FB"/>
    <w:rsid w:val="00FF4A51"/>
    <w:rsid w:val="00FF4CAA"/>
    <w:rsid w:val="00FF528A"/>
    <w:rsid w:val="00FF5FCF"/>
    <w:rsid w:val="00FF7A21"/>
    <w:rsid w:val="00FF7D38"/>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956AFF1"/>
  <w14:defaultImageDpi w14:val="0"/>
  <w15:docId w15:val="{49CCB5B8-F1BE-4320-B937-47BFD798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767A3"/>
    <w:pPr>
      <w:spacing w:after="160" w:line="252" w:lineRule="auto"/>
      <w:jc w:val="both"/>
    </w:pPr>
    <w:rPr>
      <w:rFonts w:ascii="Times New Roman" w:hAnsi="Times New Roman"/>
      <w:color w:val="000000"/>
      <w:sz w:val="24"/>
      <w:szCs w:val="22"/>
    </w:rPr>
  </w:style>
  <w:style w:type="paragraph" w:styleId="Nadpis1">
    <w:name w:val="heading 1"/>
    <w:basedOn w:val="Normlny"/>
    <w:next w:val="Normlny"/>
    <w:link w:val="Nadpis1Char"/>
    <w:uiPriority w:val="9"/>
    <w:qFormat/>
    <w:rsid w:val="00B53123"/>
    <w:pPr>
      <w:spacing w:after="0" w:line="240" w:lineRule="auto"/>
      <w:jc w:val="center"/>
      <w:outlineLvl w:val="0"/>
    </w:pPr>
    <w:rPr>
      <w:b/>
    </w:rPr>
  </w:style>
  <w:style w:type="paragraph" w:styleId="Nadpis2">
    <w:name w:val="heading 2"/>
    <w:basedOn w:val="Normlny"/>
    <w:next w:val="Normlny"/>
    <w:link w:val="Nadpis2Char"/>
    <w:uiPriority w:val="9"/>
    <w:unhideWhenUsed/>
    <w:qFormat/>
    <w:rsid w:val="00F225AA"/>
    <w:pPr>
      <w:keepNext/>
      <w:spacing w:before="240" w:after="60"/>
      <w:outlineLvl w:val="1"/>
    </w:pPr>
    <w:rPr>
      <w:b/>
      <w:bCs/>
      <w:iCs/>
      <w:szCs w:val="28"/>
    </w:rPr>
  </w:style>
  <w:style w:type="paragraph" w:styleId="Nadpis3">
    <w:name w:val="heading 3"/>
    <w:basedOn w:val="Normlny"/>
    <w:next w:val="Normlny"/>
    <w:link w:val="Nadpis3Char"/>
    <w:uiPriority w:val="9"/>
    <w:unhideWhenUsed/>
    <w:qFormat/>
    <w:rsid w:val="00B53123"/>
    <w:pPr>
      <w:keepNext/>
      <w:spacing w:after="0" w:line="240" w:lineRule="auto"/>
      <w:outlineLvl w:val="2"/>
    </w:pPr>
    <w:rPr>
      <w:b/>
      <w:bCs/>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425141"/>
    <w:rPr>
      <w:rFonts w:ascii="Times New Roman" w:hAnsi="Times New Roman" w:cs="Times New Roman"/>
      <w:b/>
      <w:color w:val="000000"/>
      <w:sz w:val="22"/>
      <w:szCs w:val="22"/>
    </w:rPr>
  </w:style>
  <w:style w:type="character" w:customStyle="1" w:styleId="Nadpis2Char">
    <w:name w:val="Nadpis 2 Char"/>
    <w:basedOn w:val="Predvolenpsmoodseku"/>
    <w:link w:val="Nadpis2"/>
    <w:uiPriority w:val="9"/>
    <w:locked/>
    <w:rsid w:val="00F225AA"/>
    <w:rPr>
      <w:rFonts w:ascii="Times New Roman" w:hAnsi="Times New Roman" w:cs="Times New Roman"/>
      <w:b/>
      <w:sz w:val="28"/>
      <w:lang w:val="x-none" w:eastAsia="en-US"/>
    </w:rPr>
  </w:style>
  <w:style w:type="character" w:customStyle="1" w:styleId="Nadpis3Char">
    <w:name w:val="Nadpis 3 Char"/>
    <w:basedOn w:val="Predvolenpsmoodseku"/>
    <w:link w:val="Nadpis3"/>
    <w:uiPriority w:val="9"/>
    <w:locked/>
    <w:rsid w:val="00B53123"/>
    <w:rPr>
      <w:rFonts w:ascii="Times New Roman" w:hAnsi="Times New Roman"/>
      <w:b/>
      <w:bCs/>
      <w:color w:val="000000"/>
      <w:sz w:val="24"/>
      <w:szCs w:val="26"/>
    </w:rPr>
  </w:style>
  <w:style w:type="paragraph" w:styleId="Normlnywebov">
    <w:name w:val="Normal (Web)"/>
    <w:aliases w:val="webb,Normálny (WWW)"/>
    <w:basedOn w:val="Normlny"/>
    <w:link w:val="NormlnywebovChar"/>
    <w:uiPriority w:val="99"/>
    <w:unhideWhenUsed/>
    <w:qFormat/>
    <w:rsid w:val="0073084B"/>
    <w:pPr>
      <w:spacing w:before="100" w:beforeAutospacing="1" w:after="100" w:afterAutospacing="1" w:line="240" w:lineRule="auto"/>
    </w:pPr>
    <w:rPr>
      <w:szCs w:val="24"/>
    </w:rPr>
  </w:style>
  <w:style w:type="paragraph" w:styleId="Nzov">
    <w:name w:val="Title"/>
    <w:basedOn w:val="Normlny"/>
    <w:link w:val="NzovChar"/>
    <w:uiPriority w:val="10"/>
    <w:qFormat/>
    <w:rsid w:val="0073084B"/>
    <w:pPr>
      <w:spacing w:after="0" w:line="240" w:lineRule="auto"/>
      <w:jc w:val="center"/>
    </w:pPr>
    <w:rPr>
      <w:sz w:val="20"/>
      <w:szCs w:val="20"/>
      <w:lang w:eastAsia="cs-CZ"/>
    </w:rPr>
  </w:style>
  <w:style w:type="character" w:customStyle="1" w:styleId="NzovChar">
    <w:name w:val="Názov Char"/>
    <w:basedOn w:val="Predvolenpsmoodseku"/>
    <w:link w:val="Nzov"/>
    <w:uiPriority w:val="10"/>
    <w:locked/>
    <w:rsid w:val="0073084B"/>
    <w:rPr>
      <w:rFonts w:ascii="Times New Roman" w:hAnsi="Times New Roman" w:cs="Times New Roman"/>
      <w:lang w:val="x-none" w:eastAsia="cs-CZ"/>
    </w:rPr>
  </w:style>
  <w:style w:type="character" w:styleId="Zstupntext">
    <w:name w:val="Placeholder Text"/>
    <w:basedOn w:val="Predvolenpsmoodseku"/>
    <w:uiPriority w:val="99"/>
    <w:rsid w:val="007A5CBE"/>
    <w:rPr>
      <w:rFonts w:ascii="Times New Roman" w:hAnsi="Times New Roman" w:cs="Times New Roman"/>
      <w:color w:val="808080"/>
    </w:rPr>
  </w:style>
  <w:style w:type="paragraph" w:customStyle="1" w:styleId="Zakladnystyl">
    <w:name w:val="Zakladny styl"/>
    <w:rsid w:val="0073084B"/>
    <w:rPr>
      <w:rFonts w:ascii="Times New Roman" w:hAnsi="Times New Roman" w:cs="Times New Roman"/>
      <w:sz w:val="24"/>
      <w:szCs w:val="24"/>
    </w:rPr>
  </w:style>
  <w:style w:type="paragraph" w:styleId="Bezriadkovania">
    <w:name w:val="No Spacing"/>
    <w:aliases w:val="ZVYRAZNENIE,Clips Body,ARTICLE TEXT,Medium Grid 21,Spacing,ISSUE AREA,Bez riadkovania1"/>
    <w:link w:val="BezriadkovaniaChar"/>
    <w:uiPriority w:val="1"/>
    <w:qFormat/>
    <w:rsid w:val="00EE4E2B"/>
    <w:rPr>
      <w:rFonts w:cs="Times New Roman"/>
      <w:sz w:val="22"/>
      <w:szCs w:val="22"/>
      <w:lang w:eastAsia="en-US"/>
    </w:rPr>
  </w:style>
  <w:style w:type="character" w:customStyle="1" w:styleId="BezriadkovaniaChar">
    <w:name w:val="Bez riadkovania Char"/>
    <w:aliases w:val="ZVYRAZNENIE Char,Clips Body Char,ARTICLE TEXT Char,Medium Grid 21 Char,Spacing Char,ISSUE AREA Char,Bez riadkovania1 Char"/>
    <w:link w:val="Bezriadkovania"/>
    <w:uiPriority w:val="1"/>
    <w:locked/>
    <w:rsid w:val="00EE4E2B"/>
    <w:rPr>
      <w:sz w:val="22"/>
      <w:lang w:val="x-none" w:eastAsia="en-US"/>
    </w:rPr>
  </w:style>
  <w:style w:type="paragraph" w:styleId="Hlavika">
    <w:name w:val="header"/>
    <w:basedOn w:val="Normlny"/>
    <w:link w:val="HlavikaChar"/>
    <w:uiPriority w:val="99"/>
    <w:unhideWhenUsed/>
    <w:rsid w:val="00291943"/>
    <w:pPr>
      <w:tabs>
        <w:tab w:val="center" w:pos="4536"/>
        <w:tab w:val="right" w:pos="9072"/>
      </w:tabs>
    </w:pPr>
  </w:style>
  <w:style w:type="character" w:customStyle="1" w:styleId="HlavikaChar">
    <w:name w:val="Hlavička Char"/>
    <w:basedOn w:val="Predvolenpsmoodseku"/>
    <w:link w:val="Hlavika"/>
    <w:uiPriority w:val="99"/>
    <w:locked/>
    <w:rsid w:val="00291943"/>
    <w:rPr>
      <w:rFonts w:cs="Times New Roman"/>
      <w:sz w:val="22"/>
      <w:lang w:val="x-none" w:eastAsia="en-US"/>
    </w:rPr>
  </w:style>
  <w:style w:type="paragraph" w:styleId="Pta">
    <w:name w:val="footer"/>
    <w:basedOn w:val="Normlny"/>
    <w:link w:val="PtaChar"/>
    <w:uiPriority w:val="99"/>
    <w:unhideWhenUsed/>
    <w:rsid w:val="00291943"/>
    <w:pPr>
      <w:tabs>
        <w:tab w:val="center" w:pos="4536"/>
        <w:tab w:val="right" w:pos="9072"/>
      </w:tabs>
    </w:pPr>
  </w:style>
  <w:style w:type="character" w:customStyle="1" w:styleId="PtaChar">
    <w:name w:val="Päta Char"/>
    <w:basedOn w:val="Predvolenpsmoodseku"/>
    <w:link w:val="Pta"/>
    <w:uiPriority w:val="99"/>
    <w:locked/>
    <w:rsid w:val="00291943"/>
    <w:rPr>
      <w:rFonts w:cs="Times New Roman"/>
      <w:sz w:val="22"/>
      <w:lang w:val="x-none" w:eastAsia="en-US"/>
    </w:rPr>
  </w:style>
  <w:style w:type="paragraph" w:customStyle="1" w:styleId="Default">
    <w:name w:val="Default"/>
    <w:qFormat/>
    <w:rsid w:val="00425141"/>
    <w:pPr>
      <w:autoSpaceDE w:val="0"/>
      <w:autoSpaceDN w:val="0"/>
      <w:adjustRightInd w:val="0"/>
      <w:jc w:val="both"/>
    </w:pPr>
    <w:rPr>
      <w:rFonts w:ascii="Times New Roman" w:hAnsi="Times New Roman" w:cs="Times New Roman"/>
      <w:color w:val="000000"/>
      <w:sz w:val="24"/>
      <w:szCs w:val="24"/>
    </w:rPr>
  </w:style>
  <w:style w:type="character" w:styleId="Zvraznenie">
    <w:name w:val="Emphasis"/>
    <w:basedOn w:val="Predvolenpsmoodseku"/>
    <w:uiPriority w:val="20"/>
    <w:qFormat/>
    <w:rsid w:val="007A5CBE"/>
    <w:rPr>
      <w:rFonts w:cs="Times New Roman"/>
      <w:i/>
    </w:rPr>
  </w:style>
  <w:style w:type="character" w:styleId="Hypertextovprepojenie">
    <w:name w:val="Hyperlink"/>
    <w:basedOn w:val="Predvolenpsmoodseku"/>
    <w:uiPriority w:val="99"/>
    <w:unhideWhenUsed/>
    <w:rsid w:val="007A5CBE"/>
    <w:rPr>
      <w:rFonts w:cs="Times New Roman"/>
      <w:color w:val="0000FF"/>
      <w:u w:val="single"/>
    </w:rPr>
  </w:style>
  <w:style w:type="paragraph" w:styleId="Odsekzoznamu">
    <w:name w:val="List Paragraph"/>
    <w:aliases w:val="Dot pt,No Spacing1,List Paragraph Char Char Char,Indicator Text,Numbered Para 1,List Paragraph à moi,Odsek zoznamu4,LISTA,List Paragraph1,Listaszerû bekezdés2,Listaszerû bekezdés3,Listaszerû bekezdés1,Bullet 1,Bullet Points,MAIN CONTENT,3"/>
    <w:basedOn w:val="Normlny"/>
    <w:link w:val="OdsekzoznamuChar"/>
    <w:uiPriority w:val="34"/>
    <w:qFormat/>
    <w:rsid w:val="007A5CBE"/>
    <w:pPr>
      <w:spacing w:line="259" w:lineRule="auto"/>
      <w:ind w:left="720"/>
      <w:contextualSpacing/>
    </w:pPr>
  </w:style>
  <w:style w:type="character" w:customStyle="1" w:styleId="OdsekzoznamuChar">
    <w:name w:val="Odsek zoznamu Char"/>
    <w:aliases w:val="Dot pt Char,No Spacing1 Char,List Paragraph Char Char Char Char,Indicator Text Char,Numbered Para 1 Char,List Paragraph à moi Char,Odsek zoznamu4 Char,LISTA Char,List Paragraph1 Char,Listaszerû bekezdés2 Char,Listaszerû bekezdés3 Char"/>
    <w:link w:val="Odsekzoznamu"/>
    <w:uiPriority w:val="34"/>
    <w:qFormat/>
    <w:locked/>
    <w:rsid w:val="007A5CBE"/>
    <w:rPr>
      <w:sz w:val="22"/>
      <w:lang w:val="x-none" w:eastAsia="en-US"/>
    </w:rPr>
  </w:style>
  <w:style w:type="character" w:customStyle="1" w:styleId="spanr">
    <w:name w:val="span_r"/>
    <w:rsid w:val="007A5CBE"/>
  </w:style>
  <w:style w:type="paragraph" w:styleId="Textpoznmkypodiarou">
    <w:name w:val="footnote text"/>
    <w:basedOn w:val="Normlny"/>
    <w:link w:val="TextpoznmkypodiarouChar"/>
    <w:unhideWhenUsed/>
    <w:rsid w:val="007A5CBE"/>
    <w:pPr>
      <w:spacing w:after="0" w:line="240" w:lineRule="auto"/>
    </w:pPr>
    <w:rPr>
      <w:rFonts w:ascii="Arial Narrow" w:hAnsi="Arial Narrow"/>
      <w:sz w:val="20"/>
      <w:szCs w:val="20"/>
    </w:rPr>
  </w:style>
  <w:style w:type="character" w:customStyle="1" w:styleId="TextpoznmkypodiarouChar">
    <w:name w:val="Text poznámky pod čiarou Char"/>
    <w:basedOn w:val="Predvolenpsmoodseku"/>
    <w:link w:val="Textpoznmkypodiarou"/>
    <w:locked/>
    <w:rsid w:val="007A5CBE"/>
    <w:rPr>
      <w:rFonts w:ascii="Arial Narrow" w:hAnsi="Arial Narrow" w:cs="Times New Roman"/>
      <w:lang w:val="x-none" w:eastAsia="en-US"/>
    </w:rPr>
  </w:style>
  <w:style w:type="character" w:styleId="Odkaznapoznmkupodiarou">
    <w:name w:val="footnote reference"/>
    <w:aliases w:val="Footnote Reference Number,Footnote Reference Superscript,BVI fnr,Footnote symbol,SUPERS,(Footnote Reference),Voetnootverwijzing,Times 10 Point,Exposant 3 Point,Footnote reference number,note TESI,Odwołanie przypisu"/>
    <w:basedOn w:val="Predvolenpsmoodseku"/>
    <w:unhideWhenUsed/>
    <w:rsid w:val="007A5CBE"/>
    <w:rPr>
      <w:rFonts w:cs="Times New Roman"/>
      <w:vertAlign w:val="superscript"/>
    </w:rPr>
  </w:style>
  <w:style w:type="character" w:styleId="Siln">
    <w:name w:val="Strong"/>
    <w:basedOn w:val="Predvolenpsmoodseku"/>
    <w:uiPriority w:val="22"/>
    <w:qFormat/>
    <w:rsid w:val="007A5CBE"/>
    <w:rPr>
      <w:rFonts w:cs="Times New Roman"/>
      <w:b/>
    </w:rPr>
  </w:style>
  <w:style w:type="paragraph" w:customStyle="1" w:styleId="playerscontent">
    <w:name w:val="players_content"/>
    <w:basedOn w:val="Normlny"/>
    <w:rsid w:val="007A5CBE"/>
    <w:pPr>
      <w:spacing w:before="100" w:beforeAutospacing="1" w:after="100" w:afterAutospacing="1" w:line="240" w:lineRule="auto"/>
    </w:pPr>
    <w:rPr>
      <w:szCs w:val="24"/>
    </w:rPr>
  </w:style>
  <w:style w:type="paragraph" w:styleId="Textbubliny">
    <w:name w:val="Balloon Text"/>
    <w:basedOn w:val="Normlny"/>
    <w:link w:val="TextbublinyChar"/>
    <w:uiPriority w:val="99"/>
    <w:semiHidden/>
    <w:unhideWhenUsed/>
    <w:rsid w:val="007A5CBE"/>
    <w:pPr>
      <w:spacing w:after="0" w:line="240" w:lineRule="auto"/>
    </w:pPr>
    <w:rPr>
      <w:rFonts w:ascii="Tahoma" w:hAnsi="Tahoma"/>
      <w:sz w:val="16"/>
      <w:szCs w:val="16"/>
    </w:rPr>
  </w:style>
  <w:style w:type="character" w:customStyle="1" w:styleId="TextbublinyChar">
    <w:name w:val="Text bubliny Char"/>
    <w:basedOn w:val="Predvolenpsmoodseku"/>
    <w:link w:val="Textbubliny"/>
    <w:uiPriority w:val="99"/>
    <w:semiHidden/>
    <w:locked/>
    <w:rsid w:val="007A5CBE"/>
    <w:rPr>
      <w:rFonts w:ascii="Tahoma" w:hAnsi="Tahoma" w:cs="Times New Roman"/>
      <w:sz w:val="16"/>
      <w:lang w:val="x-none" w:eastAsia="en-US"/>
    </w:rPr>
  </w:style>
  <w:style w:type="paragraph" w:customStyle="1" w:styleId="normal12hanging">
    <w:name w:val="normal12hanging"/>
    <w:basedOn w:val="Normlny"/>
    <w:uiPriority w:val="99"/>
    <w:rsid w:val="007A5CBE"/>
    <w:pPr>
      <w:spacing w:after="240" w:line="240" w:lineRule="auto"/>
      <w:ind w:left="357" w:hanging="357"/>
    </w:pPr>
    <w:rPr>
      <w:szCs w:val="24"/>
    </w:rPr>
  </w:style>
  <w:style w:type="paragraph" w:customStyle="1" w:styleId="tl1">
    <w:name w:val="Štýl1"/>
    <w:basedOn w:val="Normlny"/>
    <w:rsid w:val="007A5CBE"/>
    <w:pPr>
      <w:spacing w:after="0" w:line="240" w:lineRule="atLeast"/>
    </w:pPr>
    <w:rPr>
      <w:b/>
      <w:bCs/>
      <w:szCs w:val="20"/>
      <w:lang w:eastAsia="cs-CZ"/>
    </w:rPr>
  </w:style>
  <w:style w:type="paragraph" w:styleId="Zkladntext">
    <w:name w:val="Body Text"/>
    <w:basedOn w:val="Normlny"/>
    <w:link w:val="ZkladntextChar"/>
    <w:uiPriority w:val="99"/>
    <w:rsid w:val="007A5CBE"/>
    <w:pPr>
      <w:spacing w:after="120" w:line="240" w:lineRule="auto"/>
    </w:pPr>
    <w:rPr>
      <w:rFonts w:ascii="Arial" w:hAnsi="Arial"/>
      <w:szCs w:val="20"/>
      <w:lang w:eastAsia="cs-CZ"/>
    </w:rPr>
  </w:style>
  <w:style w:type="character" w:customStyle="1" w:styleId="ZkladntextChar">
    <w:name w:val="Základný text Char"/>
    <w:basedOn w:val="Predvolenpsmoodseku"/>
    <w:link w:val="Zkladntext"/>
    <w:uiPriority w:val="99"/>
    <w:locked/>
    <w:rsid w:val="007A5CBE"/>
    <w:rPr>
      <w:rFonts w:ascii="Arial" w:hAnsi="Arial" w:cs="Times New Roman"/>
      <w:sz w:val="24"/>
      <w:lang w:val="x-none" w:eastAsia="cs-CZ"/>
    </w:rPr>
  </w:style>
  <w:style w:type="paragraph" w:customStyle="1" w:styleId="CM1">
    <w:name w:val="CM1"/>
    <w:basedOn w:val="Normlny"/>
    <w:next w:val="Normlny"/>
    <w:uiPriority w:val="99"/>
    <w:rsid w:val="007A5CBE"/>
    <w:pPr>
      <w:autoSpaceDE w:val="0"/>
      <w:autoSpaceDN w:val="0"/>
      <w:adjustRightInd w:val="0"/>
      <w:spacing w:after="0" w:line="240" w:lineRule="auto"/>
    </w:pPr>
    <w:rPr>
      <w:rFonts w:ascii="EUAlbertina" w:hAnsi="EUAlbertina"/>
      <w:szCs w:val="24"/>
    </w:rPr>
  </w:style>
  <w:style w:type="character" w:customStyle="1" w:styleId="hps">
    <w:name w:val="hps"/>
    <w:rsid w:val="007A5CBE"/>
  </w:style>
  <w:style w:type="character" w:customStyle="1" w:styleId="shorttext">
    <w:name w:val="short_text"/>
    <w:rsid w:val="007A5CBE"/>
  </w:style>
  <w:style w:type="character" w:customStyle="1" w:styleId="notranslate">
    <w:name w:val="notranslate"/>
    <w:rsid w:val="007A5CBE"/>
  </w:style>
  <w:style w:type="paragraph" w:customStyle="1" w:styleId="Pointabc">
    <w:name w:val="Point abc"/>
    <w:basedOn w:val="Normlny"/>
    <w:rsid w:val="007A5CBE"/>
    <w:pPr>
      <w:numPr>
        <w:ilvl w:val="1"/>
        <w:numId w:val="1"/>
      </w:numPr>
      <w:spacing w:before="200" w:after="0" w:line="240" w:lineRule="auto"/>
    </w:pPr>
    <w:rPr>
      <w:szCs w:val="24"/>
      <w:lang w:val="en-GB"/>
    </w:rPr>
  </w:style>
  <w:style w:type="paragraph" w:customStyle="1" w:styleId="Pointabc1">
    <w:name w:val="Point abc (1)"/>
    <w:basedOn w:val="Normlny"/>
    <w:rsid w:val="007A5CBE"/>
    <w:pPr>
      <w:numPr>
        <w:ilvl w:val="3"/>
        <w:numId w:val="1"/>
      </w:numPr>
      <w:spacing w:after="0" w:line="240" w:lineRule="auto"/>
      <w:outlineLvl w:val="0"/>
    </w:pPr>
    <w:rPr>
      <w:szCs w:val="24"/>
      <w:lang w:val="en-GB"/>
    </w:rPr>
  </w:style>
  <w:style w:type="paragraph" w:customStyle="1" w:styleId="Pointabc2">
    <w:name w:val="Point abc (2)"/>
    <w:basedOn w:val="Normlny"/>
    <w:rsid w:val="007A5CBE"/>
    <w:pPr>
      <w:numPr>
        <w:ilvl w:val="5"/>
        <w:numId w:val="1"/>
      </w:numPr>
      <w:spacing w:after="0" w:line="240" w:lineRule="auto"/>
      <w:outlineLvl w:val="1"/>
    </w:pPr>
    <w:rPr>
      <w:szCs w:val="24"/>
      <w:lang w:val="en-GB"/>
    </w:rPr>
  </w:style>
  <w:style w:type="paragraph" w:customStyle="1" w:styleId="Pointabc3">
    <w:name w:val="Point abc (3)"/>
    <w:basedOn w:val="Normlny"/>
    <w:rsid w:val="007A5CBE"/>
    <w:pPr>
      <w:numPr>
        <w:ilvl w:val="7"/>
        <w:numId w:val="1"/>
      </w:numPr>
      <w:spacing w:after="0" w:line="240" w:lineRule="auto"/>
      <w:outlineLvl w:val="2"/>
    </w:pPr>
    <w:rPr>
      <w:szCs w:val="24"/>
      <w:lang w:val="en-GB"/>
    </w:rPr>
  </w:style>
  <w:style w:type="paragraph" w:customStyle="1" w:styleId="Pointabc4">
    <w:name w:val="Point abc (4)"/>
    <w:basedOn w:val="Normlny"/>
    <w:rsid w:val="007A5CBE"/>
    <w:pPr>
      <w:numPr>
        <w:ilvl w:val="8"/>
        <w:numId w:val="1"/>
      </w:numPr>
      <w:spacing w:after="0" w:line="240" w:lineRule="auto"/>
      <w:outlineLvl w:val="3"/>
    </w:pPr>
    <w:rPr>
      <w:szCs w:val="24"/>
      <w:lang w:val="en-GB"/>
    </w:rPr>
  </w:style>
  <w:style w:type="paragraph" w:customStyle="1" w:styleId="Point123">
    <w:name w:val="Point 123"/>
    <w:basedOn w:val="Normlny"/>
    <w:rsid w:val="007A5CBE"/>
    <w:pPr>
      <w:numPr>
        <w:numId w:val="1"/>
      </w:numPr>
      <w:spacing w:before="200" w:after="0" w:line="240" w:lineRule="auto"/>
    </w:pPr>
    <w:rPr>
      <w:szCs w:val="24"/>
      <w:lang w:val="en-GB" w:eastAsia="fr-BE"/>
    </w:rPr>
  </w:style>
  <w:style w:type="paragraph" w:customStyle="1" w:styleId="Point1231">
    <w:name w:val="Point 123 (1)"/>
    <w:basedOn w:val="Normlny"/>
    <w:rsid w:val="007A5CBE"/>
    <w:pPr>
      <w:numPr>
        <w:ilvl w:val="2"/>
        <w:numId w:val="1"/>
      </w:numPr>
      <w:spacing w:after="0" w:line="240" w:lineRule="auto"/>
      <w:outlineLvl w:val="0"/>
    </w:pPr>
    <w:rPr>
      <w:szCs w:val="24"/>
      <w:lang w:val="en-GB"/>
    </w:rPr>
  </w:style>
  <w:style w:type="paragraph" w:customStyle="1" w:styleId="Point1232">
    <w:name w:val="Point 123 (2)"/>
    <w:basedOn w:val="Normlny"/>
    <w:rsid w:val="007A5CBE"/>
    <w:pPr>
      <w:numPr>
        <w:ilvl w:val="4"/>
        <w:numId w:val="1"/>
      </w:numPr>
      <w:spacing w:after="0" w:line="240" w:lineRule="auto"/>
      <w:outlineLvl w:val="1"/>
    </w:pPr>
    <w:rPr>
      <w:szCs w:val="24"/>
      <w:lang w:val="en-GB"/>
    </w:rPr>
  </w:style>
  <w:style w:type="paragraph" w:customStyle="1" w:styleId="Point1233">
    <w:name w:val="Point 123 (3)"/>
    <w:basedOn w:val="Normlny"/>
    <w:rsid w:val="007A5CBE"/>
    <w:pPr>
      <w:numPr>
        <w:ilvl w:val="6"/>
        <w:numId w:val="1"/>
      </w:numPr>
      <w:spacing w:after="0" w:line="240" w:lineRule="auto"/>
      <w:outlineLvl w:val="2"/>
    </w:pPr>
    <w:rPr>
      <w:szCs w:val="24"/>
      <w:lang w:val="en-GB"/>
    </w:rPr>
  </w:style>
  <w:style w:type="paragraph" w:customStyle="1" w:styleId="PointManual">
    <w:name w:val="Point Manual"/>
    <w:basedOn w:val="Normlny"/>
    <w:rsid w:val="007A5CBE"/>
    <w:pPr>
      <w:spacing w:before="200" w:after="0" w:line="240" w:lineRule="auto"/>
      <w:ind w:left="567" w:hanging="567"/>
    </w:pPr>
    <w:rPr>
      <w:szCs w:val="24"/>
      <w:lang w:eastAsia="fr-BE"/>
    </w:rPr>
  </w:style>
  <w:style w:type="table" w:styleId="Mriekatabuky">
    <w:name w:val="Table Grid"/>
    <w:basedOn w:val="Normlnatabuka"/>
    <w:uiPriority w:val="39"/>
    <w:rsid w:val="007A5CB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2">
    <w:name w:val="Body Text Indent 2"/>
    <w:basedOn w:val="Normlny"/>
    <w:link w:val="Zarkazkladnhotextu2Char"/>
    <w:uiPriority w:val="99"/>
    <w:semiHidden/>
    <w:unhideWhenUsed/>
    <w:rsid w:val="007A5CBE"/>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7A5CBE"/>
    <w:rPr>
      <w:rFonts w:cs="Times New Roman"/>
      <w:sz w:val="22"/>
      <w:lang w:val="x-none" w:eastAsia="en-US"/>
    </w:rPr>
  </w:style>
  <w:style w:type="paragraph" w:customStyle="1" w:styleId="zakladnystyl0">
    <w:name w:val="zakladnystyl"/>
    <w:basedOn w:val="Normlny"/>
    <w:rsid w:val="007A5CBE"/>
    <w:pPr>
      <w:spacing w:before="100" w:beforeAutospacing="1" w:after="100" w:afterAutospacing="1" w:line="240" w:lineRule="auto"/>
    </w:pPr>
    <w:rPr>
      <w:rFonts w:ascii="Arial Unicode MS"/>
      <w:szCs w:val="24"/>
    </w:rPr>
  </w:style>
  <w:style w:type="character" w:customStyle="1" w:styleId="update1">
    <w:name w:val="update1"/>
    <w:rsid w:val="007A5CBE"/>
    <w:rPr>
      <w:color w:val="006666"/>
    </w:rPr>
  </w:style>
  <w:style w:type="paragraph" w:styleId="Zarkazkladnhotextu">
    <w:name w:val="Body Text Indent"/>
    <w:basedOn w:val="Normlny"/>
    <w:link w:val="ZarkazkladnhotextuChar"/>
    <w:uiPriority w:val="99"/>
    <w:unhideWhenUsed/>
    <w:rsid w:val="007A5CBE"/>
    <w:pPr>
      <w:spacing w:after="120"/>
      <w:ind w:left="283"/>
    </w:pPr>
  </w:style>
  <w:style w:type="character" w:customStyle="1" w:styleId="ZarkazkladnhotextuChar">
    <w:name w:val="Zarážka základného textu Char"/>
    <w:basedOn w:val="Predvolenpsmoodseku"/>
    <w:link w:val="Zarkazkladnhotextu"/>
    <w:uiPriority w:val="99"/>
    <w:locked/>
    <w:rsid w:val="007A5CBE"/>
    <w:rPr>
      <w:rFonts w:cs="Times New Roman"/>
      <w:sz w:val="22"/>
      <w:lang w:val="x-none" w:eastAsia="en-US"/>
    </w:rPr>
  </w:style>
  <w:style w:type="paragraph" w:customStyle="1" w:styleId="Vlada">
    <w:name w:val="Vlada"/>
    <w:basedOn w:val="Normlny"/>
    <w:rsid w:val="007A5CBE"/>
    <w:pPr>
      <w:autoSpaceDE w:val="0"/>
      <w:autoSpaceDN w:val="0"/>
      <w:adjustRightInd w:val="0"/>
      <w:spacing w:before="480" w:after="120" w:line="240" w:lineRule="auto"/>
    </w:pPr>
    <w:rPr>
      <w:b/>
      <w:bCs/>
      <w:sz w:val="32"/>
      <w:szCs w:val="32"/>
      <w:lang w:eastAsia="cs-CZ"/>
    </w:rPr>
  </w:style>
  <w:style w:type="character" w:styleId="Odkaznakomentr">
    <w:name w:val="annotation reference"/>
    <w:basedOn w:val="Predvolenpsmoodseku"/>
    <w:uiPriority w:val="99"/>
    <w:semiHidden/>
    <w:unhideWhenUsed/>
    <w:rsid w:val="007A5CBE"/>
    <w:rPr>
      <w:rFonts w:cs="Times New Roman"/>
      <w:sz w:val="16"/>
    </w:rPr>
  </w:style>
  <w:style w:type="paragraph" w:styleId="Textkomentra">
    <w:name w:val="annotation text"/>
    <w:basedOn w:val="Normlny"/>
    <w:link w:val="TextkomentraChar"/>
    <w:uiPriority w:val="99"/>
    <w:unhideWhenUsed/>
    <w:rsid w:val="007A5CBE"/>
    <w:rPr>
      <w:sz w:val="20"/>
      <w:szCs w:val="20"/>
    </w:rPr>
  </w:style>
  <w:style w:type="character" w:customStyle="1" w:styleId="TextkomentraChar">
    <w:name w:val="Text komentára Char"/>
    <w:basedOn w:val="Predvolenpsmoodseku"/>
    <w:link w:val="Textkomentra"/>
    <w:uiPriority w:val="99"/>
    <w:locked/>
    <w:rsid w:val="007A5CBE"/>
    <w:rPr>
      <w:rFonts w:cs="Times New Roman"/>
      <w:lang w:val="x-none" w:eastAsia="en-US"/>
    </w:rPr>
  </w:style>
  <w:style w:type="paragraph" w:styleId="Predmetkomentra">
    <w:name w:val="annotation subject"/>
    <w:basedOn w:val="Textkomentra"/>
    <w:next w:val="Textkomentra"/>
    <w:link w:val="PredmetkomentraChar"/>
    <w:uiPriority w:val="99"/>
    <w:semiHidden/>
    <w:unhideWhenUsed/>
    <w:rsid w:val="007A5CBE"/>
    <w:rPr>
      <w:b/>
      <w:bCs/>
    </w:rPr>
  </w:style>
  <w:style w:type="character" w:customStyle="1" w:styleId="PredmetkomentraChar">
    <w:name w:val="Predmet komentára Char"/>
    <w:basedOn w:val="TextkomentraChar"/>
    <w:link w:val="Predmetkomentra"/>
    <w:uiPriority w:val="99"/>
    <w:semiHidden/>
    <w:locked/>
    <w:rsid w:val="007A5CBE"/>
    <w:rPr>
      <w:rFonts w:cs="Times New Roman"/>
      <w:b/>
      <w:lang w:val="x-none" w:eastAsia="en-US"/>
    </w:rPr>
  </w:style>
  <w:style w:type="character" w:customStyle="1" w:styleId="apple-converted-space">
    <w:name w:val="apple-converted-space"/>
    <w:rsid w:val="000F2515"/>
  </w:style>
  <w:style w:type="paragraph" w:customStyle="1" w:styleId="Textvysvetlivky1">
    <w:name w:val="Text vysvetlivky1"/>
    <w:basedOn w:val="Normlny"/>
    <w:next w:val="Textvysvetlivky"/>
    <w:link w:val="TextvysvetlivkyChar"/>
    <w:uiPriority w:val="99"/>
    <w:unhideWhenUsed/>
    <w:rsid w:val="000F2515"/>
    <w:pPr>
      <w:spacing w:after="0" w:line="240" w:lineRule="auto"/>
    </w:pPr>
    <w:rPr>
      <w:sz w:val="20"/>
      <w:szCs w:val="20"/>
    </w:rPr>
  </w:style>
  <w:style w:type="paragraph" w:styleId="Textvysvetlivky">
    <w:name w:val="endnote text"/>
    <w:basedOn w:val="Normlny"/>
    <w:link w:val="TextvysvetlivkyChar1"/>
    <w:uiPriority w:val="99"/>
    <w:semiHidden/>
    <w:unhideWhenUsed/>
    <w:rsid w:val="000F2515"/>
    <w:rPr>
      <w:sz w:val="20"/>
      <w:szCs w:val="20"/>
    </w:rPr>
  </w:style>
  <w:style w:type="character" w:customStyle="1" w:styleId="TextvysvetlivkyChar">
    <w:name w:val="Text vysvetlivky Char"/>
    <w:basedOn w:val="Predvolenpsmoodseku"/>
    <w:link w:val="Textvysvetlivky1"/>
    <w:uiPriority w:val="99"/>
    <w:locked/>
    <w:rsid w:val="000F2515"/>
    <w:rPr>
      <w:rFonts w:cs="Times New Roman"/>
      <w:lang w:val="x-none" w:eastAsia="en-US"/>
    </w:rPr>
  </w:style>
  <w:style w:type="character" w:customStyle="1" w:styleId="TextvysvetlivkyChar1">
    <w:name w:val="Text vysvetlivky Char1"/>
    <w:link w:val="Textvysvetlivky"/>
    <w:uiPriority w:val="99"/>
    <w:semiHidden/>
    <w:locked/>
    <w:rsid w:val="000F2515"/>
    <w:rPr>
      <w:lang w:val="x-none" w:eastAsia="en-US"/>
    </w:rPr>
  </w:style>
  <w:style w:type="paragraph" w:styleId="Obsah1">
    <w:name w:val="toc 1"/>
    <w:basedOn w:val="Normlny"/>
    <w:next w:val="Normlny"/>
    <w:autoRedefine/>
    <w:uiPriority w:val="39"/>
    <w:unhideWhenUsed/>
    <w:rsid w:val="00732DC0"/>
    <w:pPr>
      <w:tabs>
        <w:tab w:val="right" w:leader="dot" w:pos="8931"/>
      </w:tabs>
      <w:spacing w:line="240" w:lineRule="auto"/>
    </w:pPr>
  </w:style>
  <w:style w:type="paragraph" w:styleId="Obyajntext">
    <w:name w:val="Plain Text"/>
    <w:basedOn w:val="Normlny"/>
    <w:link w:val="ObyajntextChar"/>
    <w:uiPriority w:val="99"/>
    <w:unhideWhenUsed/>
    <w:rsid w:val="000F2515"/>
    <w:pPr>
      <w:spacing w:after="0" w:line="240" w:lineRule="auto"/>
    </w:pPr>
    <w:rPr>
      <w:szCs w:val="21"/>
    </w:rPr>
  </w:style>
  <w:style w:type="character" w:customStyle="1" w:styleId="ObyajntextChar">
    <w:name w:val="Obyčajný text Char"/>
    <w:basedOn w:val="Predvolenpsmoodseku"/>
    <w:link w:val="Obyajntext"/>
    <w:uiPriority w:val="99"/>
    <w:locked/>
    <w:rsid w:val="000F2515"/>
    <w:rPr>
      <w:rFonts w:cs="Times New Roman"/>
      <w:sz w:val="21"/>
      <w:lang w:val="x-none" w:eastAsia="en-US"/>
    </w:rPr>
  </w:style>
  <w:style w:type="paragraph" w:styleId="Hlavikaobsahu">
    <w:name w:val="TOC Heading"/>
    <w:basedOn w:val="Nadpis1"/>
    <w:next w:val="Normlny"/>
    <w:uiPriority w:val="39"/>
    <w:unhideWhenUsed/>
    <w:qFormat/>
    <w:rsid w:val="000F2515"/>
    <w:pPr>
      <w:keepNext/>
      <w:keepLines/>
      <w:spacing w:before="480"/>
      <w:outlineLvl w:val="9"/>
    </w:pPr>
    <w:rPr>
      <w:rFonts w:ascii="Cambria" w:hAnsi="Cambria"/>
      <w:bCs/>
      <w:color w:val="365F91"/>
      <w:sz w:val="28"/>
      <w:szCs w:val="28"/>
    </w:rPr>
  </w:style>
  <w:style w:type="paragraph" w:styleId="Obsah2">
    <w:name w:val="toc 2"/>
    <w:basedOn w:val="Normlny"/>
    <w:next w:val="Normlny"/>
    <w:autoRedefine/>
    <w:uiPriority w:val="39"/>
    <w:unhideWhenUsed/>
    <w:rsid w:val="00C919B8"/>
    <w:pPr>
      <w:tabs>
        <w:tab w:val="left" w:pos="660"/>
        <w:tab w:val="right" w:leader="dot" w:pos="9062"/>
      </w:tabs>
    </w:pPr>
  </w:style>
  <w:style w:type="paragraph" w:customStyle="1" w:styleId="Statut">
    <w:name w:val="Statut"/>
    <w:basedOn w:val="Normlny"/>
    <w:next w:val="Normlny"/>
    <w:rsid w:val="000F2515"/>
    <w:pPr>
      <w:spacing w:before="360" w:after="0" w:line="240" w:lineRule="auto"/>
      <w:jc w:val="center"/>
    </w:pPr>
  </w:style>
  <w:style w:type="paragraph" w:customStyle="1" w:styleId="Titreobjet">
    <w:name w:val="Titre objet"/>
    <w:basedOn w:val="Normlny"/>
    <w:next w:val="Normlny"/>
    <w:rsid w:val="000F2515"/>
    <w:pPr>
      <w:spacing w:before="360" w:after="360" w:line="240" w:lineRule="auto"/>
      <w:jc w:val="center"/>
    </w:pPr>
    <w:rPr>
      <w:b/>
    </w:rPr>
  </w:style>
  <w:style w:type="paragraph" w:styleId="Obsah3">
    <w:name w:val="toc 3"/>
    <w:basedOn w:val="Normlny"/>
    <w:next w:val="Normlny"/>
    <w:autoRedefine/>
    <w:uiPriority w:val="39"/>
    <w:unhideWhenUsed/>
    <w:rsid w:val="000E3D54"/>
    <w:pPr>
      <w:ind w:left="440"/>
    </w:pPr>
  </w:style>
  <w:style w:type="character" w:customStyle="1" w:styleId="st">
    <w:name w:val="st"/>
    <w:rsid w:val="006B11C3"/>
  </w:style>
  <w:style w:type="paragraph" w:customStyle="1" w:styleId="MZVnormal">
    <w:name w:val="MZV normal"/>
    <w:basedOn w:val="Normlny"/>
    <w:rsid w:val="003213ED"/>
    <w:pPr>
      <w:spacing w:after="0" w:line="240" w:lineRule="auto"/>
    </w:pPr>
    <w:rPr>
      <w:rFonts w:ascii="Arial" w:hAnsi="Arial"/>
      <w:szCs w:val="24"/>
    </w:rPr>
  </w:style>
  <w:style w:type="paragraph" w:customStyle="1" w:styleId="tl">
    <w:name w:val="Štýl"/>
    <w:uiPriority w:val="99"/>
    <w:rsid w:val="007B6F22"/>
    <w:pPr>
      <w:spacing w:after="200" w:line="276" w:lineRule="auto"/>
    </w:pPr>
    <w:rPr>
      <w:rFonts w:cs="Times New Roman"/>
      <w:sz w:val="22"/>
      <w:szCs w:val="22"/>
      <w:lang w:eastAsia="en-US"/>
    </w:rPr>
  </w:style>
  <w:style w:type="table" w:customStyle="1" w:styleId="Mriekatabuky1">
    <w:name w:val="Mriežka tabuľky1"/>
    <w:basedOn w:val="Normlnatabuka"/>
    <w:next w:val="Mriekatabuky"/>
    <w:uiPriority w:val="59"/>
    <w:rsid w:val="007B6F2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7B6F2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7B6F2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ualConsidrant">
    <w:name w:val="Manual Considérant"/>
    <w:basedOn w:val="Normlny"/>
    <w:rsid w:val="007B6F22"/>
    <w:pPr>
      <w:spacing w:before="120" w:after="120" w:line="240" w:lineRule="auto"/>
      <w:ind w:left="709" w:hanging="709"/>
    </w:pPr>
  </w:style>
  <w:style w:type="table" w:customStyle="1" w:styleId="Mriekatabuky4">
    <w:name w:val="Mriežka tabuľky4"/>
    <w:basedOn w:val="Normlnatabuka"/>
    <w:next w:val="Mriekatabuky"/>
    <w:uiPriority w:val="59"/>
    <w:rsid w:val="007B6F2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uiPriority w:val="99"/>
    <w:rsid w:val="00ED1C4B"/>
    <w:rPr>
      <w:rFonts w:ascii="Tahoma" w:hAnsi="Tahoma" w:cs="Tahoma"/>
      <w:sz w:val="16"/>
      <w:szCs w:val="16"/>
    </w:rPr>
  </w:style>
  <w:style w:type="character" w:customStyle="1" w:styleId="truktradokumentuChar">
    <w:name w:val="Štruktúra dokumentu Char"/>
    <w:basedOn w:val="Predvolenpsmoodseku"/>
    <w:link w:val="truktradokumentu"/>
    <w:uiPriority w:val="99"/>
    <w:locked/>
    <w:rsid w:val="00ED1C4B"/>
    <w:rPr>
      <w:rFonts w:ascii="Tahoma" w:hAnsi="Tahoma" w:cs="Times New Roman"/>
      <w:sz w:val="16"/>
      <w:lang w:val="x-none" w:eastAsia="en-US"/>
    </w:rPr>
  </w:style>
  <w:style w:type="paragraph" w:styleId="Obsah4">
    <w:name w:val="toc 4"/>
    <w:basedOn w:val="Normlny"/>
    <w:next w:val="Normlny"/>
    <w:autoRedefine/>
    <w:uiPriority w:val="39"/>
    <w:unhideWhenUsed/>
    <w:rsid w:val="00F1358C"/>
    <w:pPr>
      <w:spacing w:after="100" w:line="259" w:lineRule="auto"/>
      <w:ind w:left="660"/>
    </w:pPr>
  </w:style>
  <w:style w:type="paragraph" w:styleId="Obsah5">
    <w:name w:val="toc 5"/>
    <w:basedOn w:val="Normlny"/>
    <w:next w:val="Normlny"/>
    <w:autoRedefine/>
    <w:uiPriority w:val="39"/>
    <w:unhideWhenUsed/>
    <w:rsid w:val="00F1358C"/>
    <w:pPr>
      <w:spacing w:after="100" w:line="259" w:lineRule="auto"/>
      <w:ind w:left="880"/>
    </w:pPr>
  </w:style>
  <w:style w:type="paragraph" w:styleId="Obsah6">
    <w:name w:val="toc 6"/>
    <w:basedOn w:val="Normlny"/>
    <w:next w:val="Normlny"/>
    <w:autoRedefine/>
    <w:uiPriority w:val="39"/>
    <w:unhideWhenUsed/>
    <w:rsid w:val="00F1358C"/>
    <w:pPr>
      <w:spacing w:after="100" w:line="259" w:lineRule="auto"/>
      <w:ind w:left="1100"/>
    </w:pPr>
  </w:style>
  <w:style w:type="paragraph" w:styleId="Obsah7">
    <w:name w:val="toc 7"/>
    <w:basedOn w:val="Normlny"/>
    <w:next w:val="Normlny"/>
    <w:autoRedefine/>
    <w:uiPriority w:val="39"/>
    <w:unhideWhenUsed/>
    <w:rsid w:val="00F1358C"/>
    <w:pPr>
      <w:spacing w:after="100" w:line="259" w:lineRule="auto"/>
      <w:ind w:left="1320"/>
    </w:pPr>
  </w:style>
  <w:style w:type="paragraph" w:styleId="Obsah8">
    <w:name w:val="toc 8"/>
    <w:basedOn w:val="Normlny"/>
    <w:next w:val="Normlny"/>
    <w:autoRedefine/>
    <w:uiPriority w:val="39"/>
    <w:unhideWhenUsed/>
    <w:rsid w:val="00F1358C"/>
    <w:pPr>
      <w:spacing w:after="100" w:line="259" w:lineRule="auto"/>
      <w:ind w:left="1540"/>
    </w:pPr>
  </w:style>
  <w:style w:type="paragraph" w:styleId="Obsah9">
    <w:name w:val="toc 9"/>
    <w:basedOn w:val="Normlny"/>
    <w:next w:val="Normlny"/>
    <w:autoRedefine/>
    <w:uiPriority w:val="39"/>
    <w:unhideWhenUsed/>
    <w:rsid w:val="00F1358C"/>
    <w:pPr>
      <w:spacing w:after="100" w:line="259" w:lineRule="auto"/>
      <w:ind w:left="1760"/>
    </w:pPr>
  </w:style>
  <w:style w:type="paragraph" w:customStyle="1" w:styleId="astandardsous-titre201">
    <w:name w:val="a_standard_sous-titre_20_1"/>
    <w:basedOn w:val="Normlny"/>
    <w:uiPriority w:val="99"/>
    <w:qFormat/>
    <w:rsid w:val="00A25E90"/>
    <w:pPr>
      <w:spacing w:before="120" w:after="120" w:line="240" w:lineRule="auto"/>
      <w:ind w:left="284" w:right="57"/>
    </w:pPr>
    <w:rPr>
      <w:b/>
      <w:bCs/>
      <w:szCs w:val="24"/>
    </w:rPr>
  </w:style>
  <w:style w:type="paragraph" w:customStyle="1" w:styleId="Dash">
    <w:name w:val="Dash"/>
    <w:basedOn w:val="Normlny"/>
    <w:rsid w:val="009F4FDA"/>
    <w:pPr>
      <w:spacing w:before="120" w:after="120" w:line="360" w:lineRule="auto"/>
    </w:pPr>
    <w:rPr>
      <w:lang w:val="en-GB"/>
    </w:rPr>
  </w:style>
  <w:style w:type="paragraph" w:customStyle="1" w:styleId="CONTENT2">
    <w:name w:val="CONTENT2"/>
    <w:basedOn w:val="Normlny"/>
    <w:qFormat/>
    <w:rsid w:val="002B7CB7"/>
    <w:pPr>
      <w:spacing w:after="0" w:line="240" w:lineRule="auto"/>
    </w:pPr>
    <w:rPr>
      <w:b/>
      <w:szCs w:val="28"/>
    </w:rPr>
  </w:style>
  <w:style w:type="paragraph" w:customStyle="1" w:styleId="footnotedescription">
    <w:name w:val="footnote description"/>
    <w:next w:val="Normlny"/>
    <w:link w:val="footnotedescriptionChar"/>
    <w:hidden/>
    <w:rsid w:val="00043D8B"/>
    <w:pPr>
      <w:spacing w:line="259" w:lineRule="auto"/>
      <w:jc w:val="both"/>
    </w:pPr>
    <w:rPr>
      <w:rFonts w:ascii="Times New Roman" w:hAnsi="Times New Roman" w:cs="Times New Roman"/>
      <w:color w:val="000000"/>
      <w:sz w:val="18"/>
      <w:szCs w:val="22"/>
    </w:rPr>
  </w:style>
  <w:style w:type="character" w:customStyle="1" w:styleId="footnotedescriptionChar">
    <w:name w:val="footnote description Char"/>
    <w:link w:val="footnotedescription"/>
    <w:locked/>
    <w:rsid w:val="00043D8B"/>
    <w:rPr>
      <w:rFonts w:ascii="Times New Roman" w:hAnsi="Times New Roman"/>
      <w:color w:val="000000"/>
      <w:sz w:val="22"/>
    </w:rPr>
  </w:style>
  <w:style w:type="table" w:customStyle="1" w:styleId="TableGrid">
    <w:name w:val="TableGrid"/>
    <w:rsid w:val="00043D8B"/>
    <w:rPr>
      <w:rFonts w:cs="Times New Roman"/>
      <w:sz w:val="22"/>
      <w:szCs w:val="22"/>
    </w:rPr>
    <w:tblPr>
      <w:tblCellMar>
        <w:top w:w="0" w:type="dxa"/>
        <w:left w:w="0" w:type="dxa"/>
        <w:bottom w:w="0" w:type="dxa"/>
        <w:right w:w="0" w:type="dxa"/>
      </w:tblCellMar>
    </w:tblPr>
  </w:style>
  <w:style w:type="character" w:customStyle="1" w:styleId="ablnaChar">
    <w:name w:val="Šablóna Char"/>
    <w:link w:val="ablna"/>
    <w:locked/>
    <w:rsid w:val="00043D8B"/>
    <w:rPr>
      <w:lang w:val="x-none" w:eastAsia="ar-SA" w:bidi="ar-SA"/>
    </w:rPr>
  </w:style>
  <w:style w:type="paragraph" w:customStyle="1" w:styleId="ablna">
    <w:name w:val="Šablóna"/>
    <w:basedOn w:val="Normlny"/>
    <w:link w:val="ablnaChar"/>
    <w:rsid w:val="00043D8B"/>
    <w:pPr>
      <w:spacing w:after="0" w:line="240" w:lineRule="auto"/>
      <w:ind w:right="-1"/>
    </w:pPr>
    <w:rPr>
      <w:color w:val="auto"/>
      <w:sz w:val="20"/>
      <w:szCs w:val="20"/>
      <w:lang w:eastAsia="ar-SA"/>
    </w:rPr>
  </w:style>
  <w:style w:type="character" w:customStyle="1" w:styleId="footnotemark">
    <w:name w:val="footnote mark"/>
    <w:hidden/>
    <w:rsid w:val="00043D8B"/>
    <w:rPr>
      <w:rFonts w:ascii="Times New Roman" w:hAnsi="Times New Roman"/>
      <w:color w:val="000000"/>
      <w:sz w:val="18"/>
      <w:vertAlign w:val="superscript"/>
    </w:rPr>
  </w:style>
  <w:style w:type="character" w:customStyle="1" w:styleId="A8">
    <w:name w:val="A8"/>
    <w:uiPriority w:val="99"/>
    <w:rsid w:val="00011BC7"/>
    <w:rPr>
      <w:color w:val="000000"/>
      <w:sz w:val="21"/>
    </w:rPr>
  </w:style>
  <w:style w:type="character" w:customStyle="1" w:styleId="tlid-translation">
    <w:name w:val="tlid-translation"/>
    <w:qFormat/>
    <w:rsid w:val="001E19A5"/>
  </w:style>
  <w:style w:type="character" w:customStyle="1" w:styleId="spellingerror">
    <w:name w:val="spellingerror"/>
    <w:rsid w:val="001E19A5"/>
  </w:style>
  <w:style w:type="paragraph" w:customStyle="1" w:styleId="Normlny1">
    <w:name w:val="Normálny1"/>
    <w:basedOn w:val="Normlny"/>
    <w:rsid w:val="001E19A5"/>
    <w:pPr>
      <w:spacing w:before="100" w:beforeAutospacing="1" w:after="100" w:afterAutospacing="1" w:line="240" w:lineRule="auto"/>
      <w:jc w:val="left"/>
    </w:pPr>
    <w:rPr>
      <w:rFonts w:cs="Times New Roman"/>
      <w:color w:val="auto"/>
      <w:szCs w:val="24"/>
    </w:rPr>
  </w:style>
  <w:style w:type="paragraph" w:customStyle="1" w:styleId="s20">
    <w:name w:val="s20"/>
    <w:basedOn w:val="Normlny"/>
    <w:rsid w:val="001E19A5"/>
    <w:pPr>
      <w:spacing w:before="100" w:beforeAutospacing="1" w:after="100" w:afterAutospacing="1" w:line="240" w:lineRule="auto"/>
      <w:jc w:val="left"/>
    </w:pPr>
    <w:rPr>
      <w:rFonts w:cs="Times New Roman"/>
      <w:color w:val="auto"/>
      <w:szCs w:val="24"/>
    </w:rPr>
  </w:style>
  <w:style w:type="character" w:customStyle="1" w:styleId="bumpedfont15">
    <w:name w:val="bumpedfont15"/>
    <w:rsid w:val="001E19A5"/>
  </w:style>
  <w:style w:type="character" w:customStyle="1" w:styleId="jlqj4b">
    <w:name w:val="jlqj4b"/>
    <w:rsid w:val="001E19A5"/>
  </w:style>
  <w:style w:type="paragraph" w:customStyle="1" w:styleId="Body">
    <w:name w:val="Body"/>
    <w:uiPriority w:val="99"/>
    <w:rsid w:val="001E19A5"/>
    <w:pPr>
      <w:pBdr>
        <w:top w:val="none" w:sz="96" w:space="31" w:color="FFFFFF" w:frame="1"/>
        <w:left w:val="none" w:sz="96" w:space="31" w:color="FFFFFF" w:frame="1"/>
        <w:bottom w:val="none" w:sz="96" w:space="31" w:color="FFFFFF" w:frame="1"/>
        <w:right w:val="none" w:sz="96" w:space="31" w:color="FFFFFF" w:frame="1"/>
      </w:pBdr>
    </w:pPr>
    <w:rPr>
      <w:rFonts w:ascii="Helvetica" w:hAnsi="Arial Unicode MS" w:cs="Arial Unicode MS"/>
      <w:color w:val="000000"/>
      <w:sz w:val="22"/>
      <w:szCs w:val="22"/>
    </w:rPr>
  </w:style>
  <w:style w:type="paragraph" w:styleId="PredformtovanHTML">
    <w:name w:val="HTML Preformatted"/>
    <w:basedOn w:val="Normlny"/>
    <w:link w:val="PredformtovanHTMLChar"/>
    <w:uiPriority w:val="99"/>
    <w:unhideWhenUsed/>
    <w:rsid w:val="001E1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auto"/>
      <w:sz w:val="20"/>
      <w:szCs w:val="20"/>
    </w:rPr>
  </w:style>
  <w:style w:type="character" w:customStyle="1" w:styleId="PredformtovanHTMLChar">
    <w:name w:val="Predformátované HTML Char"/>
    <w:basedOn w:val="Predvolenpsmoodseku"/>
    <w:link w:val="PredformtovanHTML"/>
    <w:uiPriority w:val="99"/>
    <w:locked/>
    <w:rsid w:val="001E19A5"/>
    <w:rPr>
      <w:rFonts w:ascii="Courier New" w:hAnsi="Courier New" w:cs="Courier New"/>
    </w:rPr>
  </w:style>
  <w:style w:type="character" w:customStyle="1" w:styleId="NormlnywebovChar">
    <w:name w:val="Normálny (webový) Char"/>
    <w:aliases w:val="webb Char,Normálny (WWW) Char"/>
    <w:link w:val="Normlnywebov"/>
    <w:uiPriority w:val="99"/>
    <w:locked/>
    <w:rsid w:val="001E19A5"/>
    <w:rPr>
      <w:rFonts w:ascii="Times New Roman" w:hAnsi="Times New Roman"/>
      <w:color w:val="000000"/>
      <w:sz w:val="24"/>
    </w:rPr>
  </w:style>
  <w:style w:type="paragraph" w:customStyle="1" w:styleId="xmsonormal">
    <w:name w:val="x_msonormal"/>
    <w:basedOn w:val="Normlny"/>
    <w:rsid w:val="001E19A5"/>
    <w:pPr>
      <w:spacing w:after="0" w:line="240" w:lineRule="auto"/>
      <w:jc w:val="left"/>
    </w:pPr>
    <w:rPr>
      <w:rFonts w:ascii="Calibri" w:eastAsia="SimSun" w:hAnsi="Calibri"/>
      <w:color w:val="auto"/>
      <w:sz w:val="22"/>
    </w:rPr>
  </w:style>
  <w:style w:type="paragraph" w:customStyle="1" w:styleId="default0">
    <w:name w:val="default"/>
    <w:basedOn w:val="Normlny"/>
    <w:rsid w:val="001E19A5"/>
    <w:pPr>
      <w:spacing w:after="0" w:line="240" w:lineRule="auto"/>
      <w:jc w:val="left"/>
    </w:pPr>
    <w:rPr>
      <w:rFonts w:ascii="Verdana" w:hAnsi="Verdana" w:cs="Times New Roman"/>
      <w:szCs w:val="24"/>
    </w:rPr>
  </w:style>
  <w:style w:type="paragraph" w:customStyle="1" w:styleId="xmsonormal0">
    <w:name w:val="xmsonormal"/>
    <w:basedOn w:val="Normlny"/>
    <w:rsid w:val="001E19A5"/>
    <w:pPr>
      <w:spacing w:after="0" w:line="240" w:lineRule="auto"/>
      <w:jc w:val="left"/>
    </w:pPr>
    <w:rPr>
      <w:rFonts w:ascii="Calibri" w:eastAsia="SimSun" w:hAnsi="Calibri"/>
      <w:color w:val="auto"/>
      <w:sz w:val="22"/>
    </w:rPr>
  </w:style>
  <w:style w:type="table" w:customStyle="1" w:styleId="Mriekatabuky5">
    <w:name w:val="Mriežka tabuľky5"/>
    <w:basedOn w:val="Normlnatabuka"/>
    <w:next w:val="Mriekatabuky"/>
    <w:uiPriority w:val="39"/>
    <w:rsid w:val="00E4775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E4775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39"/>
    <w:rsid w:val="00E4775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next w:val="Mriekatabuky"/>
    <w:uiPriority w:val="39"/>
    <w:rsid w:val="00E4775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
    <w:name w:val="Mriežka tabuľky41"/>
    <w:basedOn w:val="Normlnatabuka"/>
    <w:next w:val="Mriekatabuky"/>
    <w:uiPriority w:val="59"/>
    <w:rsid w:val="00E4775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E47756"/>
    <w:rPr>
      <w:rFonts w:cs="Times New Roman"/>
      <w:sz w:val="22"/>
      <w:szCs w:val="22"/>
    </w:rPr>
    <w:tblPr>
      <w:tblCellMar>
        <w:top w:w="0" w:type="dxa"/>
        <w:left w:w="0" w:type="dxa"/>
        <w:bottom w:w="0" w:type="dxa"/>
        <w:right w:w="0" w:type="dxa"/>
      </w:tblCellMar>
    </w:tblPr>
  </w:style>
  <w:style w:type="numbering" w:customStyle="1" w:styleId="Bezzoznamu1">
    <w:name w:val="Bez zoznamu1"/>
    <w:next w:val="Bezzoznamu"/>
    <w:uiPriority w:val="99"/>
    <w:semiHidden/>
    <w:unhideWhenUsed/>
    <w:rsid w:val="00732DC0"/>
  </w:style>
  <w:style w:type="table" w:customStyle="1" w:styleId="Mriekatabuky6">
    <w:name w:val="Mriežka tabuľky6"/>
    <w:basedOn w:val="Normlnatabuka"/>
    <w:next w:val="Mriekatabuky"/>
    <w:uiPriority w:val="39"/>
    <w:rsid w:val="00732DC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3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next w:val="Mriekatabuky"/>
    <w:uiPriority w:val="3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Normlnatabuka"/>
    <w:next w:val="Mriekatabuky"/>
    <w:uiPriority w:val="3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
    <w:name w:val="Mriežka tabuľky42"/>
    <w:basedOn w:val="Normlnatabuka"/>
    <w:next w:val="Mriekatabuky"/>
    <w:uiPriority w:val="5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732DC0"/>
    <w:rPr>
      <w:rFonts w:cs="Times New Roman"/>
      <w:sz w:val="22"/>
      <w:szCs w:val="22"/>
    </w:rPr>
    <w:tblPr>
      <w:tblCellMar>
        <w:top w:w="0" w:type="dxa"/>
        <w:left w:w="0" w:type="dxa"/>
        <w:bottom w:w="0" w:type="dxa"/>
        <w:right w:w="0" w:type="dxa"/>
      </w:tblCellMar>
    </w:tblPr>
  </w:style>
  <w:style w:type="table" w:customStyle="1" w:styleId="Mriekatabuky51">
    <w:name w:val="Mriežka tabuľky51"/>
    <w:basedOn w:val="Normlnatabuka"/>
    <w:next w:val="Mriekatabuky"/>
    <w:uiPriority w:val="39"/>
    <w:rsid w:val="00732DC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
    <w:name w:val="Mriežka tabuľky211"/>
    <w:basedOn w:val="Normlnatabuka"/>
    <w:next w:val="Mriekatabuky"/>
    <w:uiPriority w:val="3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
    <w:name w:val="Mriežka tabuľky311"/>
    <w:basedOn w:val="Normlnatabuka"/>
    <w:next w:val="Mriekatabuky"/>
    <w:uiPriority w:val="3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
    <w:name w:val="Mriežka tabuľky411"/>
    <w:basedOn w:val="Normlnatabuka"/>
    <w:next w:val="Mriekatabuky"/>
    <w:uiPriority w:val="5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732DC0"/>
    <w:rPr>
      <w:rFonts w:cs="Times New Roman"/>
      <w:sz w:val="22"/>
      <w:szCs w:val="22"/>
    </w:rPr>
    <w:tblPr>
      <w:tblCellMar>
        <w:top w:w="0" w:type="dxa"/>
        <w:left w:w="0" w:type="dxa"/>
        <w:bottom w:w="0" w:type="dxa"/>
        <w:right w:w="0" w:type="dxa"/>
      </w:tblCellMar>
    </w:tblPr>
  </w:style>
  <w:style w:type="paragraph" w:styleId="Podtitul">
    <w:name w:val="Subtitle"/>
    <w:basedOn w:val="Normlny"/>
    <w:next w:val="Normlny"/>
    <w:link w:val="PodtitulChar"/>
    <w:uiPriority w:val="11"/>
    <w:qFormat/>
    <w:rsid w:val="003B0629"/>
    <w:pPr>
      <w:numPr>
        <w:ilvl w:val="1"/>
      </w:numPr>
      <w:spacing w:line="259" w:lineRule="auto"/>
      <w:jc w:val="left"/>
    </w:pPr>
    <w:rPr>
      <w:rFonts w:asciiTheme="minorHAnsi" w:eastAsiaTheme="minorEastAsia" w:hAnsiTheme="minorHAnsi" w:cstheme="minorBidi"/>
      <w:color w:val="5A5A5A" w:themeColor="text1" w:themeTint="A5"/>
      <w:spacing w:val="15"/>
      <w:sz w:val="22"/>
      <w:lang w:val="en-US" w:eastAsia="en-US"/>
    </w:rPr>
  </w:style>
  <w:style w:type="character" w:customStyle="1" w:styleId="PodtitulChar">
    <w:name w:val="Podtitul Char"/>
    <w:basedOn w:val="Predvolenpsmoodseku"/>
    <w:link w:val="Podtitul"/>
    <w:uiPriority w:val="11"/>
    <w:rsid w:val="003B0629"/>
    <w:rPr>
      <w:rFonts w:asciiTheme="minorHAnsi" w:eastAsiaTheme="minorEastAsia" w:hAnsiTheme="minorHAnsi" w:cstheme="minorBidi"/>
      <w:color w:val="5A5A5A" w:themeColor="text1" w:themeTint="A5"/>
      <w:spacing w:val="15"/>
      <w:sz w:val="22"/>
      <w:szCs w:val="22"/>
      <w:lang w:val="en-US" w:eastAsia="en-US"/>
    </w:rPr>
  </w:style>
  <w:style w:type="character" w:customStyle="1" w:styleId="xtm61">
    <w:name w:val="x_tm61"/>
    <w:basedOn w:val="Predvolenpsmoodseku"/>
    <w:rsid w:val="003B7888"/>
    <w:rPr>
      <w:rFonts w:cs="Times New Roman"/>
    </w:rPr>
  </w:style>
  <w:style w:type="character" w:customStyle="1" w:styleId="y2iqfc">
    <w:name w:val="y2iqfc"/>
    <w:basedOn w:val="Predvolenpsmoodseku"/>
    <w:rsid w:val="003B7888"/>
    <w:rPr>
      <w:rFonts w:cs="Times New Roman"/>
    </w:rPr>
  </w:style>
  <w:style w:type="paragraph" w:styleId="Revzia">
    <w:name w:val="Revision"/>
    <w:hidden/>
    <w:uiPriority w:val="99"/>
    <w:semiHidden/>
    <w:rsid w:val="003449D3"/>
    <w:rPr>
      <w:rFonts w:ascii="Times New Roman" w:hAnsi="Times New Roman"/>
      <w:color w:val="000000"/>
      <w:sz w:val="24"/>
      <w:szCs w:val="22"/>
    </w:rPr>
  </w:style>
  <w:style w:type="character" w:customStyle="1" w:styleId="Hyperlink0">
    <w:name w:val="Hyperlink.0"/>
    <w:basedOn w:val="Predvolenpsmoodseku"/>
    <w:rsid w:val="001F19AB"/>
    <w:rPr>
      <w:rFonts w:ascii="Times New Roman" w:eastAsia="Times New Roman" w:hAnsi="Times New Roman" w:cs="Times New Roman" w:hint="default"/>
      <w:outline w:val="0"/>
      <w:shadow w:val="0"/>
      <w:emboss w:val="0"/>
      <w:imprint w:val="0"/>
      <w:color w:val="0563C1"/>
      <w:sz w:val="24"/>
      <w:szCs w:val="24"/>
      <w:u w:val="single" w:color="0563C1"/>
    </w:rPr>
  </w:style>
  <w:style w:type="paragraph" w:customStyle="1" w:styleId="Typedudocument">
    <w:name w:val="Type du document"/>
    <w:basedOn w:val="Normlny"/>
    <w:next w:val="Normlny"/>
    <w:rsid w:val="001D04F6"/>
    <w:pPr>
      <w:spacing w:before="360" w:after="0" w:line="240" w:lineRule="auto"/>
      <w:jc w:val="center"/>
    </w:pPr>
    <w:rPr>
      <w:rFonts w:eastAsiaTheme="minorHAnsi" w:cs="Times New Roman"/>
      <w:b/>
      <w:color w:val="auto"/>
      <w:lang w:val="en-GB" w:eastAsia="en-US"/>
    </w:rPr>
  </w:style>
  <w:style w:type="paragraph" w:customStyle="1" w:styleId="western">
    <w:name w:val="western"/>
    <w:basedOn w:val="Normlny"/>
    <w:rsid w:val="00545FF6"/>
    <w:pPr>
      <w:spacing w:before="100" w:beforeAutospacing="1" w:after="142" w:line="276" w:lineRule="auto"/>
      <w:jc w:val="left"/>
    </w:pPr>
    <w:rPr>
      <w:rFonts w:ascii="Calibri" w:hAnsi="Calibri"/>
      <w:sz w:val="22"/>
    </w:rPr>
  </w:style>
  <w:style w:type="paragraph" w:customStyle="1" w:styleId="Odsekzoznamu1">
    <w:name w:val="Odsek zoznamu1"/>
    <w:basedOn w:val="Normlny"/>
    <w:rsid w:val="00C841FF"/>
    <w:pPr>
      <w:suppressAutoHyphens/>
      <w:spacing w:line="254" w:lineRule="auto"/>
      <w:ind w:left="720"/>
      <w:jc w:val="left"/>
    </w:pPr>
    <w:rPr>
      <w:rFonts w:ascii="Calibri" w:eastAsia="SimSun" w:hAnsi="Calibri" w:cs="Lucida Sans"/>
      <w:color w:val="auto"/>
      <w:sz w:val="22"/>
      <w:lang w:eastAsia="ar-SA"/>
    </w:rPr>
  </w:style>
  <w:style w:type="character" w:customStyle="1" w:styleId="markedcontent">
    <w:name w:val="markedcontent"/>
    <w:basedOn w:val="Predvolenpsmoodseku"/>
    <w:rsid w:val="00C8712D"/>
  </w:style>
  <w:style w:type="paragraph" w:customStyle="1" w:styleId="oj-doc-ti">
    <w:name w:val="oj-doc-ti"/>
    <w:basedOn w:val="Normlny"/>
    <w:rsid w:val="00AF2B85"/>
    <w:pPr>
      <w:spacing w:before="100" w:beforeAutospacing="1" w:after="100" w:afterAutospacing="1" w:line="240" w:lineRule="auto"/>
      <w:jc w:val="left"/>
    </w:pPr>
    <w:rPr>
      <w:rFonts w:cs="Times New Roman"/>
      <w:color w:val="auto"/>
      <w:szCs w:val="24"/>
    </w:rPr>
  </w:style>
  <w:style w:type="character" w:styleId="PouitHypertextovPrepojenie">
    <w:name w:val="FollowedHyperlink"/>
    <w:basedOn w:val="Predvolenpsmoodseku"/>
    <w:uiPriority w:val="99"/>
    <w:rsid w:val="00AF2B85"/>
    <w:rPr>
      <w:color w:val="800080" w:themeColor="followedHyperlink"/>
      <w:u w:val="single"/>
    </w:rPr>
  </w:style>
  <w:style w:type="paragraph" w:customStyle="1" w:styleId="statut0">
    <w:name w:val="statut"/>
    <w:basedOn w:val="Normlny"/>
    <w:rsid w:val="00A936E9"/>
    <w:pPr>
      <w:spacing w:before="100" w:beforeAutospacing="1" w:after="100" w:afterAutospacing="1" w:line="240" w:lineRule="auto"/>
      <w:jc w:val="left"/>
    </w:pPr>
    <w:rPr>
      <w:rFonts w:cs="Times New Roman"/>
      <w:color w:val="auto"/>
      <w:szCs w:val="24"/>
    </w:rPr>
  </w:style>
  <w:style w:type="paragraph" w:customStyle="1" w:styleId="typedudocumentcp">
    <w:name w:val="typedudocument_cp"/>
    <w:basedOn w:val="Normlny"/>
    <w:rsid w:val="00A936E9"/>
    <w:pPr>
      <w:spacing w:before="100" w:beforeAutospacing="1" w:after="100" w:afterAutospacing="1" w:line="240" w:lineRule="auto"/>
      <w:jc w:val="left"/>
    </w:pPr>
    <w:rPr>
      <w:rFonts w:cs="Times New Roman"/>
      <w:color w:val="auto"/>
      <w:szCs w:val="24"/>
    </w:rPr>
  </w:style>
  <w:style w:type="paragraph" w:customStyle="1" w:styleId="titreobjetcp">
    <w:name w:val="titreobjet_cp"/>
    <w:basedOn w:val="Normlny"/>
    <w:rsid w:val="00A936E9"/>
    <w:pPr>
      <w:spacing w:before="100" w:beforeAutospacing="1" w:after="100" w:afterAutospacing="1" w:line="240" w:lineRule="auto"/>
      <w:jc w:val="left"/>
    </w:pPr>
    <w:rPr>
      <w:rFonts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5932">
      <w:bodyDiv w:val="1"/>
      <w:marLeft w:val="0"/>
      <w:marRight w:val="0"/>
      <w:marTop w:val="0"/>
      <w:marBottom w:val="0"/>
      <w:divBdr>
        <w:top w:val="none" w:sz="0" w:space="0" w:color="auto"/>
        <w:left w:val="none" w:sz="0" w:space="0" w:color="auto"/>
        <w:bottom w:val="none" w:sz="0" w:space="0" w:color="auto"/>
        <w:right w:val="none" w:sz="0" w:space="0" w:color="auto"/>
      </w:divBdr>
    </w:div>
    <w:div w:id="31613678">
      <w:bodyDiv w:val="1"/>
      <w:marLeft w:val="0"/>
      <w:marRight w:val="0"/>
      <w:marTop w:val="0"/>
      <w:marBottom w:val="0"/>
      <w:divBdr>
        <w:top w:val="none" w:sz="0" w:space="0" w:color="auto"/>
        <w:left w:val="none" w:sz="0" w:space="0" w:color="auto"/>
        <w:bottom w:val="none" w:sz="0" w:space="0" w:color="auto"/>
        <w:right w:val="none" w:sz="0" w:space="0" w:color="auto"/>
      </w:divBdr>
    </w:div>
    <w:div w:id="41833204">
      <w:bodyDiv w:val="1"/>
      <w:marLeft w:val="0"/>
      <w:marRight w:val="0"/>
      <w:marTop w:val="0"/>
      <w:marBottom w:val="0"/>
      <w:divBdr>
        <w:top w:val="none" w:sz="0" w:space="0" w:color="auto"/>
        <w:left w:val="none" w:sz="0" w:space="0" w:color="auto"/>
        <w:bottom w:val="none" w:sz="0" w:space="0" w:color="auto"/>
        <w:right w:val="none" w:sz="0" w:space="0" w:color="auto"/>
      </w:divBdr>
    </w:div>
    <w:div w:id="187062802">
      <w:bodyDiv w:val="1"/>
      <w:marLeft w:val="0"/>
      <w:marRight w:val="0"/>
      <w:marTop w:val="0"/>
      <w:marBottom w:val="0"/>
      <w:divBdr>
        <w:top w:val="none" w:sz="0" w:space="0" w:color="auto"/>
        <w:left w:val="none" w:sz="0" w:space="0" w:color="auto"/>
        <w:bottom w:val="none" w:sz="0" w:space="0" w:color="auto"/>
        <w:right w:val="none" w:sz="0" w:space="0" w:color="auto"/>
      </w:divBdr>
    </w:div>
    <w:div w:id="213351269">
      <w:bodyDiv w:val="1"/>
      <w:marLeft w:val="0"/>
      <w:marRight w:val="0"/>
      <w:marTop w:val="0"/>
      <w:marBottom w:val="0"/>
      <w:divBdr>
        <w:top w:val="none" w:sz="0" w:space="0" w:color="auto"/>
        <w:left w:val="none" w:sz="0" w:space="0" w:color="auto"/>
        <w:bottom w:val="none" w:sz="0" w:space="0" w:color="auto"/>
        <w:right w:val="none" w:sz="0" w:space="0" w:color="auto"/>
      </w:divBdr>
    </w:div>
    <w:div w:id="298195912">
      <w:bodyDiv w:val="1"/>
      <w:marLeft w:val="0"/>
      <w:marRight w:val="0"/>
      <w:marTop w:val="0"/>
      <w:marBottom w:val="0"/>
      <w:divBdr>
        <w:top w:val="none" w:sz="0" w:space="0" w:color="auto"/>
        <w:left w:val="none" w:sz="0" w:space="0" w:color="auto"/>
        <w:bottom w:val="none" w:sz="0" w:space="0" w:color="auto"/>
        <w:right w:val="none" w:sz="0" w:space="0" w:color="auto"/>
      </w:divBdr>
    </w:div>
    <w:div w:id="318966374">
      <w:bodyDiv w:val="1"/>
      <w:marLeft w:val="0"/>
      <w:marRight w:val="0"/>
      <w:marTop w:val="0"/>
      <w:marBottom w:val="0"/>
      <w:divBdr>
        <w:top w:val="none" w:sz="0" w:space="0" w:color="auto"/>
        <w:left w:val="none" w:sz="0" w:space="0" w:color="auto"/>
        <w:bottom w:val="none" w:sz="0" w:space="0" w:color="auto"/>
        <w:right w:val="none" w:sz="0" w:space="0" w:color="auto"/>
      </w:divBdr>
    </w:div>
    <w:div w:id="339895095">
      <w:bodyDiv w:val="1"/>
      <w:marLeft w:val="0"/>
      <w:marRight w:val="0"/>
      <w:marTop w:val="0"/>
      <w:marBottom w:val="0"/>
      <w:divBdr>
        <w:top w:val="none" w:sz="0" w:space="0" w:color="auto"/>
        <w:left w:val="none" w:sz="0" w:space="0" w:color="auto"/>
        <w:bottom w:val="none" w:sz="0" w:space="0" w:color="auto"/>
        <w:right w:val="none" w:sz="0" w:space="0" w:color="auto"/>
      </w:divBdr>
    </w:div>
    <w:div w:id="342435694">
      <w:bodyDiv w:val="1"/>
      <w:marLeft w:val="0"/>
      <w:marRight w:val="0"/>
      <w:marTop w:val="0"/>
      <w:marBottom w:val="0"/>
      <w:divBdr>
        <w:top w:val="none" w:sz="0" w:space="0" w:color="auto"/>
        <w:left w:val="none" w:sz="0" w:space="0" w:color="auto"/>
        <w:bottom w:val="none" w:sz="0" w:space="0" w:color="auto"/>
        <w:right w:val="none" w:sz="0" w:space="0" w:color="auto"/>
      </w:divBdr>
    </w:div>
    <w:div w:id="470245615">
      <w:bodyDiv w:val="1"/>
      <w:marLeft w:val="0"/>
      <w:marRight w:val="0"/>
      <w:marTop w:val="0"/>
      <w:marBottom w:val="0"/>
      <w:divBdr>
        <w:top w:val="none" w:sz="0" w:space="0" w:color="auto"/>
        <w:left w:val="none" w:sz="0" w:space="0" w:color="auto"/>
        <w:bottom w:val="none" w:sz="0" w:space="0" w:color="auto"/>
        <w:right w:val="none" w:sz="0" w:space="0" w:color="auto"/>
      </w:divBdr>
    </w:div>
    <w:div w:id="540672331">
      <w:bodyDiv w:val="1"/>
      <w:marLeft w:val="0"/>
      <w:marRight w:val="0"/>
      <w:marTop w:val="0"/>
      <w:marBottom w:val="0"/>
      <w:divBdr>
        <w:top w:val="none" w:sz="0" w:space="0" w:color="auto"/>
        <w:left w:val="none" w:sz="0" w:space="0" w:color="auto"/>
        <w:bottom w:val="none" w:sz="0" w:space="0" w:color="auto"/>
        <w:right w:val="none" w:sz="0" w:space="0" w:color="auto"/>
      </w:divBdr>
    </w:div>
    <w:div w:id="572473138">
      <w:bodyDiv w:val="1"/>
      <w:marLeft w:val="0"/>
      <w:marRight w:val="0"/>
      <w:marTop w:val="0"/>
      <w:marBottom w:val="0"/>
      <w:divBdr>
        <w:top w:val="none" w:sz="0" w:space="0" w:color="auto"/>
        <w:left w:val="none" w:sz="0" w:space="0" w:color="auto"/>
        <w:bottom w:val="none" w:sz="0" w:space="0" w:color="auto"/>
        <w:right w:val="none" w:sz="0" w:space="0" w:color="auto"/>
      </w:divBdr>
      <w:divsChild>
        <w:div w:id="1475758241">
          <w:marLeft w:val="0"/>
          <w:marRight w:val="0"/>
          <w:marTop w:val="0"/>
          <w:marBottom w:val="0"/>
          <w:divBdr>
            <w:top w:val="none" w:sz="0" w:space="0" w:color="auto"/>
            <w:left w:val="none" w:sz="0" w:space="0" w:color="auto"/>
            <w:bottom w:val="none" w:sz="0" w:space="0" w:color="auto"/>
            <w:right w:val="none" w:sz="0" w:space="0" w:color="auto"/>
          </w:divBdr>
        </w:div>
        <w:div w:id="1991905879">
          <w:marLeft w:val="0"/>
          <w:marRight w:val="0"/>
          <w:marTop w:val="120"/>
          <w:marBottom w:val="0"/>
          <w:divBdr>
            <w:top w:val="none" w:sz="0" w:space="0" w:color="auto"/>
            <w:left w:val="none" w:sz="0" w:space="0" w:color="auto"/>
            <w:bottom w:val="none" w:sz="0" w:space="0" w:color="auto"/>
            <w:right w:val="none" w:sz="0" w:space="0" w:color="auto"/>
          </w:divBdr>
          <w:divsChild>
            <w:div w:id="1977679892">
              <w:marLeft w:val="0"/>
              <w:marRight w:val="0"/>
              <w:marTop w:val="0"/>
              <w:marBottom w:val="0"/>
              <w:divBdr>
                <w:top w:val="none" w:sz="0" w:space="0" w:color="auto"/>
                <w:left w:val="none" w:sz="0" w:space="0" w:color="auto"/>
                <w:bottom w:val="none" w:sz="0" w:space="0" w:color="auto"/>
                <w:right w:val="none" w:sz="0" w:space="0" w:color="auto"/>
              </w:divBdr>
            </w:div>
          </w:divsChild>
        </w:div>
        <w:div w:id="367339938">
          <w:marLeft w:val="0"/>
          <w:marRight w:val="0"/>
          <w:marTop w:val="120"/>
          <w:marBottom w:val="0"/>
          <w:divBdr>
            <w:top w:val="none" w:sz="0" w:space="0" w:color="auto"/>
            <w:left w:val="none" w:sz="0" w:space="0" w:color="auto"/>
            <w:bottom w:val="none" w:sz="0" w:space="0" w:color="auto"/>
            <w:right w:val="none" w:sz="0" w:space="0" w:color="auto"/>
          </w:divBdr>
          <w:divsChild>
            <w:div w:id="820996748">
              <w:marLeft w:val="0"/>
              <w:marRight w:val="0"/>
              <w:marTop w:val="0"/>
              <w:marBottom w:val="0"/>
              <w:divBdr>
                <w:top w:val="none" w:sz="0" w:space="0" w:color="auto"/>
                <w:left w:val="none" w:sz="0" w:space="0" w:color="auto"/>
                <w:bottom w:val="none" w:sz="0" w:space="0" w:color="auto"/>
                <w:right w:val="none" w:sz="0" w:space="0" w:color="auto"/>
              </w:divBdr>
            </w:div>
          </w:divsChild>
        </w:div>
        <w:div w:id="148520191">
          <w:marLeft w:val="0"/>
          <w:marRight w:val="0"/>
          <w:marTop w:val="120"/>
          <w:marBottom w:val="0"/>
          <w:divBdr>
            <w:top w:val="none" w:sz="0" w:space="0" w:color="auto"/>
            <w:left w:val="none" w:sz="0" w:space="0" w:color="auto"/>
            <w:bottom w:val="none" w:sz="0" w:space="0" w:color="auto"/>
            <w:right w:val="none" w:sz="0" w:space="0" w:color="auto"/>
          </w:divBdr>
          <w:divsChild>
            <w:div w:id="1156798387">
              <w:marLeft w:val="0"/>
              <w:marRight w:val="0"/>
              <w:marTop w:val="0"/>
              <w:marBottom w:val="0"/>
              <w:divBdr>
                <w:top w:val="none" w:sz="0" w:space="0" w:color="auto"/>
                <w:left w:val="none" w:sz="0" w:space="0" w:color="auto"/>
                <w:bottom w:val="none" w:sz="0" w:space="0" w:color="auto"/>
                <w:right w:val="none" w:sz="0" w:space="0" w:color="auto"/>
              </w:divBdr>
            </w:div>
          </w:divsChild>
        </w:div>
        <w:div w:id="1054081583">
          <w:marLeft w:val="0"/>
          <w:marRight w:val="0"/>
          <w:marTop w:val="120"/>
          <w:marBottom w:val="0"/>
          <w:divBdr>
            <w:top w:val="none" w:sz="0" w:space="0" w:color="auto"/>
            <w:left w:val="none" w:sz="0" w:space="0" w:color="auto"/>
            <w:bottom w:val="none" w:sz="0" w:space="0" w:color="auto"/>
            <w:right w:val="none" w:sz="0" w:space="0" w:color="auto"/>
          </w:divBdr>
          <w:divsChild>
            <w:div w:id="213002558">
              <w:marLeft w:val="0"/>
              <w:marRight w:val="0"/>
              <w:marTop w:val="0"/>
              <w:marBottom w:val="0"/>
              <w:divBdr>
                <w:top w:val="none" w:sz="0" w:space="0" w:color="auto"/>
                <w:left w:val="none" w:sz="0" w:space="0" w:color="auto"/>
                <w:bottom w:val="none" w:sz="0" w:space="0" w:color="auto"/>
                <w:right w:val="none" w:sz="0" w:space="0" w:color="auto"/>
              </w:divBdr>
            </w:div>
          </w:divsChild>
        </w:div>
        <w:div w:id="2012097220">
          <w:marLeft w:val="0"/>
          <w:marRight w:val="0"/>
          <w:marTop w:val="120"/>
          <w:marBottom w:val="0"/>
          <w:divBdr>
            <w:top w:val="none" w:sz="0" w:space="0" w:color="auto"/>
            <w:left w:val="none" w:sz="0" w:space="0" w:color="auto"/>
            <w:bottom w:val="none" w:sz="0" w:space="0" w:color="auto"/>
            <w:right w:val="none" w:sz="0" w:space="0" w:color="auto"/>
          </w:divBdr>
          <w:divsChild>
            <w:div w:id="1236672751">
              <w:marLeft w:val="0"/>
              <w:marRight w:val="0"/>
              <w:marTop w:val="0"/>
              <w:marBottom w:val="0"/>
              <w:divBdr>
                <w:top w:val="none" w:sz="0" w:space="0" w:color="auto"/>
                <w:left w:val="none" w:sz="0" w:space="0" w:color="auto"/>
                <w:bottom w:val="none" w:sz="0" w:space="0" w:color="auto"/>
                <w:right w:val="none" w:sz="0" w:space="0" w:color="auto"/>
              </w:divBdr>
            </w:div>
          </w:divsChild>
        </w:div>
        <w:div w:id="440951857">
          <w:marLeft w:val="0"/>
          <w:marRight w:val="0"/>
          <w:marTop w:val="120"/>
          <w:marBottom w:val="0"/>
          <w:divBdr>
            <w:top w:val="none" w:sz="0" w:space="0" w:color="auto"/>
            <w:left w:val="none" w:sz="0" w:space="0" w:color="auto"/>
            <w:bottom w:val="none" w:sz="0" w:space="0" w:color="auto"/>
            <w:right w:val="none" w:sz="0" w:space="0" w:color="auto"/>
          </w:divBdr>
          <w:divsChild>
            <w:div w:id="862135533">
              <w:marLeft w:val="0"/>
              <w:marRight w:val="0"/>
              <w:marTop w:val="0"/>
              <w:marBottom w:val="0"/>
              <w:divBdr>
                <w:top w:val="none" w:sz="0" w:space="0" w:color="auto"/>
                <w:left w:val="none" w:sz="0" w:space="0" w:color="auto"/>
                <w:bottom w:val="none" w:sz="0" w:space="0" w:color="auto"/>
                <w:right w:val="none" w:sz="0" w:space="0" w:color="auto"/>
              </w:divBdr>
            </w:div>
          </w:divsChild>
        </w:div>
        <w:div w:id="513304679">
          <w:marLeft w:val="0"/>
          <w:marRight w:val="0"/>
          <w:marTop w:val="120"/>
          <w:marBottom w:val="0"/>
          <w:divBdr>
            <w:top w:val="none" w:sz="0" w:space="0" w:color="auto"/>
            <w:left w:val="none" w:sz="0" w:space="0" w:color="auto"/>
            <w:bottom w:val="none" w:sz="0" w:space="0" w:color="auto"/>
            <w:right w:val="none" w:sz="0" w:space="0" w:color="auto"/>
          </w:divBdr>
          <w:divsChild>
            <w:div w:id="1326935258">
              <w:marLeft w:val="0"/>
              <w:marRight w:val="0"/>
              <w:marTop w:val="0"/>
              <w:marBottom w:val="0"/>
              <w:divBdr>
                <w:top w:val="none" w:sz="0" w:space="0" w:color="auto"/>
                <w:left w:val="none" w:sz="0" w:space="0" w:color="auto"/>
                <w:bottom w:val="none" w:sz="0" w:space="0" w:color="auto"/>
                <w:right w:val="none" w:sz="0" w:space="0" w:color="auto"/>
              </w:divBdr>
            </w:div>
          </w:divsChild>
        </w:div>
        <w:div w:id="833839401">
          <w:marLeft w:val="0"/>
          <w:marRight w:val="0"/>
          <w:marTop w:val="120"/>
          <w:marBottom w:val="0"/>
          <w:divBdr>
            <w:top w:val="none" w:sz="0" w:space="0" w:color="auto"/>
            <w:left w:val="none" w:sz="0" w:space="0" w:color="auto"/>
            <w:bottom w:val="none" w:sz="0" w:space="0" w:color="auto"/>
            <w:right w:val="none" w:sz="0" w:space="0" w:color="auto"/>
          </w:divBdr>
          <w:divsChild>
            <w:div w:id="1782215866">
              <w:marLeft w:val="0"/>
              <w:marRight w:val="0"/>
              <w:marTop w:val="0"/>
              <w:marBottom w:val="0"/>
              <w:divBdr>
                <w:top w:val="none" w:sz="0" w:space="0" w:color="auto"/>
                <w:left w:val="none" w:sz="0" w:space="0" w:color="auto"/>
                <w:bottom w:val="none" w:sz="0" w:space="0" w:color="auto"/>
                <w:right w:val="none" w:sz="0" w:space="0" w:color="auto"/>
              </w:divBdr>
            </w:div>
          </w:divsChild>
        </w:div>
        <w:div w:id="2053571818">
          <w:marLeft w:val="0"/>
          <w:marRight w:val="0"/>
          <w:marTop w:val="120"/>
          <w:marBottom w:val="0"/>
          <w:divBdr>
            <w:top w:val="none" w:sz="0" w:space="0" w:color="auto"/>
            <w:left w:val="none" w:sz="0" w:space="0" w:color="auto"/>
            <w:bottom w:val="none" w:sz="0" w:space="0" w:color="auto"/>
            <w:right w:val="none" w:sz="0" w:space="0" w:color="auto"/>
          </w:divBdr>
          <w:divsChild>
            <w:div w:id="2104765850">
              <w:marLeft w:val="0"/>
              <w:marRight w:val="0"/>
              <w:marTop w:val="0"/>
              <w:marBottom w:val="0"/>
              <w:divBdr>
                <w:top w:val="none" w:sz="0" w:space="0" w:color="auto"/>
                <w:left w:val="none" w:sz="0" w:space="0" w:color="auto"/>
                <w:bottom w:val="none" w:sz="0" w:space="0" w:color="auto"/>
                <w:right w:val="none" w:sz="0" w:space="0" w:color="auto"/>
              </w:divBdr>
            </w:div>
          </w:divsChild>
        </w:div>
        <w:div w:id="397283672">
          <w:marLeft w:val="0"/>
          <w:marRight w:val="0"/>
          <w:marTop w:val="120"/>
          <w:marBottom w:val="0"/>
          <w:divBdr>
            <w:top w:val="none" w:sz="0" w:space="0" w:color="auto"/>
            <w:left w:val="none" w:sz="0" w:space="0" w:color="auto"/>
            <w:bottom w:val="none" w:sz="0" w:space="0" w:color="auto"/>
            <w:right w:val="none" w:sz="0" w:space="0" w:color="auto"/>
          </w:divBdr>
          <w:divsChild>
            <w:div w:id="220556850">
              <w:marLeft w:val="0"/>
              <w:marRight w:val="0"/>
              <w:marTop w:val="0"/>
              <w:marBottom w:val="0"/>
              <w:divBdr>
                <w:top w:val="none" w:sz="0" w:space="0" w:color="auto"/>
                <w:left w:val="none" w:sz="0" w:space="0" w:color="auto"/>
                <w:bottom w:val="none" w:sz="0" w:space="0" w:color="auto"/>
                <w:right w:val="none" w:sz="0" w:space="0" w:color="auto"/>
              </w:divBdr>
            </w:div>
          </w:divsChild>
        </w:div>
        <w:div w:id="1485004601">
          <w:marLeft w:val="0"/>
          <w:marRight w:val="0"/>
          <w:marTop w:val="120"/>
          <w:marBottom w:val="0"/>
          <w:divBdr>
            <w:top w:val="none" w:sz="0" w:space="0" w:color="auto"/>
            <w:left w:val="none" w:sz="0" w:space="0" w:color="auto"/>
            <w:bottom w:val="none" w:sz="0" w:space="0" w:color="auto"/>
            <w:right w:val="none" w:sz="0" w:space="0" w:color="auto"/>
          </w:divBdr>
          <w:divsChild>
            <w:div w:id="18640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3581">
      <w:bodyDiv w:val="1"/>
      <w:marLeft w:val="0"/>
      <w:marRight w:val="0"/>
      <w:marTop w:val="0"/>
      <w:marBottom w:val="0"/>
      <w:divBdr>
        <w:top w:val="none" w:sz="0" w:space="0" w:color="auto"/>
        <w:left w:val="none" w:sz="0" w:space="0" w:color="auto"/>
        <w:bottom w:val="none" w:sz="0" w:space="0" w:color="auto"/>
        <w:right w:val="none" w:sz="0" w:space="0" w:color="auto"/>
      </w:divBdr>
    </w:div>
    <w:div w:id="653224066">
      <w:bodyDiv w:val="1"/>
      <w:marLeft w:val="0"/>
      <w:marRight w:val="0"/>
      <w:marTop w:val="0"/>
      <w:marBottom w:val="0"/>
      <w:divBdr>
        <w:top w:val="none" w:sz="0" w:space="0" w:color="auto"/>
        <w:left w:val="none" w:sz="0" w:space="0" w:color="auto"/>
        <w:bottom w:val="none" w:sz="0" w:space="0" w:color="auto"/>
        <w:right w:val="none" w:sz="0" w:space="0" w:color="auto"/>
      </w:divBdr>
    </w:div>
    <w:div w:id="683433804">
      <w:bodyDiv w:val="1"/>
      <w:marLeft w:val="0"/>
      <w:marRight w:val="0"/>
      <w:marTop w:val="0"/>
      <w:marBottom w:val="0"/>
      <w:divBdr>
        <w:top w:val="none" w:sz="0" w:space="0" w:color="auto"/>
        <w:left w:val="none" w:sz="0" w:space="0" w:color="auto"/>
        <w:bottom w:val="none" w:sz="0" w:space="0" w:color="auto"/>
        <w:right w:val="none" w:sz="0" w:space="0" w:color="auto"/>
      </w:divBdr>
    </w:div>
    <w:div w:id="787939929">
      <w:bodyDiv w:val="1"/>
      <w:marLeft w:val="0"/>
      <w:marRight w:val="0"/>
      <w:marTop w:val="0"/>
      <w:marBottom w:val="0"/>
      <w:divBdr>
        <w:top w:val="none" w:sz="0" w:space="0" w:color="auto"/>
        <w:left w:val="none" w:sz="0" w:space="0" w:color="auto"/>
        <w:bottom w:val="none" w:sz="0" w:space="0" w:color="auto"/>
        <w:right w:val="none" w:sz="0" w:space="0" w:color="auto"/>
      </w:divBdr>
    </w:div>
    <w:div w:id="805658214">
      <w:bodyDiv w:val="1"/>
      <w:marLeft w:val="0"/>
      <w:marRight w:val="0"/>
      <w:marTop w:val="0"/>
      <w:marBottom w:val="0"/>
      <w:divBdr>
        <w:top w:val="none" w:sz="0" w:space="0" w:color="auto"/>
        <w:left w:val="none" w:sz="0" w:space="0" w:color="auto"/>
        <w:bottom w:val="none" w:sz="0" w:space="0" w:color="auto"/>
        <w:right w:val="none" w:sz="0" w:space="0" w:color="auto"/>
      </w:divBdr>
    </w:div>
    <w:div w:id="806052186">
      <w:bodyDiv w:val="1"/>
      <w:marLeft w:val="0"/>
      <w:marRight w:val="0"/>
      <w:marTop w:val="0"/>
      <w:marBottom w:val="0"/>
      <w:divBdr>
        <w:top w:val="none" w:sz="0" w:space="0" w:color="auto"/>
        <w:left w:val="none" w:sz="0" w:space="0" w:color="auto"/>
        <w:bottom w:val="none" w:sz="0" w:space="0" w:color="auto"/>
        <w:right w:val="none" w:sz="0" w:space="0" w:color="auto"/>
      </w:divBdr>
    </w:div>
    <w:div w:id="902177430">
      <w:bodyDiv w:val="1"/>
      <w:marLeft w:val="0"/>
      <w:marRight w:val="0"/>
      <w:marTop w:val="0"/>
      <w:marBottom w:val="0"/>
      <w:divBdr>
        <w:top w:val="none" w:sz="0" w:space="0" w:color="auto"/>
        <w:left w:val="none" w:sz="0" w:space="0" w:color="auto"/>
        <w:bottom w:val="none" w:sz="0" w:space="0" w:color="auto"/>
        <w:right w:val="none" w:sz="0" w:space="0" w:color="auto"/>
      </w:divBdr>
    </w:div>
    <w:div w:id="1010831686">
      <w:bodyDiv w:val="1"/>
      <w:marLeft w:val="0"/>
      <w:marRight w:val="0"/>
      <w:marTop w:val="0"/>
      <w:marBottom w:val="0"/>
      <w:divBdr>
        <w:top w:val="none" w:sz="0" w:space="0" w:color="auto"/>
        <w:left w:val="none" w:sz="0" w:space="0" w:color="auto"/>
        <w:bottom w:val="none" w:sz="0" w:space="0" w:color="auto"/>
        <w:right w:val="none" w:sz="0" w:space="0" w:color="auto"/>
      </w:divBdr>
    </w:div>
    <w:div w:id="1024289098">
      <w:bodyDiv w:val="1"/>
      <w:marLeft w:val="0"/>
      <w:marRight w:val="0"/>
      <w:marTop w:val="0"/>
      <w:marBottom w:val="0"/>
      <w:divBdr>
        <w:top w:val="none" w:sz="0" w:space="0" w:color="auto"/>
        <w:left w:val="none" w:sz="0" w:space="0" w:color="auto"/>
        <w:bottom w:val="none" w:sz="0" w:space="0" w:color="auto"/>
        <w:right w:val="none" w:sz="0" w:space="0" w:color="auto"/>
      </w:divBdr>
    </w:div>
    <w:div w:id="1061640998">
      <w:bodyDiv w:val="1"/>
      <w:marLeft w:val="0"/>
      <w:marRight w:val="0"/>
      <w:marTop w:val="0"/>
      <w:marBottom w:val="0"/>
      <w:divBdr>
        <w:top w:val="none" w:sz="0" w:space="0" w:color="auto"/>
        <w:left w:val="none" w:sz="0" w:space="0" w:color="auto"/>
        <w:bottom w:val="none" w:sz="0" w:space="0" w:color="auto"/>
        <w:right w:val="none" w:sz="0" w:space="0" w:color="auto"/>
      </w:divBdr>
    </w:div>
    <w:div w:id="1062294418">
      <w:bodyDiv w:val="1"/>
      <w:marLeft w:val="0"/>
      <w:marRight w:val="0"/>
      <w:marTop w:val="0"/>
      <w:marBottom w:val="0"/>
      <w:divBdr>
        <w:top w:val="none" w:sz="0" w:space="0" w:color="auto"/>
        <w:left w:val="none" w:sz="0" w:space="0" w:color="auto"/>
        <w:bottom w:val="none" w:sz="0" w:space="0" w:color="auto"/>
        <w:right w:val="none" w:sz="0" w:space="0" w:color="auto"/>
      </w:divBdr>
    </w:div>
    <w:div w:id="1063673010">
      <w:bodyDiv w:val="1"/>
      <w:marLeft w:val="0"/>
      <w:marRight w:val="0"/>
      <w:marTop w:val="0"/>
      <w:marBottom w:val="0"/>
      <w:divBdr>
        <w:top w:val="none" w:sz="0" w:space="0" w:color="auto"/>
        <w:left w:val="none" w:sz="0" w:space="0" w:color="auto"/>
        <w:bottom w:val="none" w:sz="0" w:space="0" w:color="auto"/>
        <w:right w:val="none" w:sz="0" w:space="0" w:color="auto"/>
      </w:divBdr>
    </w:div>
    <w:div w:id="1106778964">
      <w:bodyDiv w:val="1"/>
      <w:marLeft w:val="0"/>
      <w:marRight w:val="0"/>
      <w:marTop w:val="0"/>
      <w:marBottom w:val="0"/>
      <w:divBdr>
        <w:top w:val="none" w:sz="0" w:space="0" w:color="auto"/>
        <w:left w:val="none" w:sz="0" w:space="0" w:color="auto"/>
        <w:bottom w:val="none" w:sz="0" w:space="0" w:color="auto"/>
        <w:right w:val="none" w:sz="0" w:space="0" w:color="auto"/>
      </w:divBdr>
    </w:div>
    <w:div w:id="1129516371">
      <w:bodyDiv w:val="1"/>
      <w:marLeft w:val="0"/>
      <w:marRight w:val="0"/>
      <w:marTop w:val="0"/>
      <w:marBottom w:val="0"/>
      <w:divBdr>
        <w:top w:val="none" w:sz="0" w:space="0" w:color="auto"/>
        <w:left w:val="none" w:sz="0" w:space="0" w:color="auto"/>
        <w:bottom w:val="none" w:sz="0" w:space="0" w:color="auto"/>
        <w:right w:val="none" w:sz="0" w:space="0" w:color="auto"/>
      </w:divBdr>
    </w:div>
    <w:div w:id="1173257332">
      <w:bodyDiv w:val="1"/>
      <w:marLeft w:val="0"/>
      <w:marRight w:val="0"/>
      <w:marTop w:val="0"/>
      <w:marBottom w:val="0"/>
      <w:divBdr>
        <w:top w:val="none" w:sz="0" w:space="0" w:color="auto"/>
        <w:left w:val="none" w:sz="0" w:space="0" w:color="auto"/>
        <w:bottom w:val="none" w:sz="0" w:space="0" w:color="auto"/>
        <w:right w:val="none" w:sz="0" w:space="0" w:color="auto"/>
      </w:divBdr>
    </w:div>
    <w:div w:id="1245259092">
      <w:bodyDiv w:val="1"/>
      <w:marLeft w:val="0"/>
      <w:marRight w:val="0"/>
      <w:marTop w:val="0"/>
      <w:marBottom w:val="0"/>
      <w:divBdr>
        <w:top w:val="none" w:sz="0" w:space="0" w:color="auto"/>
        <w:left w:val="none" w:sz="0" w:space="0" w:color="auto"/>
        <w:bottom w:val="none" w:sz="0" w:space="0" w:color="auto"/>
        <w:right w:val="none" w:sz="0" w:space="0" w:color="auto"/>
      </w:divBdr>
    </w:div>
    <w:div w:id="1269119867">
      <w:bodyDiv w:val="1"/>
      <w:marLeft w:val="0"/>
      <w:marRight w:val="0"/>
      <w:marTop w:val="0"/>
      <w:marBottom w:val="0"/>
      <w:divBdr>
        <w:top w:val="none" w:sz="0" w:space="0" w:color="auto"/>
        <w:left w:val="none" w:sz="0" w:space="0" w:color="auto"/>
        <w:bottom w:val="none" w:sz="0" w:space="0" w:color="auto"/>
        <w:right w:val="none" w:sz="0" w:space="0" w:color="auto"/>
      </w:divBdr>
    </w:div>
    <w:div w:id="1408649029">
      <w:marLeft w:val="0"/>
      <w:marRight w:val="0"/>
      <w:marTop w:val="0"/>
      <w:marBottom w:val="0"/>
      <w:divBdr>
        <w:top w:val="none" w:sz="0" w:space="0" w:color="auto"/>
        <w:left w:val="none" w:sz="0" w:space="0" w:color="auto"/>
        <w:bottom w:val="none" w:sz="0" w:space="0" w:color="auto"/>
        <w:right w:val="none" w:sz="0" w:space="0" w:color="auto"/>
      </w:divBdr>
    </w:div>
    <w:div w:id="1408649030">
      <w:marLeft w:val="0"/>
      <w:marRight w:val="0"/>
      <w:marTop w:val="0"/>
      <w:marBottom w:val="0"/>
      <w:divBdr>
        <w:top w:val="none" w:sz="0" w:space="0" w:color="auto"/>
        <w:left w:val="none" w:sz="0" w:space="0" w:color="auto"/>
        <w:bottom w:val="none" w:sz="0" w:space="0" w:color="auto"/>
        <w:right w:val="none" w:sz="0" w:space="0" w:color="auto"/>
      </w:divBdr>
    </w:div>
    <w:div w:id="1408649031">
      <w:marLeft w:val="0"/>
      <w:marRight w:val="0"/>
      <w:marTop w:val="0"/>
      <w:marBottom w:val="0"/>
      <w:divBdr>
        <w:top w:val="none" w:sz="0" w:space="0" w:color="auto"/>
        <w:left w:val="none" w:sz="0" w:space="0" w:color="auto"/>
        <w:bottom w:val="none" w:sz="0" w:space="0" w:color="auto"/>
        <w:right w:val="none" w:sz="0" w:space="0" w:color="auto"/>
      </w:divBdr>
    </w:div>
    <w:div w:id="1408649032">
      <w:marLeft w:val="0"/>
      <w:marRight w:val="0"/>
      <w:marTop w:val="0"/>
      <w:marBottom w:val="0"/>
      <w:divBdr>
        <w:top w:val="none" w:sz="0" w:space="0" w:color="auto"/>
        <w:left w:val="none" w:sz="0" w:space="0" w:color="auto"/>
        <w:bottom w:val="none" w:sz="0" w:space="0" w:color="auto"/>
        <w:right w:val="none" w:sz="0" w:space="0" w:color="auto"/>
      </w:divBdr>
    </w:div>
    <w:div w:id="1408649033">
      <w:marLeft w:val="0"/>
      <w:marRight w:val="0"/>
      <w:marTop w:val="0"/>
      <w:marBottom w:val="0"/>
      <w:divBdr>
        <w:top w:val="none" w:sz="0" w:space="0" w:color="auto"/>
        <w:left w:val="none" w:sz="0" w:space="0" w:color="auto"/>
        <w:bottom w:val="none" w:sz="0" w:space="0" w:color="auto"/>
        <w:right w:val="none" w:sz="0" w:space="0" w:color="auto"/>
      </w:divBdr>
      <w:divsChild>
        <w:div w:id="1408649147">
          <w:marLeft w:val="0"/>
          <w:marRight w:val="0"/>
          <w:marTop w:val="0"/>
          <w:marBottom w:val="0"/>
          <w:divBdr>
            <w:top w:val="none" w:sz="0" w:space="0" w:color="auto"/>
            <w:left w:val="none" w:sz="0" w:space="0" w:color="auto"/>
            <w:bottom w:val="none" w:sz="0" w:space="0" w:color="auto"/>
            <w:right w:val="none" w:sz="0" w:space="0" w:color="auto"/>
          </w:divBdr>
          <w:divsChild>
            <w:div w:id="1408649145">
              <w:marLeft w:val="0"/>
              <w:marRight w:val="0"/>
              <w:marTop w:val="0"/>
              <w:marBottom w:val="0"/>
              <w:divBdr>
                <w:top w:val="none" w:sz="0" w:space="0" w:color="auto"/>
                <w:left w:val="none" w:sz="0" w:space="0" w:color="auto"/>
                <w:bottom w:val="none" w:sz="0" w:space="0" w:color="auto"/>
                <w:right w:val="none" w:sz="0" w:space="0" w:color="auto"/>
              </w:divBdr>
              <w:divsChild>
                <w:div w:id="14086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649034">
      <w:marLeft w:val="0"/>
      <w:marRight w:val="0"/>
      <w:marTop w:val="0"/>
      <w:marBottom w:val="0"/>
      <w:divBdr>
        <w:top w:val="none" w:sz="0" w:space="0" w:color="auto"/>
        <w:left w:val="none" w:sz="0" w:space="0" w:color="auto"/>
        <w:bottom w:val="none" w:sz="0" w:space="0" w:color="auto"/>
        <w:right w:val="none" w:sz="0" w:space="0" w:color="auto"/>
      </w:divBdr>
    </w:div>
    <w:div w:id="1408649035">
      <w:marLeft w:val="0"/>
      <w:marRight w:val="0"/>
      <w:marTop w:val="0"/>
      <w:marBottom w:val="0"/>
      <w:divBdr>
        <w:top w:val="none" w:sz="0" w:space="0" w:color="auto"/>
        <w:left w:val="none" w:sz="0" w:space="0" w:color="auto"/>
        <w:bottom w:val="none" w:sz="0" w:space="0" w:color="auto"/>
        <w:right w:val="none" w:sz="0" w:space="0" w:color="auto"/>
      </w:divBdr>
    </w:div>
    <w:div w:id="1408649036">
      <w:marLeft w:val="0"/>
      <w:marRight w:val="0"/>
      <w:marTop w:val="0"/>
      <w:marBottom w:val="0"/>
      <w:divBdr>
        <w:top w:val="none" w:sz="0" w:space="0" w:color="auto"/>
        <w:left w:val="none" w:sz="0" w:space="0" w:color="auto"/>
        <w:bottom w:val="none" w:sz="0" w:space="0" w:color="auto"/>
        <w:right w:val="none" w:sz="0" w:space="0" w:color="auto"/>
      </w:divBdr>
    </w:div>
    <w:div w:id="1408649037">
      <w:marLeft w:val="0"/>
      <w:marRight w:val="0"/>
      <w:marTop w:val="0"/>
      <w:marBottom w:val="0"/>
      <w:divBdr>
        <w:top w:val="none" w:sz="0" w:space="0" w:color="auto"/>
        <w:left w:val="none" w:sz="0" w:space="0" w:color="auto"/>
        <w:bottom w:val="none" w:sz="0" w:space="0" w:color="auto"/>
        <w:right w:val="none" w:sz="0" w:space="0" w:color="auto"/>
      </w:divBdr>
    </w:div>
    <w:div w:id="1408649038">
      <w:marLeft w:val="0"/>
      <w:marRight w:val="0"/>
      <w:marTop w:val="0"/>
      <w:marBottom w:val="0"/>
      <w:divBdr>
        <w:top w:val="none" w:sz="0" w:space="0" w:color="auto"/>
        <w:left w:val="none" w:sz="0" w:space="0" w:color="auto"/>
        <w:bottom w:val="none" w:sz="0" w:space="0" w:color="auto"/>
        <w:right w:val="none" w:sz="0" w:space="0" w:color="auto"/>
      </w:divBdr>
    </w:div>
    <w:div w:id="1408649039">
      <w:marLeft w:val="0"/>
      <w:marRight w:val="0"/>
      <w:marTop w:val="0"/>
      <w:marBottom w:val="0"/>
      <w:divBdr>
        <w:top w:val="none" w:sz="0" w:space="0" w:color="auto"/>
        <w:left w:val="none" w:sz="0" w:space="0" w:color="auto"/>
        <w:bottom w:val="none" w:sz="0" w:space="0" w:color="auto"/>
        <w:right w:val="none" w:sz="0" w:space="0" w:color="auto"/>
      </w:divBdr>
    </w:div>
    <w:div w:id="1408649040">
      <w:marLeft w:val="0"/>
      <w:marRight w:val="0"/>
      <w:marTop w:val="0"/>
      <w:marBottom w:val="0"/>
      <w:divBdr>
        <w:top w:val="none" w:sz="0" w:space="0" w:color="auto"/>
        <w:left w:val="none" w:sz="0" w:space="0" w:color="auto"/>
        <w:bottom w:val="none" w:sz="0" w:space="0" w:color="auto"/>
        <w:right w:val="none" w:sz="0" w:space="0" w:color="auto"/>
      </w:divBdr>
    </w:div>
    <w:div w:id="1408649041">
      <w:marLeft w:val="0"/>
      <w:marRight w:val="0"/>
      <w:marTop w:val="0"/>
      <w:marBottom w:val="0"/>
      <w:divBdr>
        <w:top w:val="none" w:sz="0" w:space="0" w:color="auto"/>
        <w:left w:val="none" w:sz="0" w:space="0" w:color="auto"/>
        <w:bottom w:val="none" w:sz="0" w:space="0" w:color="auto"/>
        <w:right w:val="none" w:sz="0" w:space="0" w:color="auto"/>
      </w:divBdr>
    </w:div>
    <w:div w:id="1408649042">
      <w:marLeft w:val="0"/>
      <w:marRight w:val="0"/>
      <w:marTop w:val="0"/>
      <w:marBottom w:val="0"/>
      <w:divBdr>
        <w:top w:val="none" w:sz="0" w:space="0" w:color="auto"/>
        <w:left w:val="none" w:sz="0" w:space="0" w:color="auto"/>
        <w:bottom w:val="none" w:sz="0" w:space="0" w:color="auto"/>
        <w:right w:val="none" w:sz="0" w:space="0" w:color="auto"/>
      </w:divBdr>
    </w:div>
    <w:div w:id="1408649043">
      <w:marLeft w:val="0"/>
      <w:marRight w:val="0"/>
      <w:marTop w:val="0"/>
      <w:marBottom w:val="0"/>
      <w:divBdr>
        <w:top w:val="none" w:sz="0" w:space="0" w:color="auto"/>
        <w:left w:val="none" w:sz="0" w:space="0" w:color="auto"/>
        <w:bottom w:val="none" w:sz="0" w:space="0" w:color="auto"/>
        <w:right w:val="none" w:sz="0" w:space="0" w:color="auto"/>
      </w:divBdr>
    </w:div>
    <w:div w:id="1408649044">
      <w:marLeft w:val="0"/>
      <w:marRight w:val="0"/>
      <w:marTop w:val="0"/>
      <w:marBottom w:val="0"/>
      <w:divBdr>
        <w:top w:val="none" w:sz="0" w:space="0" w:color="auto"/>
        <w:left w:val="none" w:sz="0" w:space="0" w:color="auto"/>
        <w:bottom w:val="none" w:sz="0" w:space="0" w:color="auto"/>
        <w:right w:val="none" w:sz="0" w:space="0" w:color="auto"/>
      </w:divBdr>
    </w:div>
    <w:div w:id="1408649045">
      <w:marLeft w:val="0"/>
      <w:marRight w:val="0"/>
      <w:marTop w:val="0"/>
      <w:marBottom w:val="0"/>
      <w:divBdr>
        <w:top w:val="none" w:sz="0" w:space="0" w:color="auto"/>
        <w:left w:val="none" w:sz="0" w:space="0" w:color="auto"/>
        <w:bottom w:val="none" w:sz="0" w:space="0" w:color="auto"/>
        <w:right w:val="none" w:sz="0" w:space="0" w:color="auto"/>
      </w:divBdr>
    </w:div>
    <w:div w:id="1408649046">
      <w:marLeft w:val="0"/>
      <w:marRight w:val="0"/>
      <w:marTop w:val="0"/>
      <w:marBottom w:val="0"/>
      <w:divBdr>
        <w:top w:val="none" w:sz="0" w:space="0" w:color="auto"/>
        <w:left w:val="none" w:sz="0" w:space="0" w:color="auto"/>
        <w:bottom w:val="none" w:sz="0" w:space="0" w:color="auto"/>
        <w:right w:val="none" w:sz="0" w:space="0" w:color="auto"/>
      </w:divBdr>
    </w:div>
    <w:div w:id="1408649047">
      <w:marLeft w:val="0"/>
      <w:marRight w:val="0"/>
      <w:marTop w:val="0"/>
      <w:marBottom w:val="0"/>
      <w:divBdr>
        <w:top w:val="none" w:sz="0" w:space="0" w:color="auto"/>
        <w:left w:val="none" w:sz="0" w:space="0" w:color="auto"/>
        <w:bottom w:val="none" w:sz="0" w:space="0" w:color="auto"/>
        <w:right w:val="none" w:sz="0" w:space="0" w:color="auto"/>
      </w:divBdr>
    </w:div>
    <w:div w:id="1408649048">
      <w:marLeft w:val="0"/>
      <w:marRight w:val="0"/>
      <w:marTop w:val="0"/>
      <w:marBottom w:val="0"/>
      <w:divBdr>
        <w:top w:val="none" w:sz="0" w:space="0" w:color="auto"/>
        <w:left w:val="none" w:sz="0" w:space="0" w:color="auto"/>
        <w:bottom w:val="none" w:sz="0" w:space="0" w:color="auto"/>
        <w:right w:val="none" w:sz="0" w:space="0" w:color="auto"/>
      </w:divBdr>
    </w:div>
    <w:div w:id="1408649049">
      <w:marLeft w:val="0"/>
      <w:marRight w:val="0"/>
      <w:marTop w:val="0"/>
      <w:marBottom w:val="0"/>
      <w:divBdr>
        <w:top w:val="none" w:sz="0" w:space="0" w:color="auto"/>
        <w:left w:val="none" w:sz="0" w:space="0" w:color="auto"/>
        <w:bottom w:val="none" w:sz="0" w:space="0" w:color="auto"/>
        <w:right w:val="none" w:sz="0" w:space="0" w:color="auto"/>
      </w:divBdr>
    </w:div>
    <w:div w:id="1408649050">
      <w:marLeft w:val="0"/>
      <w:marRight w:val="0"/>
      <w:marTop w:val="0"/>
      <w:marBottom w:val="0"/>
      <w:divBdr>
        <w:top w:val="none" w:sz="0" w:space="0" w:color="auto"/>
        <w:left w:val="none" w:sz="0" w:space="0" w:color="auto"/>
        <w:bottom w:val="none" w:sz="0" w:space="0" w:color="auto"/>
        <w:right w:val="none" w:sz="0" w:space="0" w:color="auto"/>
      </w:divBdr>
    </w:div>
    <w:div w:id="1408649051">
      <w:marLeft w:val="0"/>
      <w:marRight w:val="0"/>
      <w:marTop w:val="0"/>
      <w:marBottom w:val="0"/>
      <w:divBdr>
        <w:top w:val="none" w:sz="0" w:space="0" w:color="auto"/>
        <w:left w:val="none" w:sz="0" w:space="0" w:color="auto"/>
        <w:bottom w:val="none" w:sz="0" w:space="0" w:color="auto"/>
        <w:right w:val="none" w:sz="0" w:space="0" w:color="auto"/>
      </w:divBdr>
    </w:div>
    <w:div w:id="1408649052">
      <w:marLeft w:val="0"/>
      <w:marRight w:val="0"/>
      <w:marTop w:val="0"/>
      <w:marBottom w:val="0"/>
      <w:divBdr>
        <w:top w:val="none" w:sz="0" w:space="0" w:color="auto"/>
        <w:left w:val="none" w:sz="0" w:space="0" w:color="auto"/>
        <w:bottom w:val="none" w:sz="0" w:space="0" w:color="auto"/>
        <w:right w:val="none" w:sz="0" w:space="0" w:color="auto"/>
      </w:divBdr>
    </w:div>
    <w:div w:id="1408649053">
      <w:marLeft w:val="0"/>
      <w:marRight w:val="0"/>
      <w:marTop w:val="0"/>
      <w:marBottom w:val="0"/>
      <w:divBdr>
        <w:top w:val="none" w:sz="0" w:space="0" w:color="auto"/>
        <w:left w:val="none" w:sz="0" w:space="0" w:color="auto"/>
        <w:bottom w:val="none" w:sz="0" w:space="0" w:color="auto"/>
        <w:right w:val="none" w:sz="0" w:space="0" w:color="auto"/>
      </w:divBdr>
    </w:div>
    <w:div w:id="1408649054">
      <w:marLeft w:val="0"/>
      <w:marRight w:val="0"/>
      <w:marTop w:val="0"/>
      <w:marBottom w:val="0"/>
      <w:divBdr>
        <w:top w:val="none" w:sz="0" w:space="0" w:color="auto"/>
        <w:left w:val="none" w:sz="0" w:space="0" w:color="auto"/>
        <w:bottom w:val="none" w:sz="0" w:space="0" w:color="auto"/>
        <w:right w:val="none" w:sz="0" w:space="0" w:color="auto"/>
      </w:divBdr>
    </w:div>
    <w:div w:id="1408649055">
      <w:marLeft w:val="0"/>
      <w:marRight w:val="0"/>
      <w:marTop w:val="0"/>
      <w:marBottom w:val="0"/>
      <w:divBdr>
        <w:top w:val="none" w:sz="0" w:space="0" w:color="auto"/>
        <w:left w:val="none" w:sz="0" w:space="0" w:color="auto"/>
        <w:bottom w:val="none" w:sz="0" w:space="0" w:color="auto"/>
        <w:right w:val="none" w:sz="0" w:space="0" w:color="auto"/>
      </w:divBdr>
    </w:div>
    <w:div w:id="1408649056">
      <w:marLeft w:val="0"/>
      <w:marRight w:val="0"/>
      <w:marTop w:val="0"/>
      <w:marBottom w:val="0"/>
      <w:divBdr>
        <w:top w:val="none" w:sz="0" w:space="0" w:color="auto"/>
        <w:left w:val="none" w:sz="0" w:space="0" w:color="auto"/>
        <w:bottom w:val="none" w:sz="0" w:space="0" w:color="auto"/>
        <w:right w:val="none" w:sz="0" w:space="0" w:color="auto"/>
      </w:divBdr>
    </w:div>
    <w:div w:id="1408649057">
      <w:marLeft w:val="0"/>
      <w:marRight w:val="0"/>
      <w:marTop w:val="0"/>
      <w:marBottom w:val="0"/>
      <w:divBdr>
        <w:top w:val="none" w:sz="0" w:space="0" w:color="auto"/>
        <w:left w:val="none" w:sz="0" w:space="0" w:color="auto"/>
        <w:bottom w:val="none" w:sz="0" w:space="0" w:color="auto"/>
        <w:right w:val="none" w:sz="0" w:space="0" w:color="auto"/>
      </w:divBdr>
    </w:div>
    <w:div w:id="1408649058">
      <w:marLeft w:val="0"/>
      <w:marRight w:val="0"/>
      <w:marTop w:val="0"/>
      <w:marBottom w:val="0"/>
      <w:divBdr>
        <w:top w:val="none" w:sz="0" w:space="0" w:color="auto"/>
        <w:left w:val="none" w:sz="0" w:space="0" w:color="auto"/>
        <w:bottom w:val="none" w:sz="0" w:space="0" w:color="auto"/>
        <w:right w:val="none" w:sz="0" w:space="0" w:color="auto"/>
      </w:divBdr>
    </w:div>
    <w:div w:id="1408649059">
      <w:marLeft w:val="0"/>
      <w:marRight w:val="0"/>
      <w:marTop w:val="0"/>
      <w:marBottom w:val="0"/>
      <w:divBdr>
        <w:top w:val="none" w:sz="0" w:space="0" w:color="auto"/>
        <w:left w:val="none" w:sz="0" w:space="0" w:color="auto"/>
        <w:bottom w:val="none" w:sz="0" w:space="0" w:color="auto"/>
        <w:right w:val="none" w:sz="0" w:space="0" w:color="auto"/>
      </w:divBdr>
    </w:div>
    <w:div w:id="1408649060">
      <w:marLeft w:val="0"/>
      <w:marRight w:val="0"/>
      <w:marTop w:val="0"/>
      <w:marBottom w:val="0"/>
      <w:divBdr>
        <w:top w:val="none" w:sz="0" w:space="0" w:color="auto"/>
        <w:left w:val="none" w:sz="0" w:space="0" w:color="auto"/>
        <w:bottom w:val="none" w:sz="0" w:space="0" w:color="auto"/>
        <w:right w:val="none" w:sz="0" w:space="0" w:color="auto"/>
      </w:divBdr>
    </w:div>
    <w:div w:id="1408649061">
      <w:marLeft w:val="0"/>
      <w:marRight w:val="0"/>
      <w:marTop w:val="0"/>
      <w:marBottom w:val="0"/>
      <w:divBdr>
        <w:top w:val="none" w:sz="0" w:space="0" w:color="auto"/>
        <w:left w:val="none" w:sz="0" w:space="0" w:color="auto"/>
        <w:bottom w:val="none" w:sz="0" w:space="0" w:color="auto"/>
        <w:right w:val="none" w:sz="0" w:space="0" w:color="auto"/>
      </w:divBdr>
    </w:div>
    <w:div w:id="1408649062">
      <w:marLeft w:val="0"/>
      <w:marRight w:val="0"/>
      <w:marTop w:val="0"/>
      <w:marBottom w:val="0"/>
      <w:divBdr>
        <w:top w:val="none" w:sz="0" w:space="0" w:color="auto"/>
        <w:left w:val="none" w:sz="0" w:space="0" w:color="auto"/>
        <w:bottom w:val="none" w:sz="0" w:space="0" w:color="auto"/>
        <w:right w:val="none" w:sz="0" w:space="0" w:color="auto"/>
      </w:divBdr>
    </w:div>
    <w:div w:id="1408649063">
      <w:marLeft w:val="0"/>
      <w:marRight w:val="0"/>
      <w:marTop w:val="0"/>
      <w:marBottom w:val="0"/>
      <w:divBdr>
        <w:top w:val="none" w:sz="0" w:space="0" w:color="auto"/>
        <w:left w:val="none" w:sz="0" w:space="0" w:color="auto"/>
        <w:bottom w:val="none" w:sz="0" w:space="0" w:color="auto"/>
        <w:right w:val="none" w:sz="0" w:space="0" w:color="auto"/>
      </w:divBdr>
    </w:div>
    <w:div w:id="1408649064">
      <w:marLeft w:val="0"/>
      <w:marRight w:val="0"/>
      <w:marTop w:val="0"/>
      <w:marBottom w:val="0"/>
      <w:divBdr>
        <w:top w:val="none" w:sz="0" w:space="0" w:color="auto"/>
        <w:left w:val="none" w:sz="0" w:space="0" w:color="auto"/>
        <w:bottom w:val="none" w:sz="0" w:space="0" w:color="auto"/>
        <w:right w:val="none" w:sz="0" w:space="0" w:color="auto"/>
      </w:divBdr>
    </w:div>
    <w:div w:id="1408649065">
      <w:marLeft w:val="0"/>
      <w:marRight w:val="0"/>
      <w:marTop w:val="0"/>
      <w:marBottom w:val="0"/>
      <w:divBdr>
        <w:top w:val="none" w:sz="0" w:space="0" w:color="auto"/>
        <w:left w:val="none" w:sz="0" w:space="0" w:color="auto"/>
        <w:bottom w:val="none" w:sz="0" w:space="0" w:color="auto"/>
        <w:right w:val="none" w:sz="0" w:space="0" w:color="auto"/>
      </w:divBdr>
    </w:div>
    <w:div w:id="1408649066">
      <w:marLeft w:val="0"/>
      <w:marRight w:val="0"/>
      <w:marTop w:val="0"/>
      <w:marBottom w:val="0"/>
      <w:divBdr>
        <w:top w:val="none" w:sz="0" w:space="0" w:color="auto"/>
        <w:left w:val="none" w:sz="0" w:space="0" w:color="auto"/>
        <w:bottom w:val="none" w:sz="0" w:space="0" w:color="auto"/>
        <w:right w:val="none" w:sz="0" w:space="0" w:color="auto"/>
      </w:divBdr>
    </w:div>
    <w:div w:id="1408649067">
      <w:marLeft w:val="0"/>
      <w:marRight w:val="0"/>
      <w:marTop w:val="0"/>
      <w:marBottom w:val="0"/>
      <w:divBdr>
        <w:top w:val="none" w:sz="0" w:space="0" w:color="auto"/>
        <w:left w:val="none" w:sz="0" w:space="0" w:color="auto"/>
        <w:bottom w:val="none" w:sz="0" w:space="0" w:color="auto"/>
        <w:right w:val="none" w:sz="0" w:space="0" w:color="auto"/>
      </w:divBdr>
    </w:div>
    <w:div w:id="1408649068">
      <w:marLeft w:val="0"/>
      <w:marRight w:val="0"/>
      <w:marTop w:val="0"/>
      <w:marBottom w:val="0"/>
      <w:divBdr>
        <w:top w:val="none" w:sz="0" w:space="0" w:color="auto"/>
        <w:left w:val="none" w:sz="0" w:space="0" w:color="auto"/>
        <w:bottom w:val="none" w:sz="0" w:space="0" w:color="auto"/>
        <w:right w:val="none" w:sz="0" w:space="0" w:color="auto"/>
      </w:divBdr>
    </w:div>
    <w:div w:id="1408649069">
      <w:marLeft w:val="0"/>
      <w:marRight w:val="0"/>
      <w:marTop w:val="0"/>
      <w:marBottom w:val="0"/>
      <w:divBdr>
        <w:top w:val="none" w:sz="0" w:space="0" w:color="auto"/>
        <w:left w:val="none" w:sz="0" w:space="0" w:color="auto"/>
        <w:bottom w:val="none" w:sz="0" w:space="0" w:color="auto"/>
        <w:right w:val="none" w:sz="0" w:space="0" w:color="auto"/>
      </w:divBdr>
    </w:div>
    <w:div w:id="1408649070">
      <w:marLeft w:val="0"/>
      <w:marRight w:val="0"/>
      <w:marTop w:val="0"/>
      <w:marBottom w:val="0"/>
      <w:divBdr>
        <w:top w:val="none" w:sz="0" w:space="0" w:color="auto"/>
        <w:left w:val="none" w:sz="0" w:space="0" w:color="auto"/>
        <w:bottom w:val="none" w:sz="0" w:space="0" w:color="auto"/>
        <w:right w:val="none" w:sz="0" w:space="0" w:color="auto"/>
      </w:divBdr>
    </w:div>
    <w:div w:id="1408649071">
      <w:marLeft w:val="0"/>
      <w:marRight w:val="0"/>
      <w:marTop w:val="0"/>
      <w:marBottom w:val="0"/>
      <w:divBdr>
        <w:top w:val="none" w:sz="0" w:space="0" w:color="auto"/>
        <w:left w:val="none" w:sz="0" w:space="0" w:color="auto"/>
        <w:bottom w:val="none" w:sz="0" w:space="0" w:color="auto"/>
        <w:right w:val="none" w:sz="0" w:space="0" w:color="auto"/>
      </w:divBdr>
    </w:div>
    <w:div w:id="1408649072">
      <w:marLeft w:val="0"/>
      <w:marRight w:val="0"/>
      <w:marTop w:val="0"/>
      <w:marBottom w:val="0"/>
      <w:divBdr>
        <w:top w:val="none" w:sz="0" w:space="0" w:color="auto"/>
        <w:left w:val="none" w:sz="0" w:space="0" w:color="auto"/>
        <w:bottom w:val="none" w:sz="0" w:space="0" w:color="auto"/>
        <w:right w:val="none" w:sz="0" w:space="0" w:color="auto"/>
      </w:divBdr>
    </w:div>
    <w:div w:id="1408649073">
      <w:marLeft w:val="0"/>
      <w:marRight w:val="0"/>
      <w:marTop w:val="0"/>
      <w:marBottom w:val="0"/>
      <w:divBdr>
        <w:top w:val="none" w:sz="0" w:space="0" w:color="auto"/>
        <w:left w:val="none" w:sz="0" w:space="0" w:color="auto"/>
        <w:bottom w:val="none" w:sz="0" w:space="0" w:color="auto"/>
        <w:right w:val="none" w:sz="0" w:space="0" w:color="auto"/>
      </w:divBdr>
    </w:div>
    <w:div w:id="1408649074">
      <w:marLeft w:val="0"/>
      <w:marRight w:val="0"/>
      <w:marTop w:val="0"/>
      <w:marBottom w:val="0"/>
      <w:divBdr>
        <w:top w:val="none" w:sz="0" w:space="0" w:color="auto"/>
        <w:left w:val="none" w:sz="0" w:space="0" w:color="auto"/>
        <w:bottom w:val="none" w:sz="0" w:space="0" w:color="auto"/>
        <w:right w:val="none" w:sz="0" w:space="0" w:color="auto"/>
      </w:divBdr>
    </w:div>
    <w:div w:id="1408649075">
      <w:marLeft w:val="0"/>
      <w:marRight w:val="0"/>
      <w:marTop w:val="0"/>
      <w:marBottom w:val="0"/>
      <w:divBdr>
        <w:top w:val="none" w:sz="0" w:space="0" w:color="auto"/>
        <w:left w:val="none" w:sz="0" w:space="0" w:color="auto"/>
        <w:bottom w:val="none" w:sz="0" w:space="0" w:color="auto"/>
        <w:right w:val="none" w:sz="0" w:space="0" w:color="auto"/>
      </w:divBdr>
    </w:div>
    <w:div w:id="1408649076">
      <w:marLeft w:val="0"/>
      <w:marRight w:val="0"/>
      <w:marTop w:val="0"/>
      <w:marBottom w:val="0"/>
      <w:divBdr>
        <w:top w:val="none" w:sz="0" w:space="0" w:color="auto"/>
        <w:left w:val="none" w:sz="0" w:space="0" w:color="auto"/>
        <w:bottom w:val="none" w:sz="0" w:space="0" w:color="auto"/>
        <w:right w:val="none" w:sz="0" w:space="0" w:color="auto"/>
      </w:divBdr>
    </w:div>
    <w:div w:id="1408649077">
      <w:marLeft w:val="0"/>
      <w:marRight w:val="0"/>
      <w:marTop w:val="0"/>
      <w:marBottom w:val="0"/>
      <w:divBdr>
        <w:top w:val="none" w:sz="0" w:space="0" w:color="auto"/>
        <w:left w:val="none" w:sz="0" w:space="0" w:color="auto"/>
        <w:bottom w:val="none" w:sz="0" w:space="0" w:color="auto"/>
        <w:right w:val="none" w:sz="0" w:space="0" w:color="auto"/>
      </w:divBdr>
    </w:div>
    <w:div w:id="1408649078">
      <w:marLeft w:val="0"/>
      <w:marRight w:val="0"/>
      <w:marTop w:val="0"/>
      <w:marBottom w:val="0"/>
      <w:divBdr>
        <w:top w:val="none" w:sz="0" w:space="0" w:color="auto"/>
        <w:left w:val="none" w:sz="0" w:space="0" w:color="auto"/>
        <w:bottom w:val="none" w:sz="0" w:space="0" w:color="auto"/>
        <w:right w:val="none" w:sz="0" w:space="0" w:color="auto"/>
      </w:divBdr>
    </w:div>
    <w:div w:id="1408649079">
      <w:marLeft w:val="0"/>
      <w:marRight w:val="0"/>
      <w:marTop w:val="0"/>
      <w:marBottom w:val="0"/>
      <w:divBdr>
        <w:top w:val="none" w:sz="0" w:space="0" w:color="auto"/>
        <w:left w:val="none" w:sz="0" w:space="0" w:color="auto"/>
        <w:bottom w:val="none" w:sz="0" w:space="0" w:color="auto"/>
        <w:right w:val="none" w:sz="0" w:space="0" w:color="auto"/>
      </w:divBdr>
    </w:div>
    <w:div w:id="1408649080">
      <w:marLeft w:val="0"/>
      <w:marRight w:val="0"/>
      <w:marTop w:val="0"/>
      <w:marBottom w:val="0"/>
      <w:divBdr>
        <w:top w:val="none" w:sz="0" w:space="0" w:color="auto"/>
        <w:left w:val="none" w:sz="0" w:space="0" w:color="auto"/>
        <w:bottom w:val="none" w:sz="0" w:space="0" w:color="auto"/>
        <w:right w:val="none" w:sz="0" w:space="0" w:color="auto"/>
      </w:divBdr>
    </w:div>
    <w:div w:id="1408649081">
      <w:marLeft w:val="0"/>
      <w:marRight w:val="0"/>
      <w:marTop w:val="0"/>
      <w:marBottom w:val="0"/>
      <w:divBdr>
        <w:top w:val="none" w:sz="0" w:space="0" w:color="auto"/>
        <w:left w:val="none" w:sz="0" w:space="0" w:color="auto"/>
        <w:bottom w:val="none" w:sz="0" w:space="0" w:color="auto"/>
        <w:right w:val="none" w:sz="0" w:space="0" w:color="auto"/>
      </w:divBdr>
    </w:div>
    <w:div w:id="1408649082">
      <w:marLeft w:val="0"/>
      <w:marRight w:val="0"/>
      <w:marTop w:val="0"/>
      <w:marBottom w:val="0"/>
      <w:divBdr>
        <w:top w:val="none" w:sz="0" w:space="0" w:color="auto"/>
        <w:left w:val="none" w:sz="0" w:space="0" w:color="auto"/>
        <w:bottom w:val="none" w:sz="0" w:space="0" w:color="auto"/>
        <w:right w:val="none" w:sz="0" w:space="0" w:color="auto"/>
      </w:divBdr>
    </w:div>
    <w:div w:id="1408649083">
      <w:marLeft w:val="0"/>
      <w:marRight w:val="0"/>
      <w:marTop w:val="0"/>
      <w:marBottom w:val="0"/>
      <w:divBdr>
        <w:top w:val="none" w:sz="0" w:space="0" w:color="auto"/>
        <w:left w:val="none" w:sz="0" w:space="0" w:color="auto"/>
        <w:bottom w:val="none" w:sz="0" w:space="0" w:color="auto"/>
        <w:right w:val="none" w:sz="0" w:space="0" w:color="auto"/>
      </w:divBdr>
    </w:div>
    <w:div w:id="1408649084">
      <w:marLeft w:val="0"/>
      <w:marRight w:val="0"/>
      <w:marTop w:val="0"/>
      <w:marBottom w:val="0"/>
      <w:divBdr>
        <w:top w:val="none" w:sz="0" w:space="0" w:color="auto"/>
        <w:left w:val="none" w:sz="0" w:space="0" w:color="auto"/>
        <w:bottom w:val="none" w:sz="0" w:space="0" w:color="auto"/>
        <w:right w:val="none" w:sz="0" w:space="0" w:color="auto"/>
      </w:divBdr>
    </w:div>
    <w:div w:id="1408649085">
      <w:marLeft w:val="0"/>
      <w:marRight w:val="0"/>
      <w:marTop w:val="0"/>
      <w:marBottom w:val="0"/>
      <w:divBdr>
        <w:top w:val="none" w:sz="0" w:space="0" w:color="auto"/>
        <w:left w:val="none" w:sz="0" w:space="0" w:color="auto"/>
        <w:bottom w:val="none" w:sz="0" w:space="0" w:color="auto"/>
        <w:right w:val="none" w:sz="0" w:space="0" w:color="auto"/>
      </w:divBdr>
    </w:div>
    <w:div w:id="1408649086">
      <w:marLeft w:val="0"/>
      <w:marRight w:val="0"/>
      <w:marTop w:val="0"/>
      <w:marBottom w:val="0"/>
      <w:divBdr>
        <w:top w:val="none" w:sz="0" w:space="0" w:color="auto"/>
        <w:left w:val="none" w:sz="0" w:space="0" w:color="auto"/>
        <w:bottom w:val="none" w:sz="0" w:space="0" w:color="auto"/>
        <w:right w:val="none" w:sz="0" w:space="0" w:color="auto"/>
      </w:divBdr>
    </w:div>
    <w:div w:id="1408649087">
      <w:marLeft w:val="0"/>
      <w:marRight w:val="0"/>
      <w:marTop w:val="0"/>
      <w:marBottom w:val="0"/>
      <w:divBdr>
        <w:top w:val="none" w:sz="0" w:space="0" w:color="auto"/>
        <w:left w:val="none" w:sz="0" w:space="0" w:color="auto"/>
        <w:bottom w:val="none" w:sz="0" w:space="0" w:color="auto"/>
        <w:right w:val="none" w:sz="0" w:space="0" w:color="auto"/>
      </w:divBdr>
    </w:div>
    <w:div w:id="1408649088">
      <w:marLeft w:val="0"/>
      <w:marRight w:val="0"/>
      <w:marTop w:val="0"/>
      <w:marBottom w:val="0"/>
      <w:divBdr>
        <w:top w:val="none" w:sz="0" w:space="0" w:color="auto"/>
        <w:left w:val="none" w:sz="0" w:space="0" w:color="auto"/>
        <w:bottom w:val="none" w:sz="0" w:space="0" w:color="auto"/>
        <w:right w:val="none" w:sz="0" w:space="0" w:color="auto"/>
      </w:divBdr>
    </w:div>
    <w:div w:id="1408649089">
      <w:marLeft w:val="0"/>
      <w:marRight w:val="0"/>
      <w:marTop w:val="0"/>
      <w:marBottom w:val="0"/>
      <w:divBdr>
        <w:top w:val="none" w:sz="0" w:space="0" w:color="auto"/>
        <w:left w:val="none" w:sz="0" w:space="0" w:color="auto"/>
        <w:bottom w:val="none" w:sz="0" w:space="0" w:color="auto"/>
        <w:right w:val="none" w:sz="0" w:space="0" w:color="auto"/>
      </w:divBdr>
    </w:div>
    <w:div w:id="1408649090">
      <w:marLeft w:val="0"/>
      <w:marRight w:val="0"/>
      <w:marTop w:val="0"/>
      <w:marBottom w:val="0"/>
      <w:divBdr>
        <w:top w:val="none" w:sz="0" w:space="0" w:color="auto"/>
        <w:left w:val="none" w:sz="0" w:space="0" w:color="auto"/>
        <w:bottom w:val="none" w:sz="0" w:space="0" w:color="auto"/>
        <w:right w:val="none" w:sz="0" w:space="0" w:color="auto"/>
      </w:divBdr>
    </w:div>
    <w:div w:id="1408649091">
      <w:marLeft w:val="0"/>
      <w:marRight w:val="0"/>
      <w:marTop w:val="0"/>
      <w:marBottom w:val="0"/>
      <w:divBdr>
        <w:top w:val="none" w:sz="0" w:space="0" w:color="auto"/>
        <w:left w:val="none" w:sz="0" w:space="0" w:color="auto"/>
        <w:bottom w:val="none" w:sz="0" w:space="0" w:color="auto"/>
        <w:right w:val="none" w:sz="0" w:space="0" w:color="auto"/>
      </w:divBdr>
    </w:div>
    <w:div w:id="1408649092">
      <w:marLeft w:val="0"/>
      <w:marRight w:val="0"/>
      <w:marTop w:val="0"/>
      <w:marBottom w:val="0"/>
      <w:divBdr>
        <w:top w:val="none" w:sz="0" w:space="0" w:color="auto"/>
        <w:left w:val="none" w:sz="0" w:space="0" w:color="auto"/>
        <w:bottom w:val="none" w:sz="0" w:space="0" w:color="auto"/>
        <w:right w:val="none" w:sz="0" w:space="0" w:color="auto"/>
      </w:divBdr>
    </w:div>
    <w:div w:id="1408649093">
      <w:marLeft w:val="0"/>
      <w:marRight w:val="0"/>
      <w:marTop w:val="0"/>
      <w:marBottom w:val="0"/>
      <w:divBdr>
        <w:top w:val="none" w:sz="0" w:space="0" w:color="auto"/>
        <w:left w:val="none" w:sz="0" w:space="0" w:color="auto"/>
        <w:bottom w:val="none" w:sz="0" w:space="0" w:color="auto"/>
        <w:right w:val="none" w:sz="0" w:space="0" w:color="auto"/>
      </w:divBdr>
    </w:div>
    <w:div w:id="1408649094">
      <w:marLeft w:val="0"/>
      <w:marRight w:val="0"/>
      <w:marTop w:val="0"/>
      <w:marBottom w:val="0"/>
      <w:divBdr>
        <w:top w:val="none" w:sz="0" w:space="0" w:color="auto"/>
        <w:left w:val="none" w:sz="0" w:space="0" w:color="auto"/>
        <w:bottom w:val="none" w:sz="0" w:space="0" w:color="auto"/>
        <w:right w:val="none" w:sz="0" w:space="0" w:color="auto"/>
      </w:divBdr>
    </w:div>
    <w:div w:id="1408649095">
      <w:marLeft w:val="0"/>
      <w:marRight w:val="0"/>
      <w:marTop w:val="0"/>
      <w:marBottom w:val="0"/>
      <w:divBdr>
        <w:top w:val="none" w:sz="0" w:space="0" w:color="auto"/>
        <w:left w:val="none" w:sz="0" w:space="0" w:color="auto"/>
        <w:bottom w:val="none" w:sz="0" w:space="0" w:color="auto"/>
        <w:right w:val="none" w:sz="0" w:space="0" w:color="auto"/>
      </w:divBdr>
    </w:div>
    <w:div w:id="1408649096">
      <w:marLeft w:val="0"/>
      <w:marRight w:val="0"/>
      <w:marTop w:val="0"/>
      <w:marBottom w:val="0"/>
      <w:divBdr>
        <w:top w:val="none" w:sz="0" w:space="0" w:color="auto"/>
        <w:left w:val="none" w:sz="0" w:space="0" w:color="auto"/>
        <w:bottom w:val="none" w:sz="0" w:space="0" w:color="auto"/>
        <w:right w:val="none" w:sz="0" w:space="0" w:color="auto"/>
      </w:divBdr>
    </w:div>
    <w:div w:id="1408649097">
      <w:marLeft w:val="0"/>
      <w:marRight w:val="0"/>
      <w:marTop w:val="0"/>
      <w:marBottom w:val="0"/>
      <w:divBdr>
        <w:top w:val="none" w:sz="0" w:space="0" w:color="auto"/>
        <w:left w:val="none" w:sz="0" w:space="0" w:color="auto"/>
        <w:bottom w:val="none" w:sz="0" w:space="0" w:color="auto"/>
        <w:right w:val="none" w:sz="0" w:space="0" w:color="auto"/>
      </w:divBdr>
    </w:div>
    <w:div w:id="1408649098">
      <w:marLeft w:val="0"/>
      <w:marRight w:val="0"/>
      <w:marTop w:val="0"/>
      <w:marBottom w:val="0"/>
      <w:divBdr>
        <w:top w:val="none" w:sz="0" w:space="0" w:color="auto"/>
        <w:left w:val="none" w:sz="0" w:space="0" w:color="auto"/>
        <w:bottom w:val="none" w:sz="0" w:space="0" w:color="auto"/>
        <w:right w:val="none" w:sz="0" w:space="0" w:color="auto"/>
      </w:divBdr>
    </w:div>
    <w:div w:id="1408649099">
      <w:marLeft w:val="0"/>
      <w:marRight w:val="0"/>
      <w:marTop w:val="0"/>
      <w:marBottom w:val="0"/>
      <w:divBdr>
        <w:top w:val="none" w:sz="0" w:space="0" w:color="auto"/>
        <w:left w:val="none" w:sz="0" w:space="0" w:color="auto"/>
        <w:bottom w:val="none" w:sz="0" w:space="0" w:color="auto"/>
        <w:right w:val="none" w:sz="0" w:space="0" w:color="auto"/>
      </w:divBdr>
    </w:div>
    <w:div w:id="1408649100">
      <w:marLeft w:val="0"/>
      <w:marRight w:val="0"/>
      <w:marTop w:val="0"/>
      <w:marBottom w:val="0"/>
      <w:divBdr>
        <w:top w:val="none" w:sz="0" w:space="0" w:color="auto"/>
        <w:left w:val="none" w:sz="0" w:space="0" w:color="auto"/>
        <w:bottom w:val="none" w:sz="0" w:space="0" w:color="auto"/>
        <w:right w:val="none" w:sz="0" w:space="0" w:color="auto"/>
      </w:divBdr>
    </w:div>
    <w:div w:id="1408649101">
      <w:marLeft w:val="0"/>
      <w:marRight w:val="0"/>
      <w:marTop w:val="0"/>
      <w:marBottom w:val="0"/>
      <w:divBdr>
        <w:top w:val="none" w:sz="0" w:space="0" w:color="auto"/>
        <w:left w:val="none" w:sz="0" w:space="0" w:color="auto"/>
        <w:bottom w:val="none" w:sz="0" w:space="0" w:color="auto"/>
        <w:right w:val="none" w:sz="0" w:space="0" w:color="auto"/>
      </w:divBdr>
    </w:div>
    <w:div w:id="1408649102">
      <w:marLeft w:val="0"/>
      <w:marRight w:val="0"/>
      <w:marTop w:val="0"/>
      <w:marBottom w:val="0"/>
      <w:divBdr>
        <w:top w:val="none" w:sz="0" w:space="0" w:color="auto"/>
        <w:left w:val="none" w:sz="0" w:space="0" w:color="auto"/>
        <w:bottom w:val="none" w:sz="0" w:space="0" w:color="auto"/>
        <w:right w:val="none" w:sz="0" w:space="0" w:color="auto"/>
      </w:divBdr>
    </w:div>
    <w:div w:id="1408649103">
      <w:marLeft w:val="0"/>
      <w:marRight w:val="0"/>
      <w:marTop w:val="0"/>
      <w:marBottom w:val="0"/>
      <w:divBdr>
        <w:top w:val="none" w:sz="0" w:space="0" w:color="auto"/>
        <w:left w:val="none" w:sz="0" w:space="0" w:color="auto"/>
        <w:bottom w:val="none" w:sz="0" w:space="0" w:color="auto"/>
        <w:right w:val="none" w:sz="0" w:space="0" w:color="auto"/>
      </w:divBdr>
    </w:div>
    <w:div w:id="1408649104">
      <w:marLeft w:val="0"/>
      <w:marRight w:val="0"/>
      <w:marTop w:val="0"/>
      <w:marBottom w:val="0"/>
      <w:divBdr>
        <w:top w:val="none" w:sz="0" w:space="0" w:color="auto"/>
        <w:left w:val="none" w:sz="0" w:space="0" w:color="auto"/>
        <w:bottom w:val="none" w:sz="0" w:space="0" w:color="auto"/>
        <w:right w:val="none" w:sz="0" w:space="0" w:color="auto"/>
      </w:divBdr>
    </w:div>
    <w:div w:id="1408649105">
      <w:marLeft w:val="0"/>
      <w:marRight w:val="0"/>
      <w:marTop w:val="0"/>
      <w:marBottom w:val="0"/>
      <w:divBdr>
        <w:top w:val="none" w:sz="0" w:space="0" w:color="auto"/>
        <w:left w:val="none" w:sz="0" w:space="0" w:color="auto"/>
        <w:bottom w:val="none" w:sz="0" w:space="0" w:color="auto"/>
        <w:right w:val="none" w:sz="0" w:space="0" w:color="auto"/>
      </w:divBdr>
    </w:div>
    <w:div w:id="1408649106">
      <w:marLeft w:val="0"/>
      <w:marRight w:val="0"/>
      <w:marTop w:val="0"/>
      <w:marBottom w:val="0"/>
      <w:divBdr>
        <w:top w:val="none" w:sz="0" w:space="0" w:color="auto"/>
        <w:left w:val="none" w:sz="0" w:space="0" w:color="auto"/>
        <w:bottom w:val="none" w:sz="0" w:space="0" w:color="auto"/>
        <w:right w:val="none" w:sz="0" w:space="0" w:color="auto"/>
      </w:divBdr>
    </w:div>
    <w:div w:id="1408649107">
      <w:marLeft w:val="0"/>
      <w:marRight w:val="0"/>
      <w:marTop w:val="0"/>
      <w:marBottom w:val="0"/>
      <w:divBdr>
        <w:top w:val="none" w:sz="0" w:space="0" w:color="auto"/>
        <w:left w:val="none" w:sz="0" w:space="0" w:color="auto"/>
        <w:bottom w:val="none" w:sz="0" w:space="0" w:color="auto"/>
        <w:right w:val="none" w:sz="0" w:space="0" w:color="auto"/>
      </w:divBdr>
    </w:div>
    <w:div w:id="1408649108">
      <w:marLeft w:val="0"/>
      <w:marRight w:val="0"/>
      <w:marTop w:val="0"/>
      <w:marBottom w:val="0"/>
      <w:divBdr>
        <w:top w:val="none" w:sz="0" w:space="0" w:color="auto"/>
        <w:left w:val="none" w:sz="0" w:space="0" w:color="auto"/>
        <w:bottom w:val="none" w:sz="0" w:space="0" w:color="auto"/>
        <w:right w:val="none" w:sz="0" w:space="0" w:color="auto"/>
      </w:divBdr>
    </w:div>
    <w:div w:id="1408649109">
      <w:marLeft w:val="0"/>
      <w:marRight w:val="0"/>
      <w:marTop w:val="0"/>
      <w:marBottom w:val="0"/>
      <w:divBdr>
        <w:top w:val="none" w:sz="0" w:space="0" w:color="auto"/>
        <w:left w:val="none" w:sz="0" w:space="0" w:color="auto"/>
        <w:bottom w:val="none" w:sz="0" w:space="0" w:color="auto"/>
        <w:right w:val="none" w:sz="0" w:space="0" w:color="auto"/>
      </w:divBdr>
    </w:div>
    <w:div w:id="1408649110">
      <w:marLeft w:val="0"/>
      <w:marRight w:val="0"/>
      <w:marTop w:val="0"/>
      <w:marBottom w:val="0"/>
      <w:divBdr>
        <w:top w:val="none" w:sz="0" w:space="0" w:color="auto"/>
        <w:left w:val="none" w:sz="0" w:space="0" w:color="auto"/>
        <w:bottom w:val="none" w:sz="0" w:space="0" w:color="auto"/>
        <w:right w:val="none" w:sz="0" w:space="0" w:color="auto"/>
      </w:divBdr>
    </w:div>
    <w:div w:id="1408649111">
      <w:marLeft w:val="0"/>
      <w:marRight w:val="0"/>
      <w:marTop w:val="0"/>
      <w:marBottom w:val="0"/>
      <w:divBdr>
        <w:top w:val="none" w:sz="0" w:space="0" w:color="auto"/>
        <w:left w:val="none" w:sz="0" w:space="0" w:color="auto"/>
        <w:bottom w:val="none" w:sz="0" w:space="0" w:color="auto"/>
        <w:right w:val="none" w:sz="0" w:space="0" w:color="auto"/>
      </w:divBdr>
    </w:div>
    <w:div w:id="1408649112">
      <w:marLeft w:val="0"/>
      <w:marRight w:val="0"/>
      <w:marTop w:val="0"/>
      <w:marBottom w:val="0"/>
      <w:divBdr>
        <w:top w:val="none" w:sz="0" w:space="0" w:color="auto"/>
        <w:left w:val="none" w:sz="0" w:space="0" w:color="auto"/>
        <w:bottom w:val="none" w:sz="0" w:space="0" w:color="auto"/>
        <w:right w:val="none" w:sz="0" w:space="0" w:color="auto"/>
      </w:divBdr>
    </w:div>
    <w:div w:id="1408649113">
      <w:marLeft w:val="0"/>
      <w:marRight w:val="0"/>
      <w:marTop w:val="0"/>
      <w:marBottom w:val="0"/>
      <w:divBdr>
        <w:top w:val="none" w:sz="0" w:space="0" w:color="auto"/>
        <w:left w:val="none" w:sz="0" w:space="0" w:color="auto"/>
        <w:bottom w:val="none" w:sz="0" w:space="0" w:color="auto"/>
        <w:right w:val="none" w:sz="0" w:space="0" w:color="auto"/>
      </w:divBdr>
    </w:div>
    <w:div w:id="1408649114">
      <w:marLeft w:val="0"/>
      <w:marRight w:val="0"/>
      <w:marTop w:val="0"/>
      <w:marBottom w:val="0"/>
      <w:divBdr>
        <w:top w:val="none" w:sz="0" w:space="0" w:color="auto"/>
        <w:left w:val="none" w:sz="0" w:space="0" w:color="auto"/>
        <w:bottom w:val="none" w:sz="0" w:space="0" w:color="auto"/>
        <w:right w:val="none" w:sz="0" w:space="0" w:color="auto"/>
      </w:divBdr>
    </w:div>
    <w:div w:id="1408649115">
      <w:marLeft w:val="0"/>
      <w:marRight w:val="0"/>
      <w:marTop w:val="0"/>
      <w:marBottom w:val="0"/>
      <w:divBdr>
        <w:top w:val="none" w:sz="0" w:space="0" w:color="auto"/>
        <w:left w:val="none" w:sz="0" w:space="0" w:color="auto"/>
        <w:bottom w:val="none" w:sz="0" w:space="0" w:color="auto"/>
        <w:right w:val="none" w:sz="0" w:space="0" w:color="auto"/>
      </w:divBdr>
    </w:div>
    <w:div w:id="1408649116">
      <w:marLeft w:val="0"/>
      <w:marRight w:val="0"/>
      <w:marTop w:val="0"/>
      <w:marBottom w:val="0"/>
      <w:divBdr>
        <w:top w:val="none" w:sz="0" w:space="0" w:color="auto"/>
        <w:left w:val="none" w:sz="0" w:space="0" w:color="auto"/>
        <w:bottom w:val="none" w:sz="0" w:space="0" w:color="auto"/>
        <w:right w:val="none" w:sz="0" w:space="0" w:color="auto"/>
      </w:divBdr>
    </w:div>
    <w:div w:id="1408649117">
      <w:marLeft w:val="0"/>
      <w:marRight w:val="0"/>
      <w:marTop w:val="0"/>
      <w:marBottom w:val="0"/>
      <w:divBdr>
        <w:top w:val="none" w:sz="0" w:space="0" w:color="auto"/>
        <w:left w:val="none" w:sz="0" w:space="0" w:color="auto"/>
        <w:bottom w:val="none" w:sz="0" w:space="0" w:color="auto"/>
        <w:right w:val="none" w:sz="0" w:space="0" w:color="auto"/>
      </w:divBdr>
    </w:div>
    <w:div w:id="1408649118">
      <w:marLeft w:val="0"/>
      <w:marRight w:val="0"/>
      <w:marTop w:val="0"/>
      <w:marBottom w:val="0"/>
      <w:divBdr>
        <w:top w:val="none" w:sz="0" w:space="0" w:color="auto"/>
        <w:left w:val="none" w:sz="0" w:space="0" w:color="auto"/>
        <w:bottom w:val="none" w:sz="0" w:space="0" w:color="auto"/>
        <w:right w:val="none" w:sz="0" w:space="0" w:color="auto"/>
      </w:divBdr>
    </w:div>
    <w:div w:id="1408649119">
      <w:marLeft w:val="0"/>
      <w:marRight w:val="0"/>
      <w:marTop w:val="0"/>
      <w:marBottom w:val="0"/>
      <w:divBdr>
        <w:top w:val="none" w:sz="0" w:space="0" w:color="auto"/>
        <w:left w:val="none" w:sz="0" w:space="0" w:color="auto"/>
        <w:bottom w:val="none" w:sz="0" w:space="0" w:color="auto"/>
        <w:right w:val="none" w:sz="0" w:space="0" w:color="auto"/>
      </w:divBdr>
    </w:div>
    <w:div w:id="1408649120">
      <w:marLeft w:val="0"/>
      <w:marRight w:val="0"/>
      <w:marTop w:val="0"/>
      <w:marBottom w:val="0"/>
      <w:divBdr>
        <w:top w:val="none" w:sz="0" w:space="0" w:color="auto"/>
        <w:left w:val="none" w:sz="0" w:space="0" w:color="auto"/>
        <w:bottom w:val="none" w:sz="0" w:space="0" w:color="auto"/>
        <w:right w:val="none" w:sz="0" w:space="0" w:color="auto"/>
      </w:divBdr>
    </w:div>
    <w:div w:id="1408649121">
      <w:marLeft w:val="0"/>
      <w:marRight w:val="0"/>
      <w:marTop w:val="0"/>
      <w:marBottom w:val="0"/>
      <w:divBdr>
        <w:top w:val="none" w:sz="0" w:space="0" w:color="auto"/>
        <w:left w:val="none" w:sz="0" w:space="0" w:color="auto"/>
        <w:bottom w:val="none" w:sz="0" w:space="0" w:color="auto"/>
        <w:right w:val="none" w:sz="0" w:space="0" w:color="auto"/>
      </w:divBdr>
    </w:div>
    <w:div w:id="1408649122">
      <w:marLeft w:val="0"/>
      <w:marRight w:val="0"/>
      <w:marTop w:val="0"/>
      <w:marBottom w:val="0"/>
      <w:divBdr>
        <w:top w:val="none" w:sz="0" w:space="0" w:color="auto"/>
        <w:left w:val="none" w:sz="0" w:space="0" w:color="auto"/>
        <w:bottom w:val="none" w:sz="0" w:space="0" w:color="auto"/>
        <w:right w:val="none" w:sz="0" w:space="0" w:color="auto"/>
      </w:divBdr>
    </w:div>
    <w:div w:id="1408649123">
      <w:marLeft w:val="0"/>
      <w:marRight w:val="0"/>
      <w:marTop w:val="0"/>
      <w:marBottom w:val="0"/>
      <w:divBdr>
        <w:top w:val="none" w:sz="0" w:space="0" w:color="auto"/>
        <w:left w:val="none" w:sz="0" w:space="0" w:color="auto"/>
        <w:bottom w:val="none" w:sz="0" w:space="0" w:color="auto"/>
        <w:right w:val="none" w:sz="0" w:space="0" w:color="auto"/>
      </w:divBdr>
    </w:div>
    <w:div w:id="1408649124">
      <w:marLeft w:val="0"/>
      <w:marRight w:val="0"/>
      <w:marTop w:val="0"/>
      <w:marBottom w:val="0"/>
      <w:divBdr>
        <w:top w:val="none" w:sz="0" w:space="0" w:color="auto"/>
        <w:left w:val="none" w:sz="0" w:space="0" w:color="auto"/>
        <w:bottom w:val="none" w:sz="0" w:space="0" w:color="auto"/>
        <w:right w:val="none" w:sz="0" w:space="0" w:color="auto"/>
      </w:divBdr>
    </w:div>
    <w:div w:id="1408649125">
      <w:marLeft w:val="0"/>
      <w:marRight w:val="0"/>
      <w:marTop w:val="0"/>
      <w:marBottom w:val="0"/>
      <w:divBdr>
        <w:top w:val="none" w:sz="0" w:space="0" w:color="auto"/>
        <w:left w:val="none" w:sz="0" w:space="0" w:color="auto"/>
        <w:bottom w:val="none" w:sz="0" w:space="0" w:color="auto"/>
        <w:right w:val="none" w:sz="0" w:space="0" w:color="auto"/>
      </w:divBdr>
    </w:div>
    <w:div w:id="1408649126">
      <w:marLeft w:val="0"/>
      <w:marRight w:val="0"/>
      <w:marTop w:val="0"/>
      <w:marBottom w:val="0"/>
      <w:divBdr>
        <w:top w:val="none" w:sz="0" w:space="0" w:color="auto"/>
        <w:left w:val="none" w:sz="0" w:space="0" w:color="auto"/>
        <w:bottom w:val="none" w:sz="0" w:space="0" w:color="auto"/>
        <w:right w:val="none" w:sz="0" w:space="0" w:color="auto"/>
      </w:divBdr>
    </w:div>
    <w:div w:id="1408649127">
      <w:marLeft w:val="0"/>
      <w:marRight w:val="0"/>
      <w:marTop w:val="0"/>
      <w:marBottom w:val="0"/>
      <w:divBdr>
        <w:top w:val="none" w:sz="0" w:space="0" w:color="auto"/>
        <w:left w:val="none" w:sz="0" w:space="0" w:color="auto"/>
        <w:bottom w:val="none" w:sz="0" w:space="0" w:color="auto"/>
        <w:right w:val="none" w:sz="0" w:space="0" w:color="auto"/>
      </w:divBdr>
    </w:div>
    <w:div w:id="1408649128">
      <w:marLeft w:val="0"/>
      <w:marRight w:val="0"/>
      <w:marTop w:val="0"/>
      <w:marBottom w:val="0"/>
      <w:divBdr>
        <w:top w:val="none" w:sz="0" w:space="0" w:color="auto"/>
        <w:left w:val="none" w:sz="0" w:space="0" w:color="auto"/>
        <w:bottom w:val="none" w:sz="0" w:space="0" w:color="auto"/>
        <w:right w:val="none" w:sz="0" w:space="0" w:color="auto"/>
      </w:divBdr>
    </w:div>
    <w:div w:id="1408649129">
      <w:marLeft w:val="0"/>
      <w:marRight w:val="0"/>
      <w:marTop w:val="0"/>
      <w:marBottom w:val="0"/>
      <w:divBdr>
        <w:top w:val="none" w:sz="0" w:space="0" w:color="auto"/>
        <w:left w:val="none" w:sz="0" w:space="0" w:color="auto"/>
        <w:bottom w:val="none" w:sz="0" w:space="0" w:color="auto"/>
        <w:right w:val="none" w:sz="0" w:space="0" w:color="auto"/>
      </w:divBdr>
    </w:div>
    <w:div w:id="1408649130">
      <w:marLeft w:val="0"/>
      <w:marRight w:val="0"/>
      <w:marTop w:val="0"/>
      <w:marBottom w:val="0"/>
      <w:divBdr>
        <w:top w:val="none" w:sz="0" w:space="0" w:color="auto"/>
        <w:left w:val="none" w:sz="0" w:space="0" w:color="auto"/>
        <w:bottom w:val="none" w:sz="0" w:space="0" w:color="auto"/>
        <w:right w:val="none" w:sz="0" w:space="0" w:color="auto"/>
      </w:divBdr>
    </w:div>
    <w:div w:id="1408649131">
      <w:marLeft w:val="0"/>
      <w:marRight w:val="0"/>
      <w:marTop w:val="0"/>
      <w:marBottom w:val="0"/>
      <w:divBdr>
        <w:top w:val="none" w:sz="0" w:space="0" w:color="auto"/>
        <w:left w:val="none" w:sz="0" w:space="0" w:color="auto"/>
        <w:bottom w:val="none" w:sz="0" w:space="0" w:color="auto"/>
        <w:right w:val="none" w:sz="0" w:space="0" w:color="auto"/>
      </w:divBdr>
    </w:div>
    <w:div w:id="1408649132">
      <w:marLeft w:val="0"/>
      <w:marRight w:val="0"/>
      <w:marTop w:val="0"/>
      <w:marBottom w:val="0"/>
      <w:divBdr>
        <w:top w:val="none" w:sz="0" w:space="0" w:color="auto"/>
        <w:left w:val="none" w:sz="0" w:space="0" w:color="auto"/>
        <w:bottom w:val="none" w:sz="0" w:space="0" w:color="auto"/>
        <w:right w:val="none" w:sz="0" w:space="0" w:color="auto"/>
      </w:divBdr>
    </w:div>
    <w:div w:id="1408649133">
      <w:marLeft w:val="0"/>
      <w:marRight w:val="0"/>
      <w:marTop w:val="0"/>
      <w:marBottom w:val="0"/>
      <w:divBdr>
        <w:top w:val="none" w:sz="0" w:space="0" w:color="auto"/>
        <w:left w:val="none" w:sz="0" w:space="0" w:color="auto"/>
        <w:bottom w:val="none" w:sz="0" w:space="0" w:color="auto"/>
        <w:right w:val="none" w:sz="0" w:space="0" w:color="auto"/>
      </w:divBdr>
    </w:div>
    <w:div w:id="1408649134">
      <w:marLeft w:val="0"/>
      <w:marRight w:val="0"/>
      <w:marTop w:val="0"/>
      <w:marBottom w:val="0"/>
      <w:divBdr>
        <w:top w:val="none" w:sz="0" w:space="0" w:color="auto"/>
        <w:left w:val="none" w:sz="0" w:space="0" w:color="auto"/>
        <w:bottom w:val="none" w:sz="0" w:space="0" w:color="auto"/>
        <w:right w:val="none" w:sz="0" w:space="0" w:color="auto"/>
      </w:divBdr>
    </w:div>
    <w:div w:id="1408649135">
      <w:marLeft w:val="0"/>
      <w:marRight w:val="0"/>
      <w:marTop w:val="0"/>
      <w:marBottom w:val="0"/>
      <w:divBdr>
        <w:top w:val="none" w:sz="0" w:space="0" w:color="auto"/>
        <w:left w:val="none" w:sz="0" w:space="0" w:color="auto"/>
        <w:bottom w:val="none" w:sz="0" w:space="0" w:color="auto"/>
        <w:right w:val="none" w:sz="0" w:space="0" w:color="auto"/>
      </w:divBdr>
    </w:div>
    <w:div w:id="1408649136">
      <w:marLeft w:val="0"/>
      <w:marRight w:val="0"/>
      <w:marTop w:val="0"/>
      <w:marBottom w:val="0"/>
      <w:divBdr>
        <w:top w:val="none" w:sz="0" w:space="0" w:color="auto"/>
        <w:left w:val="none" w:sz="0" w:space="0" w:color="auto"/>
        <w:bottom w:val="none" w:sz="0" w:space="0" w:color="auto"/>
        <w:right w:val="none" w:sz="0" w:space="0" w:color="auto"/>
      </w:divBdr>
    </w:div>
    <w:div w:id="1408649137">
      <w:marLeft w:val="0"/>
      <w:marRight w:val="0"/>
      <w:marTop w:val="0"/>
      <w:marBottom w:val="0"/>
      <w:divBdr>
        <w:top w:val="none" w:sz="0" w:space="0" w:color="auto"/>
        <w:left w:val="none" w:sz="0" w:space="0" w:color="auto"/>
        <w:bottom w:val="none" w:sz="0" w:space="0" w:color="auto"/>
        <w:right w:val="none" w:sz="0" w:space="0" w:color="auto"/>
      </w:divBdr>
    </w:div>
    <w:div w:id="1408649138">
      <w:marLeft w:val="0"/>
      <w:marRight w:val="0"/>
      <w:marTop w:val="0"/>
      <w:marBottom w:val="0"/>
      <w:divBdr>
        <w:top w:val="none" w:sz="0" w:space="0" w:color="auto"/>
        <w:left w:val="none" w:sz="0" w:space="0" w:color="auto"/>
        <w:bottom w:val="none" w:sz="0" w:space="0" w:color="auto"/>
        <w:right w:val="none" w:sz="0" w:space="0" w:color="auto"/>
      </w:divBdr>
    </w:div>
    <w:div w:id="1408649139">
      <w:marLeft w:val="0"/>
      <w:marRight w:val="0"/>
      <w:marTop w:val="0"/>
      <w:marBottom w:val="0"/>
      <w:divBdr>
        <w:top w:val="none" w:sz="0" w:space="0" w:color="auto"/>
        <w:left w:val="none" w:sz="0" w:space="0" w:color="auto"/>
        <w:bottom w:val="none" w:sz="0" w:space="0" w:color="auto"/>
        <w:right w:val="none" w:sz="0" w:space="0" w:color="auto"/>
      </w:divBdr>
    </w:div>
    <w:div w:id="1408649140">
      <w:marLeft w:val="0"/>
      <w:marRight w:val="0"/>
      <w:marTop w:val="0"/>
      <w:marBottom w:val="0"/>
      <w:divBdr>
        <w:top w:val="none" w:sz="0" w:space="0" w:color="auto"/>
        <w:left w:val="none" w:sz="0" w:space="0" w:color="auto"/>
        <w:bottom w:val="none" w:sz="0" w:space="0" w:color="auto"/>
        <w:right w:val="none" w:sz="0" w:space="0" w:color="auto"/>
      </w:divBdr>
    </w:div>
    <w:div w:id="1408649141">
      <w:marLeft w:val="0"/>
      <w:marRight w:val="0"/>
      <w:marTop w:val="0"/>
      <w:marBottom w:val="0"/>
      <w:divBdr>
        <w:top w:val="none" w:sz="0" w:space="0" w:color="auto"/>
        <w:left w:val="none" w:sz="0" w:space="0" w:color="auto"/>
        <w:bottom w:val="none" w:sz="0" w:space="0" w:color="auto"/>
        <w:right w:val="none" w:sz="0" w:space="0" w:color="auto"/>
      </w:divBdr>
    </w:div>
    <w:div w:id="1408649142">
      <w:marLeft w:val="0"/>
      <w:marRight w:val="0"/>
      <w:marTop w:val="0"/>
      <w:marBottom w:val="0"/>
      <w:divBdr>
        <w:top w:val="none" w:sz="0" w:space="0" w:color="auto"/>
        <w:left w:val="none" w:sz="0" w:space="0" w:color="auto"/>
        <w:bottom w:val="none" w:sz="0" w:space="0" w:color="auto"/>
        <w:right w:val="none" w:sz="0" w:space="0" w:color="auto"/>
      </w:divBdr>
    </w:div>
    <w:div w:id="1408649143">
      <w:marLeft w:val="0"/>
      <w:marRight w:val="0"/>
      <w:marTop w:val="0"/>
      <w:marBottom w:val="0"/>
      <w:divBdr>
        <w:top w:val="none" w:sz="0" w:space="0" w:color="auto"/>
        <w:left w:val="none" w:sz="0" w:space="0" w:color="auto"/>
        <w:bottom w:val="none" w:sz="0" w:space="0" w:color="auto"/>
        <w:right w:val="none" w:sz="0" w:space="0" w:color="auto"/>
      </w:divBdr>
    </w:div>
    <w:div w:id="1408649144">
      <w:marLeft w:val="0"/>
      <w:marRight w:val="0"/>
      <w:marTop w:val="0"/>
      <w:marBottom w:val="0"/>
      <w:divBdr>
        <w:top w:val="none" w:sz="0" w:space="0" w:color="auto"/>
        <w:left w:val="none" w:sz="0" w:space="0" w:color="auto"/>
        <w:bottom w:val="none" w:sz="0" w:space="0" w:color="auto"/>
        <w:right w:val="none" w:sz="0" w:space="0" w:color="auto"/>
      </w:divBdr>
    </w:div>
    <w:div w:id="1408649148">
      <w:marLeft w:val="0"/>
      <w:marRight w:val="0"/>
      <w:marTop w:val="0"/>
      <w:marBottom w:val="0"/>
      <w:divBdr>
        <w:top w:val="none" w:sz="0" w:space="0" w:color="auto"/>
        <w:left w:val="none" w:sz="0" w:space="0" w:color="auto"/>
        <w:bottom w:val="none" w:sz="0" w:space="0" w:color="auto"/>
        <w:right w:val="none" w:sz="0" w:space="0" w:color="auto"/>
      </w:divBdr>
    </w:div>
    <w:div w:id="1491945112">
      <w:bodyDiv w:val="1"/>
      <w:marLeft w:val="0"/>
      <w:marRight w:val="0"/>
      <w:marTop w:val="0"/>
      <w:marBottom w:val="0"/>
      <w:divBdr>
        <w:top w:val="none" w:sz="0" w:space="0" w:color="auto"/>
        <w:left w:val="none" w:sz="0" w:space="0" w:color="auto"/>
        <w:bottom w:val="none" w:sz="0" w:space="0" w:color="auto"/>
        <w:right w:val="none" w:sz="0" w:space="0" w:color="auto"/>
      </w:divBdr>
    </w:div>
    <w:div w:id="1607614620">
      <w:bodyDiv w:val="1"/>
      <w:marLeft w:val="0"/>
      <w:marRight w:val="0"/>
      <w:marTop w:val="0"/>
      <w:marBottom w:val="0"/>
      <w:divBdr>
        <w:top w:val="none" w:sz="0" w:space="0" w:color="auto"/>
        <w:left w:val="none" w:sz="0" w:space="0" w:color="auto"/>
        <w:bottom w:val="none" w:sz="0" w:space="0" w:color="auto"/>
        <w:right w:val="none" w:sz="0" w:space="0" w:color="auto"/>
      </w:divBdr>
    </w:div>
    <w:div w:id="1773546375">
      <w:bodyDiv w:val="1"/>
      <w:marLeft w:val="0"/>
      <w:marRight w:val="0"/>
      <w:marTop w:val="0"/>
      <w:marBottom w:val="0"/>
      <w:divBdr>
        <w:top w:val="none" w:sz="0" w:space="0" w:color="auto"/>
        <w:left w:val="none" w:sz="0" w:space="0" w:color="auto"/>
        <w:bottom w:val="none" w:sz="0" w:space="0" w:color="auto"/>
        <w:right w:val="none" w:sz="0" w:space="0" w:color="auto"/>
      </w:divBdr>
    </w:div>
    <w:div w:id="1773552552">
      <w:bodyDiv w:val="1"/>
      <w:marLeft w:val="0"/>
      <w:marRight w:val="0"/>
      <w:marTop w:val="0"/>
      <w:marBottom w:val="0"/>
      <w:divBdr>
        <w:top w:val="none" w:sz="0" w:space="0" w:color="auto"/>
        <w:left w:val="none" w:sz="0" w:space="0" w:color="auto"/>
        <w:bottom w:val="none" w:sz="0" w:space="0" w:color="auto"/>
        <w:right w:val="none" w:sz="0" w:space="0" w:color="auto"/>
      </w:divBdr>
    </w:div>
    <w:div w:id="1814717832">
      <w:bodyDiv w:val="1"/>
      <w:marLeft w:val="0"/>
      <w:marRight w:val="0"/>
      <w:marTop w:val="0"/>
      <w:marBottom w:val="0"/>
      <w:divBdr>
        <w:top w:val="none" w:sz="0" w:space="0" w:color="auto"/>
        <w:left w:val="none" w:sz="0" w:space="0" w:color="auto"/>
        <w:bottom w:val="none" w:sz="0" w:space="0" w:color="auto"/>
        <w:right w:val="none" w:sz="0" w:space="0" w:color="auto"/>
      </w:divBdr>
    </w:div>
    <w:div w:id="1926186938">
      <w:bodyDiv w:val="1"/>
      <w:marLeft w:val="0"/>
      <w:marRight w:val="0"/>
      <w:marTop w:val="0"/>
      <w:marBottom w:val="0"/>
      <w:divBdr>
        <w:top w:val="none" w:sz="0" w:space="0" w:color="auto"/>
        <w:left w:val="none" w:sz="0" w:space="0" w:color="auto"/>
        <w:bottom w:val="none" w:sz="0" w:space="0" w:color="auto"/>
        <w:right w:val="none" w:sz="0" w:space="0" w:color="auto"/>
      </w:divBdr>
    </w:div>
    <w:div w:id="1973710208">
      <w:bodyDiv w:val="1"/>
      <w:marLeft w:val="0"/>
      <w:marRight w:val="0"/>
      <w:marTop w:val="0"/>
      <w:marBottom w:val="0"/>
      <w:divBdr>
        <w:top w:val="none" w:sz="0" w:space="0" w:color="auto"/>
        <w:left w:val="none" w:sz="0" w:space="0" w:color="auto"/>
        <w:bottom w:val="none" w:sz="0" w:space="0" w:color="auto"/>
        <w:right w:val="none" w:sz="0" w:space="0" w:color="auto"/>
      </w:divBdr>
    </w:div>
    <w:div w:id="2054577577">
      <w:bodyDiv w:val="1"/>
      <w:marLeft w:val="0"/>
      <w:marRight w:val="0"/>
      <w:marTop w:val="0"/>
      <w:marBottom w:val="0"/>
      <w:divBdr>
        <w:top w:val="none" w:sz="0" w:space="0" w:color="auto"/>
        <w:left w:val="none" w:sz="0" w:space="0" w:color="auto"/>
        <w:bottom w:val="none" w:sz="0" w:space="0" w:color="auto"/>
        <w:right w:val="none" w:sz="0" w:space="0" w:color="auto"/>
      </w:divBdr>
    </w:div>
    <w:div w:id="2065525085">
      <w:bodyDiv w:val="1"/>
      <w:marLeft w:val="0"/>
      <w:marRight w:val="0"/>
      <w:marTop w:val="0"/>
      <w:marBottom w:val="0"/>
      <w:divBdr>
        <w:top w:val="none" w:sz="0" w:space="0" w:color="auto"/>
        <w:left w:val="none" w:sz="0" w:space="0" w:color="auto"/>
        <w:bottom w:val="none" w:sz="0" w:space="0" w:color="auto"/>
        <w:right w:val="none" w:sz="0" w:space="0" w:color="auto"/>
      </w:divBdr>
    </w:div>
    <w:div w:id="212272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accinetracker.ecdc.europa.eu/public/extensions/COVID-19/vaccine-tracker.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esa.int/About_Us/Corporate_news/Slovakia_becomes_ESA_Associate_Member_state" TargetMode="External"/><Relationship Id="rId4" Type="http://schemas.openxmlformats.org/officeDocument/2006/relationships/styles" Target="styles.xml"/><Relationship Id="rId9" Type="http://schemas.openxmlformats.org/officeDocument/2006/relationships/hyperlink" Target="https://www.ensreg.eu/sites/default/files/attachments/ensreg_statement_on_ukraine_24_november_2022.pdf"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3" Type="http://schemas.openxmlformats.org/officeDocument/2006/relationships/hyperlink" Target="https://www.slov-lex.sk/vyhladavanie-navrhov-aktov-eu/-/detail/COO-2145-1000-3-4167535" TargetMode="External"/><Relationship Id="rId18" Type="http://schemas.openxmlformats.org/officeDocument/2006/relationships/hyperlink" Target="https://www.slov-lex.sk/legislativne-procesy/-/SK/LPEU/2021/767" TargetMode="External"/><Relationship Id="rId26" Type="http://schemas.openxmlformats.org/officeDocument/2006/relationships/hyperlink" Target="https://eur-lex.europa.eu/legal-content/SK/TXT/PDF/?uri=CELEX:52022PC0461" TargetMode="External"/><Relationship Id="rId3" Type="http://schemas.openxmlformats.org/officeDocument/2006/relationships/hyperlink" Target="https://www.minzp.sk/klima/fitfor55/" TargetMode="External"/><Relationship Id="rId21" Type="http://schemas.openxmlformats.org/officeDocument/2006/relationships/hyperlink" Target="https://data.consilium.europa.eu/doc/document/ST-11051-2020-INIT/sk/pdf" TargetMode="External"/><Relationship Id="rId34" Type="http://schemas.openxmlformats.org/officeDocument/2006/relationships/hyperlink" Target="https://eur-lex.europa.eu/legal-content/SK/TXT/HTML/?uri=CELEX:52022PC0457&amp;from=EN" TargetMode="External"/><Relationship Id="rId7" Type="http://schemas.openxmlformats.org/officeDocument/2006/relationships/hyperlink" Target="https://www.minzp.sk/files/oblasti/politika-zmeny-klimy/esr_1_sk_act_part1_v2.pdf" TargetMode="External"/><Relationship Id="rId12" Type="http://schemas.openxmlformats.org/officeDocument/2006/relationships/hyperlink" Target="https://eur-lex.europa.eu/legal-content/SK/TXT/HTML/?uri=CELEX:52020PC0825&amp;from=SK" TargetMode="External"/><Relationship Id="rId17" Type="http://schemas.openxmlformats.org/officeDocument/2006/relationships/hyperlink" Target="https://data.consilium.europa.eu/doc/document/ST-11900-2021-INIT/sk/pdf" TargetMode="External"/><Relationship Id="rId25" Type="http://schemas.openxmlformats.org/officeDocument/2006/relationships/hyperlink" Target="https://eur-lex.europa.eu/legal-content/SK/TXT/HTML/?uri=CELEX:52021PC0706&amp;from=SK" TargetMode="External"/><Relationship Id="rId33" Type="http://schemas.openxmlformats.org/officeDocument/2006/relationships/hyperlink" Target="https://eur-lex.europa.eu/legal-content/SK/TXT/PDF/?uri=CELEX:32022H2548" TargetMode="External"/><Relationship Id="rId2" Type="http://schemas.openxmlformats.org/officeDocument/2006/relationships/hyperlink" Target="https://www.minzp.sk/klima/obchodovanie-emisnymi-kvotami/legislativa/" TargetMode="External"/><Relationship Id="rId16" Type="http://schemas.openxmlformats.org/officeDocument/2006/relationships/hyperlink" Target="https://digital-strategy.ec.europa.eu/sk/library/proposal-regulation-laying-down-harmonised-rules-artificial-intelligence" TargetMode="External"/><Relationship Id="rId20" Type="http://schemas.openxmlformats.org/officeDocument/2006/relationships/hyperlink" Target="cenovo%20dostupn&#225;,%20bezpe&#269;n&#225;%20a%20udr&#382;ate&#318;n&#225;%20energia%20pre%20Eur&#243;pu" TargetMode="External"/><Relationship Id="rId29" Type="http://schemas.openxmlformats.org/officeDocument/2006/relationships/hyperlink" Target="https://eur-lex.europa.eu/legal-content/SK/TXT/HTML/?uri=CELEX:32021D0509&amp;from=sk" TargetMode="External"/><Relationship Id="rId1" Type="http://schemas.openxmlformats.org/officeDocument/2006/relationships/hyperlink" Target="https://data.consilium.europa.eu/doc/document/PE-24-2022-INIT/sk/pdf" TargetMode="External"/><Relationship Id="rId6" Type="http://schemas.openxmlformats.org/officeDocument/2006/relationships/hyperlink" Target="https://www.minzp.sk/files/oblasti/politika-zmeny-klimy/cbam_cellar-a95a4441-e558-11eb-a1a5-01aa75ed71a1.0014.02_doc_1.pdf" TargetMode="External"/><Relationship Id="rId11" Type="http://schemas.openxmlformats.org/officeDocument/2006/relationships/hyperlink" Target="https://eur-lex.europa.eu/legal-content/SK/TXT/?uri=CELEX:52020PC0798" TargetMode="External"/><Relationship Id="rId24" Type="http://schemas.openxmlformats.org/officeDocument/2006/relationships/hyperlink" Target="https://eur-lex.europa.eu/legal-content/SK/TXT/PDF/?uri=OJ:C:2022:131I:FULL" TargetMode="External"/><Relationship Id="rId32" Type="http://schemas.openxmlformats.org/officeDocument/2006/relationships/hyperlink" Target="https://www.slov-lex.sk/vyhladavanie-navrhov-aktov-eu/-/detail/COO-2145-1000-3-5064748" TargetMode="External"/><Relationship Id="rId5" Type="http://schemas.openxmlformats.org/officeDocument/2006/relationships/hyperlink" Target="https://www.minzp.sk/files/oblasti/politika-zmeny-klimy/lulucf_1_sk_act_part1_v2.pdf" TargetMode="External"/><Relationship Id="rId15" Type="http://schemas.openxmlformats.org/officeDocument/2006/relationships/hyperlink" Target="https://op.europa.eu/bg/publication-detail/-/publication/7bef1207-4de8-11ed-92ed-01aa75ed71a1/language-sk/format-PDF" TargetMode="External"/><Relationship Id="rId23" Type="http://schemas.openxmlformats.org/officeDocument/2006/relationships/hyperlink" Target="https://op.europa.eu/sk/publication-detail/-/publication/051ace9b-7472-11ed-9887-01aa75ed71a1/language-sk" TargetMode="External"/><Relationship Id="rId28" Type="http://schemas.openxmlformats.org/officeDocument/2006/relationships/hyperlink" Target="https://data.consilium.europa.eu/doc/document/ST-7371-2022-INIT/sk/pdf" TargetMode="External"/><Relationship Id="rId36" Type="http://schemas.openxmlformats.org/officeDocument/2006/relationships/hyperlink" Target="https://eur-lex.europa.eu/legal-content/SK/TXT/?uri=CELEX:32020R2092" TargetMode="External"/><Relationship Id="rId10" Type="http://schemas.openxmlformats.org/officeDocument/2006/relationships/hyperlink" Target="https://eur-lex.europa.eu/legal-content/SK/TXT/HTML/?uri=CELEX:52022PC0304" TargetMode="External"/><Relationship Id="rId19" Type="http://schemas.openxmlformats.org/officeDocument/2006/relationships/hyperlink" Target="https://eur-lex.europa.eu/legal-content/SK/TXT/HTML/?uri=CELEX:52020PC0823" TargetMode="External"/><Relationship Id="rId31" Type="http://schemas.openxmlformats.org/officeDocument/2006/relationships/hyperlink" Target="https://eur-lex.europa.eu/legal-content/SK/TXT/HTML/?uri=CELEX:52022PC0197&amp;from=EN" TargetMode="External"/><Relationship Id="rId4" Type="http://schemas.openxmlformats.org/officeDocument/2006/relationships/hyperlink" Target="https://www.minzp.sk/files/oblasti/politika-zmeny-klimy/co2standards_1_sk_act_part1_v3.pdf" TargetMode="External"/><Relationship Id="rId9" Type="http://schemas.openxmlformats.org/officeDocument/2006/relationships/hyperlink" Target="https://op.europa.eu/de/publication-detail/-/publication/5b8a0524-432b-11ed-92ed-01aa75ed71a1/language-sk/format-PDF" TargetMode="External"/><Relationship Id="rId14" Type="http://schemas.openxmlformats.org/officeDocument/2006/relationships/hyperlink" Target="https://eur-lex.europa.eu/legal-content/SK/TXT/PDF/?uri=CELEX:52020PC0767" TargetMode="External"/><Relationship Id="rId22" Type="http://schemas.openxmlformats.org/officeDocument/2006/relationships/hyperlink" Target="https://data.consilium.europa.eu/doc/document/ST-11053-2020-INIT/en/pdf" TargetMode="External"/><Relationship Id="rId27" Type="http://schemas.openxmlformats.org/officeDocument/2006/relationships/hyperlink" Target="https://eur-lex.europa.eu/legal-content/SK/TXT/PDF/?uri=CELEX:52022PC0245" TargetMode="External"/><Relationship Id="rId30" Type="http://schemas.openxmlformats.org/officeDocument/2006/relationships/hyperlink" Target="OZN&#193;MENIE%20KOMISIE%20o%20Novom%20pakte%20o%20migr&#225;cii%20a%20azyle" TargetMode="External"/><Relationship Id="rId35" Type="http://schemas.openxmlformats.org/officeDocument/2006/relationships/hyperlink" Target="https://commission.europa.eu/publications/2020-rule-law-report-communication-and-country-chapters_en" TargetMode="External"/><Relationship Id="rId8" Type="http://schemas.openxmlformats.org/officeDocument/2006/relationships/hyperlink" Target="https://www.minzp.sk/klima/zakon-zmene-klim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y-material"/>
    <f:field ref="objsubject" par="" edit="true" text=""/>
    <f:field ref="objcreatedby" par="" text="Longauerová, Alena, PhDr."/>
    <f:field ref="objcreatedat" par="" text="3.2.2023 11:28:41"/>
    <f:field ref="objchangedby" par="" text="Administrator, System"/>
    <f:field ref="objmodifiedat" par="" text="3.2.2023 11:28:4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CC871E5-2511-49EF-97DD-C39C8057E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16657</Words>
  <Characters>102932</Characters>
  <Application>Microsoft Office Word</Application>
  <DocSecurity>0</DocSecurity>
  <Lines>857</Lines>
  <Paragraphs>238</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119351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Ondrej /OVZI/MZV</dc:creator>
  <cp:keywords/>
  <dc:description/>
  <cp:lastModifiedBy>Longauerova Alena /OVZI/MZV</cp:lastModifiedBy>
  <cp:revision>19</cp:revision>
  <cp:lastPrinted>2023-02-17T10:28:00Z</cp:lastPrinted>
  <dcterms:created xsi:type="dcterms:W3CDTF">2023-02-14T12:42:00Z</dcterms:created>
  <dcterms:modified xsi:type="dcterms:W3CDTF">2023-02-17T10:33:00Z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PhDr. Alena Longauerová</vt:lpwstr>
  </property>
  <property fmtid="{D5CDD505-2E9C-101B-9397-08002B2CF9AE}" pid="12" name="FSC#SKEDITIONSLOVLEX@103.510:zodppredkladatel">
    <vt:lpwstr>Rastislav Káčer</vt:lpwstr>
  </property>
  <property fmtid="{D5CDD505-2E9C-101B-9397-08002B2CF9AE}" pid="13" name="FSC#SKEDITIONSLOVLEX@103.510:dalsipredkladatel">
    <vt:lpwstr/>
  </property>
  <property fmtid="{D5CDD505-2E9C-101B-9397-08002B2CF9AE}" pid="14" name="FSC#SKEDITIONSLOVLEX@103.510:nazovpredpis">
    <vt:lpwstr> Výročná správa o členstve Slovenskej republiky v Európskej únii za rok 2022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zahraničných vecí a európskych záležitostí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Ústavný zákon č. 397/2004 Z. z. _x000d_
o spolupráci Národnej rady Slovenskej _x000d_
republiky a vlády Slovenskej republiky_x000d_
v záležitostiach Európskej únie a _x000d_
uznesenie vlády SR č. 118/2013 _x000d_
</vt:lpwstr>
  </property>
  <property fmtid="{D5CDD505-2E9C-101B-9397-08002B2CF9AE}" pid="23" name="FSC#SKEDITIONSLOVLEX@103.510:plnynazovpredpis">
    <vt:lpwstr> Výročná správa o členstve Slovenskej republiky v Európskej únii za rok 2022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022506/2023-OVZI-2</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LP/2023/43</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3. 2. 2023</vt:lpwstr>
  </property>
  <property fmtid="{D5CDD505-2E9C-101B-9397-08002B2CF9AE}" pid="59" name="FSC#SKEDITIONSLOVLEX@103.510:AttrDateDocPropUkonceniePKK">
    <vt:lpwstr>17. 2. 2023</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
  </property>
  <property fmtid="{D5CDD505-2E9C-101B-9397-08002B2CF9AE}" pid="66" name="FSC#SKEDITIONSLOVLEX@103.510:AttrStrListDocPropAltRiesenia">
    <vt:lpwstr>Principiálnym dôvodom každoročnej prípravy Výročnej správy o členstve SR v EÚ je ústavný zákon 397/2004 Z. z. o spolupráci NR SR a rokovací poriadok NR SR (zákon NRSR 350/1996). Nepredloženie tejto informácie by mohlo vyústiť do porušenia povinnosti vyplý</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SR_x000d_
minister zahraničných vecí a európskych záležitostí SR</vt:lpwstr>
  </property>
  <property fmtid="{D5CDD505-2E9C-101B-9397-08002B2CF9AE}" pid="137" name="FSC#SKEDITIONSLOVLEX@103.510:AttrStrListDocPropUznesenieNaVedomie">
    <vt:lpwstr>predseda Národnej rady SR</vt:lpwstr>
  </property>
  <property fmtid="{D5CDD505-2E9C-101B-9397-08002B2CF9AE}" pid="138" name="FSC#SKEDITIONSLOVLEX@103.510:funkciaPred">
    <vt:lpwstr>štátny radca</vt:lpwstr>
  </property>
  <property fmtid="{D5CDD505-2E9C-101B-9397-08002B2CF9AE}" pid="139" name="FSC#SKEDITIONSLOVLEX@103.510:funkciaPredAkuzativ">
    <vt:lpwstr>štátneho radcu</vt:lpwstr>
  </property>
  <property fmtid="{D5CDD505-2E9C-101B-9397-08002B2CF9AE}" pid="140" name="FSC#SKEDITIONSLOVLEX@103.510:funkciaPredDativ">
    <vt:lpwstr>štátnemu radcovi</vt:lpwstr>
  </property>
  <property fmtid="{D5CDD505-2E9C-101B-9397-08002B2CF9AE}" pid="141" name="FSC#SKEDITIONSLOVLEX@103.510:funkciaZodpPred">
    <vt:lpwstr>minister zahraničných vecí a európskych záležitostí Slovenskej republiky</vt:lpwstr>
  </property>
  <property fmtid="{D5CDD505-2E9C-101B-9397-08002B2CF9AE}" pid="142" name="FSC#SKEDITIONSLOVLEX@103.510:funkciaZodpPredAkuzativ">
    <vt:lpwstr>ministra zahraničných vecí a európskych záležitostí Slovenskej republiky</vt:lpwstr>
  </property>
  <property fmtid="{D5CDD505-2E9C-101B-9397-08002B2CF9AE}" pid="143" name="FSC#SKEDITIONSLOVLEX@103.510:funkciaZodpPredDativ">
    <vt:lpwstr>ministrovi zahraničných vecí a európskych záležitostí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Rastislav Káčer_x000d_
minister zahraničných vecí a európskych záležitostí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align="center"&gt;&lt;strong&gt;Predkladacia správa&lt;/strong&gt;&lt;/p&gt;&lt;p&gt;Výročnú správu o&amp;nbsp;členstve Slovenskej republiky v&amp;nbsp;Európskej únii za rok 2022 predkladá minister zahraničných vecí a&amp;nbsp;európskych záležitostí Slovenskej republiky na rokovanie vlády S</vt:lpwstr>
  </property>
  <property fmtid="{D5CDD505-2E9C-101B-9397-08002B2CF9AE}" pid="150" name="FSC#COOSYSTEM@1.1:Container">
    <vt:lpwstr>COO.2145.1000.3.5498597</vt:lpwstr>
  </property>
  <property fmtid="{D5CDD505-2E9C-101B-9397-08002B2CF9AE}" pid="151" name="FSC#FSCFOLIO@1.1001:docpropproject">
    <vt:lpwstr/>
  </property>
  <property fmtid="{D5CDD505-2E9C-101B-9397-08002B2CF9AE}" pid="152" name="FSC#SKEDITIONSLOVLEX@103.510:vytvorenedna">
    <vt:lpwstr>3. 2. 2023</vt:lpwstr>
  </property>
</Properties>
</file>