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177C0">
        <w:t>114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645A9">
        <w:rPr>
          <w:b/>
          <w:bCs/>
          <w:sz w:val="28"/>
        </w:rPr>
        <w:t>3</w:t>
      </w:r>
      <w:r w:rsidR="00A177C0">
        <w:rPr>
          <w:b/>
          <w:bCs/>
          <w:sz w:val="28"/>
        </w:rPr>
        <w:t>79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</w:t>
      </w:r>
      <w:r w:rsidRPr="00A645A9">
        <w:rPr>
          <w:b/>
        </w:rPr>
        <w:t>kovania</w:t>
      </w:r>
      <w:r w:rsidRPr="00CB1D6E" w:rsidR="00CB1D6E">
        <w:rPr>
          <w:rStyle w:val="Odstavecseseznamem"/>
          <w:color w:val="000000"/>
        </w:rPr>
        <w:t xml:space="preserve"> </w:t>
      </w:r>
      <w:r w:rsidRPr="00A177C0" w:rsidR="00A177C0">
        <w:rPr>
          <w:b/>
          <w:bCs/>
          <w:color w:val="000000"/>
        </w:rPr>
        <w:t xml:space="preserve">návrhu poslancov Národnej rady Slovenskej republiky Petra KREMSKÉHO, Milana KURIAKA, Richarda VAŠEČKU, Petra LIBU a Petra VONSA na vydanie zákona, ktorým sa dopĺňa zákon Národnej rady Slovenskej republiky č. 145/1995 Z. z. o správnych poplatkoch v </w:t>
      </w:r>
      <w:r w:rsidRPr="00A177C0" w:rsidR="00A177C0">
        <w:rPr>
          <w:b/>
          <w:bCs/>
          <w:color w:val="000000"/>
        </w:rPr>
        <w:t xml:space="preserve">znení </w:t>
      </w:r>
      <w:r w:rsidR="00A177C0">
        <w:rPr>
          <w:b/>
          <w:bCs/>
          <w:color w:val="000000"/>
        </w:rPr>
        <w:t>neskorších predpisov (tlač 1379</w:t>
      </w:r>
      <w:r w:rsidRPr="00A177C0" w:rsidR="00A177C0">
        <w:rPr>
          <w:b/>
          <w:bCs/>
          <w:color w:val="000000"/>
        </w:rPr>
        <w:t>)</w:t>
      </w:r>
      <w:r w:rsidR="00A177C0">
        <w:rPr>
          <w:b/>
          <w:bCs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</w:t>
      </w:r>
      <w:r>
        <w:t>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48161F">
        <w:rPr>
          <w:b w:val="0"/>
        </w:rPr>
        <w:t>1995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48161F">
        <w:rPr>
          <w:b w:val="0"/>
        </w:rPr>
        <w:t>8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48161F">
        <w:rPr>
          <w:b w:val="0"/>
        </w:rPr>
        <w:t>februára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7E4C90" w:rsidR="00A177C0">
        <w:rPr>
          <w:b w:val="0"/>
          <w:color w:val="000000"/>
        </w:rPr>
        <w:t>návrh poslancov Národnej rady Slovenskej republiky Petra KREMSKÉHO, Milana KURIAKA</w:t>
      </w:r>
      <w:r w:rsidRPr="00A177C0" w:rsidR="00A177C0">
        <w:rPr>
          <w:b w:val="0"/>
          <w:color w:val="000000"/>
        </w:rPr>
        <w:t>, Richarda VAŠEČKU, Petra LIBU a Petra VONSA na vydanie zákona, ktorým sa dopĺňa zákon Národnej rady Slovenskej republiky č. 145/1995 Z. z. o správnych poplatkoch v znení</w:t>
      </w:r>
      <w:r w:rsidRPr="00A177C0" w:rsidR="00A177C0">
        <w:rPr>
          <w:color w:val="000000"/>
        </w:rPr>
        <w:t xml:space="preserve"> </w:t>
      </w:r>
      <w:r w:rsidR="00A177C0">
        <w:rPr>
          <w:b w:val="0"/>
          <w:bCs w:val="0"/>
          <w:color w:val="000000"/>
        </w:rPr>
        <w:t xml:space="preserve">neskorších predpisov </w:t>
      </w:r>
      <w:r w:rsidRPr="00A177C0" w:rsidR="00A177C0">
        <w:rPr>
          <w:bCs w:val="0"/>
          <w:color w:val="000000"/>
        </w:rPr>
        <w:t>(tlač 1379</w:t>
      </w:r>
      <w:r w:rsidRPr="00A177C0" w:rsidR="00A177C0">
        <w:rPr>
          <w:color w:val="000000"/>
        </w:rPr>
        <w:t>)</w:t>
      </w:r>
      <w:r w:rsidRPr="004E74E1" w:rsidR="004E74E1">
        <w:rPr>
          <w:b w:val="0"/>
          <w:bCs w:val="0"/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</w:t>
      </w:r>
      <w:r>
        <w:t>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72974" w:rsidP="00A645A9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A177C0">
        <w:t>,</w:t>
      </w:r>
    </w:p>
    <w:p w:rsidR="00A177C0" w:rsidRPr="00043639" w:rsidP="00A645A9">
      <w:pPr>
        <w:pStyle w:val="BodyText2"/>
        <w:numPr>
          <w:ilvl w:val="0"/>
          <w:numId w:val="1"/>
        </w:numPr>
      </w:pPr>
      <w:r>
        <w:t>Výboru Národnej rady Slovenskej republiky pre verejnú správu a regionálny rozvoj.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</w:t>
      </w:r>
      <w:r w:rsidRPr="00AB15C9" w:rsidR="00DE62F6">
        <w:rPr>
          <w:bCs/>
        </w:rPr>
        <w:t>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A72974" w:rsidRPr="007415CD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Slovenskej republiky návrh </w:t>
      </w:r>
      <w:r w:rsidRPr="00230A72" w:rsidR="00CD48CB">
        <w:rPr>
          <w:b/>
          <w:bCs/>
        </w:rPr>
        <w:t>schváliť</w:t>
      </w:r>
      <w:r w:rsidR="004E74E1">
        <w:rPr>
          <w:b/>
          <w:bCs/>
        </w:rPr>
        <w:t xml:space="preserve"> </w:t>
      </w:r>
      <w:r w:rsidRPr="007415CD" w:rsidR="004E74E1">
        <w:rPr>
          <w:b/>
          <w:szCs w:val="24"/>
        </w:rPr>
        <w:t>s pozmeňujúcimi a doplňujúcimi návrhmi</w:t>
      </w:r>
      <w:r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E0355F">
        <w:t>434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="004E74E1">
        <w:t>1</w:t>
      </w:r>
      <w:r>
        <w:t>3</w:t>
      </w:r>
      <w:r w:rsidRPr="00362566">
        <w:t xml:space="preserve">. </w:t>
      </w:r>
      <w:r w:rsidR="004E74E1">
        <w:t>marca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7415CD">
        <w:t>697</w:t>
      </w:r>
      <w:r w:rsidRPr="00230A72">
        <w:t xml:space="preserve"> zo dňa </w:t>
      </w:r>
      <w:r w:rsidR="007415CD">
        <w:t>8</w:t>
      </w:r>
      <w:r w:rsidRPr="00230A72">
        <w:t xml:space="preserve">. </w:t>
      </w:r>
      <w:r w:rsidR="004E74E1">
        <w:t>marca</w:t>
      </w:r>
      <w:r w:rsidRPr="00230A72">
        <w:t xml:space="preserve">  2023)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415A1E" w:rsidP="00415A1E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verejnú správu a regionálny rozvoj</w:t>
      </w:r>
      <w:r>
        <w:t xml:space="preserve"> </w:t>
      </w:r>
      <w:r>
        <w:rPr>
          <w:b/>
        </w:rPr>
        <w:t>o</w:t>
      </w:r>
      <w:r>
        <w:t xml:space="preserve"> </w:t>
      </w:r>
      <w:r>
        <w:rPr>
          <w:b/>
        </w:rPr>
        <w:t>návrhu nerokoval</w:t>
      </w:r>
      <w:r>
        <w:t xml:space="preserve">, pretože podľa </w:t>
      </w:r>
      <w:r>
        <w:rPr>
          <w:bCs/>
        </w:rPr>
        <w:t>§ 52 ods. 2 zákona Národnej rady Slovenskej republiky č. 350/1996 Z. z. o rokovac</w:t>
      </w:r>
      <w:r>
        <w:rPr>
          <w:bCs/>
        </w:rPr>
        <w:t xml:space="preserve">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E0355F" w:rsidRPr="00085AB7" w:rsidP="00E0355F">
      <w:pPr>
        <w:pStyle w:val="ListParagraph"/>
        <w:numPr>
          <w:ilvl w:val="0"/>
          <w:numId w:val="12"/>
        </w:numPr>
        <w:overflowPunct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085AB7">
        <w:rPr>
          <w:rFonts w:ascii="Times New Roman" w:hAnsi="Times New Roman"/>
          <w:b/>
          <w:sz w:val="24"/>
          <w:szCs w:val="24"/>
        </w:rPr>
        <w:t>V čl. I v úv</w:t>
      </w:r>
      <w:r w:rsidRPr="00085AB7">
        <w:rPr>
          <w:rFonts w:ascii="Times New Roman" w:hAnsi="Times New Roman"/>
          <w:b/>
          <w:sz w:val="24"/>
          <w:szCs w:val="24"/>
        </w:rPr>
        <w:t>odnej vete</w:t>
      </w:r>
      <w:r w:rsidRPr="00085AB7">
        <w:rPr>
          <w:rFonts w:ascii="Times New Roman" w:hAnsi="Times New Roman"/>
          <w:sz w:val="24"/>
          <w:szCs w:val="24"/>
        </w:rPr>
        <w:t xml:space="preserve"> sa slová „</w:t>
      </w:r>
      <w:r w:rsidRPr="00085AB7">
        <w:rPr>
          <w:rFonts w:ascii="Times New Roman" w:hAnsi="Times New Roman"/>
          <w:sz w:val="24"/>
          <w:szCs w:val="24"/>
          <w:shd w:val="clear" w:color="auto" w:fill="FFFFFF"/>
        </w:rPr>
        <w:t>Zákon Národnej rady Slovenskej republiky č. 123/1996 Z. z.,“ nahrádzajú slovami „</w:t>
      </w:r>
      <w:r w:rsidRPr="00085AB7">
        <w:rPr>
          <w:rFonts w:ascii="Times New Roman" w:hAnsi="Times New Roman"/>
          <w:sz w:val="24"/>
          <w:szCs w:val="24"/>
        </w:rPr>
        <w:t>Zákon Národnej rady Slovenskej republiky č. 145/1995 Z. z. o správnych poplatkoch v znení zákona Národnej rady Slovenskej republiky č. 123/1996 Z. z.“.</w:t>
      </w:r>
    </w:p>
    <w:p w:rsidR="00E0355F" w:rsidP="00E0355F">
      <w:pPr>
        <w:overflowPunct w:val="0"/>
        <w:ind w:left="426" w:right="-142" w:firstLine="426"/>
        <w:jc w:val="both"/>
      </w:pPr>
    </w:p>
    <w:p w:rsidR="00E0355F" w:rsidRPr="00E0355F" w:rsidP="00E0355F">
      <w:pPr>
        <w:overflowPunct w:val="0"/>
        <w:ind w:left="4253" w:right="-142" w:hanging="851"/>
        <w:jc w:val="both"/>
      </w:pPr>
      <w:r w:rsidRPr="00E0355F">
        <w:t>O</w:t>
      </w:r>
      <w:r w:rsidRPr="00E0355F">
        <w:t>prava nesprávne uvedeného názvu novelizovaného predpisu.</w:t>
      </w:r>
    </w:p>
    <w:p w:rsidR="00E0355F" w:rsidP="00E0355F">
      <w:pPr>
        <w:tabs>
          <w:tab w:val="left" w:pos="885"/>
        </w:tabs>
      </w:pPr>
    </w:p>
    <w:p w:rsidR="00E0355F" w:rsidRP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0355F" w:rsidP="00415A1E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E0355F" w:rsidRPr="00E93788" w:rsidP="00E0355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0355F" w:rsidP="00E0355F">
      <w:pPr>
        <w:tabs>
          <w:tab w:val="left" w:pos="885"/>
        </w:tabs>
      </w:pPr>
    </w:p>
    <w:p w:rsidR="00E0355F" w:rsidRPr="00085AB7" w:rsidP="00E035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AB7">
        <w:rPr>
          <w:rFonts w:ascii="Times New Roman" w:hAnsi="Times New Roman"/>
          <w:b/>
          <w:snapToGrid w:val="0"/>
          <w:sz w:val="24"/>
          <w:szCs w:val="24"/>
        </w:rPr>
        <w:t xml:space="preserve">V Čl. I </w:t>
      </w:r>
      <w:r w:rsidRPr="00085AB7">
        <w:rPr>
          <w:rFonts w:ascii="Times New Roman" w:hAnsi="Times New Roman"/>
          <w:snapToGrid w:val="0"/>
          <w:sz w:val="24"/>
          <w:szCs w:val="24"/>
        </w:rPr>
        <w:t>s</w:t>
      </w:r>
      <w:r w:rsidRPr="00085AB7">
        <w:rPr>
          <w:rFonts w:ascii="Times New Roman" w:hAnsi="Times New Roman"/>
          <w:bCs/>
          <w:sz w:val="24"/>
          <w:szCs w:val="24"/>
        </w:rPr>
        <w:t xml:space="preserve">a doterajší text </w:t>
      </w:r>
      <w:r w:rsidR="003967FA">
        <w:rPr>
          <w:rFonts w:ascii="Times New Roman" w:hAnsi="Times New Roman"/>
          <w:bCs/>
          <w:sz w:val="24"/>
          <w:szCs w:val="24"/>
        </w:rPr>
        <w:t xml:space="preserve">pod úvodnou vetou </w:t>
      </w:r>
      <w:r w:rsidRPr="00085AB7">
        <w:rPr>
          <w:rFonts w:ascii="Times New Roman" w:hAnsi="Times New Roman"/>
          <w:bCs/>
          <w:sz w:val="24"/>
          <w:szCs w:val="24"/>
        </w:rPr>
        <w:t>nahrádza novými bodmi  1 a 2, ktoré znejú</w:t>
      </w:r>
      <w:r w:rsidRPr="00085AB7">
        <w:rPr>
          <w:rFonts w:ascii="Times New Roman" w:hAnsi="Times New Roman"/>
          <w:bCs/>
          <w:sz w:val="24"/>
          <w:szCs w:val="24"/>
        </w:rPr>
        <w:t>:</w:t>
      </w:r>
    </w:p>
    <w:p w:rsidR="00E0355F" w:rsidRPr="00085AB7" w:rsidP="00E0355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85AB7">
        <w:rPr>
          <w:rFonts w:ascii="Times New Roman" w:hAnsi="Times New Roman"/>
          <w:bCs/>
          <w:sz w:val="24"/>
          <w:szCs w:val="24"/>
        </w:rPr>
        <w:t xml:space="preserve"> </w:t>
      </w:r>
      <w:r w:rsidRPr="00085AB7">
        <w:rPr>
          <w:rFonts w:ascii="Times New Roman" w:hAnsi="Times New Roman"/>
          <w:bCs/>
          <w:sz w:val="24"/>
          <w:szCs w:val="24"/>
        </w:rPr>
        <w:t>„1</w:t>
      </w:r>
      <w:r w:rsidRPr="00085AB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85AB7">
        <w:rPr>
          <w:rFonts w:ascii="Times New Roman" w:hAnsi="Times New Roman"/>
          <w:color w:val="000000"/>
          <w:sz w:val="24"/>
          <w:szCs w:val="24"/>
        </w:rPr>
        <w:t>V</w:t>
      </w:r>
      <w:r w:rsidR="00704669">
        <w:rPr>
          <w:rFonts w:ascii="Times New Roman" w:hAnsi="Times New Roman"/>
          <w:color w:val="000000"/>
          <w:sz w:val="24"/>
          <w:szCs w:val="24"/>
        </w:rPr>
        <w:t xml:space="preserve"> prílohe </w:t>
      </w:r>
      <w:r w:rsidRPr="00085AB7">
        <w:rPr>
          <w:rFonts w:ascii="Times New Roman" w:hAnsi="Times New Roman"/>
          <w:color w:val="000000"/>
          <w:sz w:val="24"/>
          <w:szCs w:val="24"/>
        </w:rPr>
        <w:t>Sadzobník správnych poplatkov časti VI. Doprava položke 65</w:t>
      </w:r>
      <w:r w:rsidR="00704669">
        <w:rPr>
          <w:rFonts w:ascii="Times New Roman" w:hAnsi="Times New Roman"/>
          <w:color w:val="000000"/>
          <w:sz w:val="24"/>
          <w:szCs w:val="24"/>
        </w:rPr>
        <w:t xml:space="preserve"> písm. a)</w:t>
      </w:r>
      <w:r w:rsidRPr="00085AB7">
        <w:rPr>
          <w:rFonts w:ascii="Times New Roman" w:hAnsi="Times New Roman"/>
          <w:color w:val="000000"/>
          <w:sz w:val="24"/>
          <w:szCs w:val="24"/>
        </w:rPr>
        <w:t xml:space="preserve"> tabuľky č. 1 a č. 2 znejú: </w:t>
      </w:r>
    </w:p>
    <w:p w:rsidR="00E0355F" w:rsidRPr="00085AB7" w:rsidP="00E0355F">
      <w:pPr>
        <w:pStyle w:val="ListParagraph"/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:rsidR="00E0355F" w:rsidRPr="00085AB7" w:rsidP="00E0355F">
      <w:pPr>
        <w:shd w:val="clear" w:color="auto" w:fill="FFFFFF"/>
        <w:ind w:firstLine="360"/>
      </w:pPr>
      <w:r w:rsidRPr="00085AB7">
        <w:t>Tabuľka č. 1</w:t>
      </w:r>
    </w:p>
    <w:tbl>
      <w:tblPr>
        <w:tblStyle w:val="TableNormal"/>
        <w:tblW w:w="58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0"/>
        <w:gridCol w:w="2060"/>
        <w:gridCol w:w="2551"/>
      </w:tblGrid>
      <w:tr w:rsidTr="00E0355F">
        <w:tblPrEx>
          <w:tblW w:w="5811" w:type="dxa"/>
          <w:tblInd w:w="4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21"/>
        </w:trPr>
        <w:tc>
          <w:tcPr>
            <w:tcW w:w="32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355F" w:rsidRPr="00085AB7" w:rsidP="00C931EE">
            <w:pPr>
              <w:rPr>
                <w:color w:val="000000"/>
              </w:rPr>
            </w:pPr>
            <w:r w:rsidRPr="00085AB7">
              <w:rPr>
                <w:color w:val="000000"/>
              </w:rPr>
              <w:t> </w:t>
            </w:r>
            <w:r w:rsidRPr="00085AB7">
              <w:rPr>
                <w:bCs/>
                <w:color w:val="000000"/>
              </w:rPr>
              <w:t>Výkon motora v kW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355F" w:rsidRPr="00085AB7" w:rsidP="00C931EE">
            <w:pPr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Sadzba poplatku v EUR</w:t>
            </w:r>
          </w:p>
        </w:tc>
      </w:tr>
      <w:tr w:rsidTr="00E0355F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430"/>
        </w:trPr>
        <w:tc>
          <w:tcPr>
            <w:tcW w:w="12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nad</w:t>
            </w:r>
          </w:p>
        </w:tc>
        <w:tc>
          <w:tcPr>
            <w:tcW w:w="20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do</w:t>
            </w:r>
          </w:p>
        </w:tc>
        <w:tc>
          <w:tcPr>
            <w:tcW w:w="2551" w:type="dxa"/>
            <w:vMerge/>
            <w:shd w:val="clear" w:color="auto" w:fill="FFFFFF"/>
            <w:vAlign w:val="center"/>
            <w:hideMark/>
          </w:tcPr>
          <w:p w:rsidR="00E0355F" w:rsidRPr="00085AB7" w:rsidP="00C931EE">
            <w:pPr>
              <w:rPr>
                <w:bCs/>
                <w:color w:val="000000"/>
              </w:rPr>
            </w:pP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32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80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33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80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90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60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90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100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90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100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110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120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110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</w:t>
            </w:r>
            <w:r w:rsidRPr="00085AB7">
              <w:rPr>
                <w:bCs/>
                <w:color w:val="000000"/>
              </w:rPr>
              <w:t>25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300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125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140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500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140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155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1000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155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170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1400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170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210 vrátane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1800</w:t>
            </w:r>
          </w:p>
        </w:tc>
      </w:tr>
      <w:tr w:rsidTr="00C931EE">
        <w:tblPrEx>
          <w:tblW w:w="5811" w:type="dxa"/>
          <w:tblInd w:w="421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210</w:t>
            </w:r>
          </w:p>
        </w:tc>
        <w:tc>
          <w:tcPr>
            <w:tcW w:w="20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right"/>
              <w:rPr>
                <w:bCs/>
                <w:color w:val="000000"/>
              </w:rPr>
            </w:pPr>
            <w:r w:rsidRPr="00085AB7">
              <w:rPr>
                <w:bCs/>
                <w:color w:val="000000"/>
              </w:rPr>
              <w:t>a viac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355F" w:rsidRPr="00085AB7" w:rsidP="00C931EE">
            <w:pPr>
              <w:jc w:val="center"/>
              <w:rPr>
                <w:color w:val="000000"/>
              </w:rPr>
            </w:pPr>
            <w:r w:rsidRPr="00085AB7">
              <w:rPr>
                <w:color w:val="000000"/>
              </w:rPr>
              <w:t>2400</w:t>
            </w:r>
          </w:p>
        </w:tc>
      </w:tr>
    </w:tbl>
    <w:p w:rsidR="00E0355F" w:rsidP="00E0355F">
      <w:pPr>
        <w:shd w:val="clear" w:color="auto" w:fill="FFFFFF"/>
        <w:ind w:firstLine="360"/>
      </w:pPr>
    </w:p>
    <w:p w:rsidR="00E0355F" w:rsidRPr="00085AB7" w:rsidP="00E0355F">
      <w:pPr>
        <w:shd w:val="clear" w:color="auto" w:fill="FFFFFF"/>
        <w:ind w:firstLine="360"/>
      </w:pPr>
      <w:r w:rsidRPr="00085AB7">
        <w:t>Tabuľka č. 2</w:t>
      </w:r>
    </w:p>
    <w:tbl>
      <w:tblPr>
        <w:tblStyle w:val="TableNormal"/>
        <w:tblW w:w="9009" w:type="dxa"/>
        <w:tblInd w:w="421" w:type="dxa"/>
        <w:tblLayout w:type="fixed"/>
        <w:tblLook w:val="0400"/>
      </w:tblPr>
      <w:tblGrid>
        <w:gridCol w:w="425"/>
        <w:gridCol w:w="3827"/>
        <w:gridCol w:w="2977"/>
        <w:gridCol w:w="1780"/>
      </w:tblGrid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9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5F" w:rsidRPr="00085AB7" w:rsidP="00C931EE">
            <w:pPr>
              <w:jc w:val="center"/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Druh vozidla vzhľadom na druh paliva*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Ekologický koeficient vozidla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1.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staršie ako 40 rokov od dátumu prvej evid</w:t>
            </w:r>
            <w:r w:rsidRPr="00085AB7">
              <w:t>encie (bez rozdielu druhu paliva)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0,10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2.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s druhom paliva: H2, kombinácia akékoľvek palivo+PHEV (Plug-In hybrid)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0,20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299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55F" w:rsidRPr="00085AB7" w:rsidP="00C931EE">
            <w:pPr>
              <w:jc w:val="center"/>
            </w:pPr>
            <w:r w:rsidRPr="00085AB7">
              <w:t>3.</w:t>
            </w:r>
          </w:p>
        </w:tc>
        <w:tc>
          <w:tcPr>
            <w:tcW w:w="85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 xml:space="preserve">Vozidlo s iným druhom paliva ako v riadku 1 a 2 alebo iné vozidlo ako v písmene c) 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2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55F" w:rsidRPr="00085AB7" w:rsidP="00C931EE">
            <w:r w:rsidRPr="00085AB7">
              <w:t>Emisná norma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Dátum prvej evidencie**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55F" w:rsidRPr="00085AB7" w:rsidP="00C931EE">
            <w:pPr>
              <w:jc w:val="center"/>
            </w:pP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1/I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do 31.12.1996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1,00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2/II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1.1.1997 do 31.12.2001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0,80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3/III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1.1.2002 do 31.12.2006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0,70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4/IV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1.1.2007 do 31.12.2011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0,60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5/V/EEV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1.1.2012 do 31.8.2016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0,50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6a,b,c/VIA,B,C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1.9.2016 do 31.8.2020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0,45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5F" w:rsidRPr="00085AB7" w:rsidP="00C931EE"/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r w:rsidRPr="00085AB7">
              <w:t>Vozidlo Euro 6d/VID a novšie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od 1.9.2020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55F" w:rsidRPr="00085AB7" w:rsidP="00C931EE">
            <w:pPr>
              <w:jc w:val="center"/>
            </w:pPr>
            <w:r w:rsidRPr="00085AB7">
              <w:t>0,40</w:t>
            </w:r>
          </w:p>
        </w:tc>
      </w:tr>
      <w:tr w:rsidTr="00C931EE">
        <w:tblPrEx>
          <w:tblW w:w="9009" w:type="dxa"/>
          <w:tblInd w:w="421" w:type="dxa"/>
          <w:tblLayout w:type="fixed"/>
          <w:tblLook w:val="0400"/>
        </w:tblPrEx>
        <w:trPr>
          <w:trHeight w:val="300"/>
        </w:trPr>
        <w:tc>
          <w:tcPr>
            <w:tcW w:w="9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5F" w:rsidRPr="00085AB7" w:rsidP="00C931EE">
            <w:pPr>
              <w:jc w:val="both"/>
            </w:pPr>
            <w:r w:rsidRPr="00085AB7">
              <w:t>Poplatok sa vzhľadom na ekologický koeficient zníži najviac na 33 eur.</w:t>
            </w:r>
          </w:p>
          <w:p w:rsidR="00E0355F" w:rsidRPr="00085AB7" w:rsidP="00C931EE">
            <w:pPr>
              <w:tabs>
                <w:tab w:val="left" w:pos="447"/>
              </w:tabs>
              <w:ind w:left="447" w:hanging="425"/>
              <w:jc w:val="both"/>
            </w:pPr>
            <w:r w:rsidRPr="00085AB7">
              <w:t>*  Druh paliva sa určí z položky 18 Osvedčenia o evidencii časť II „Druh paliva/zdroj energie“.</w:t>
            </w:r>
          </w:p>
          <w:p w:rsidR="00E0355F" w:rsidRPr="00085AB7" w:rsidP="00C931EE">
            <w:pPr>
              <w:ind w:left="179" w:hanging="179"/>
              <w:jc w:val="both"/>
            </w:pPr>
            <w:r w:rsidRPr="00085AB7">
              <w:t>** Kritériá časového rozmedzia dátumu prvej evidencie sa použijú len, ak sa pre motorové vozidlo nedá určiť emisná norma Euro.</w:t>
            </w:r>
          </w:p>
        </w:tc>
      </w:tr>
    </w:tbl>
    <w:p w:rsidR="00E0355F" w:rsidRPr="00085AB7" w:rsidP="00E0355F">
      <w:pPr>
        <w:shd w:val="clear" w:color="auto" w:fill="FFFFFF"/>
      </w:pPr>
      <w:r w:rsidRPr="00085AB7">
        <w:t>.“.</w:t>
      </w:r>
    </w:p>
    <w:p w:rsidR="00E0355F" w:rsidRPr="00085AB7" w:rsidP="00E0355F">
      <w:pPr>
        <w:ind w:left="708"/>
        <w:jc w:val="both"/>
        <w:rPr>
          <w:highlight w:val="green"/>
        </w:rPr>
      </w:pPr>
    </w:p>
    <w:p w:rsidR="00E0355F" w:rsidRPr="00085AB7" w:rsidP="00E0355F">
      <w:pPr>
        <w:ind w:left="360"/>
        <w:jc w:val="both"/>
      </w:pPr>
      <w:r w:rsidRPr="00085AB7">
        <w:rPr>
          <w:color w:val="000000"/>
        </w:rPr>
        <w:t xml:space="preserve"> </w:t>
      </w:r>
      <w:r w:rsidRPr="00085AB7">
        <w:rPr>
          <w:color w:val="000000"/>
        </w:rPr>
        <w:t>„2. V</w:t>
      </w:r>
      <w:r w:rsidR="00704669">
        <w:rPr>
          <w:color w:val="000000"/>
        </w:rPr>
        <w:t xml:space="preserve"> prílohe </w:t>
      </w:r>
      <w:r w:rsidRPr="00085AB7">
        <w:rPr>
          <w:color w:val="000000"/>
        </w:rPr>
        <w:t>Sadzobník správnych poplatkov časti VI. Doprava položke 65 Poznámkach sa vypúšťa bod 3.</w:t>
      </w:r>
    </w:p>
    <w:p w:rsidR="00E0355F" w:rsidRPr="00085AB7" w:rsidP="00E0355F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85AB7">
        <w:rPr>
          <w:rFonts w:ascii="Times New Roman" w:hAnsi="Times New Roman"/>
          <w:color w:val="000000"/>
          <w:sz w:val="24"/>
          <w:szCs w:val="24"/>
        </w:rPr>
        <w:t xml:space="preserve">    Doterajší bod 4  sa označuje ako bod 3 .“.“.</w:t>
      </w:r>
    </w:p>
    <w:p w:rsidR="00E0355F" w:rsidP="00E0355F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355F" w:rsidRPr="00E0355F" w:rsidP="00E0355F">
      <w:pPr>
        <w:ind w:left="3402"/>
        <w:jc w:val="both"/>
      </w:pPr>
      <w:r w:rsidRPr="00E0355F">
        <w:t>Pozmeňujúcim návrhom sa cieli, aby sa zmenou tabuľky č. 1 znížil počet výkonových kategórií motora so sadzbami priaznivejšími pre poplatníkov, a aby sa zmenou tabuľky č. 2 upravili už zavedené ekologické koeficienty vozidla, zjednotili sa časti tejto tabuľky pre naftové a benzínové motory a odstránili legislatívno</w:t>
      </w:r>
      <w:r w:rsidRPr="00E0355F">
        <w:t>-technické nepresnosti, ktoré boli prijaté skoršou úpravou položky 65 Sadzobníka správnych poplatkov prijaté zákonom č. 59/2023 Z. z. Vo výsledku násobením hodnôt obsiahnutých v oboch tabuľkách bude možné dosiahnuť zjednodušenie výpočtu konečnej výšky poplatku, čo je efektívnejšie pri implementácii finálneho riešenia do služby eKolok (súčasných cca 3 000 služieb sa nahrádza novými cca 800 službami vyplývajúcimi ako kombinácia z hodnôt v tabuľkách a pri aplikácií ďalších zliav ponechaných v zákone pre tzv. rodinné vany, zľava pre držiteľov preukazu ŤZP). Súčasne sa zmierňuje výška ekologického koeficientu pre staršie vozidlá s cieľom znížiť poplatkové zaťaženie týchto vozidiel. Z dôvodu obsolétnosti sa navrhuje zrušiť použitie znaleckého posudku na určenie zostatkovej hodnoty vozidla, keďže registračný poplatok sa vypočítavá nie na základe hodnoty vozidla, ale so zohľadnením príslušnej euronormy.</w:t>
      </w:r>
    </w:p>
    <w:p w:rsidR="00E0355F" w:rsidP="00E0355F">
      <w:pPr>
        <w:rPr>
          <w:i/>
        </w:rPr>
      </w:pPr>
    </w:p>
    <w:p w:rsidR="00E0355F" w:rsidRP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0355F" w:rsidRPr="00E93788" w:rsidP="00E0355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0355F" w:rsidP="00E0355F">
      <w:pPr>
        <w:rPr>
          <w:i/>
        </w:rPr>
      </w:pPr>
    </w:p>
    <w:p w:rsidR="00E0355F" w:rsidP="00E0355F">
      <w:pPr>
        <w:rPr>
          <w:i/>
        </w:rPr>
      </w:pPr>
    </w:p>
    <w:p w:rsidR="00E0355F" w:rsidRPr="00EC0B44" w:rsidP="00E0355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C0B44">
        <w:rPr>
          <w:rFonts w:ascii="Times New Roman" w:hAnsi="Times New Roman"/>
          <w:b/>
          <w:bCs/>
          <w:sz w:val="24"/>
          <w:szCs w:val="24"/>
        </w:rPr>
        <w:t>Za čl. I sa vkladá nový čl. II</w:t>
      </w:r>
      <w:r w:rsidRPr="00EC0B44">
        <w:rPr>
          <w:rFonts w:ascii="Times New Roman" w:hAnsi="Times New Roman"/>
          <w:bCs/>
          <w:sz w:val="24"/>
          <w:szCs w:val="24"/>
        </w:rPr>
        <w:t>, ktorý znie:</w:t>
      </w:r>
    </w:p>
    <w:p w:rsidR="00E0355F" w:rsidP="00E0355F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E0355F" w:rsidP="00E0355F">
      <w:pPr>
        <w:pStyle w:val="ListParagraph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„Čl. II</w:t>
      </w: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</w:t>
      </w:r>
      <w:r w:rsidRPr="00CF4E07">
        <w:rPr>
          <w:rFonts w:ascii="Times New Roman" w:hAnsi="Times New Roman"/>
          <w:sz w:val="24"/>
          <w:szCs w:val="24"/>
        </w:rPr>
        <w:t>Národnej rady Slovenskej republiky</w:t>
      </w:r>
      <w:r>
        <w:rPr>
          <w:rFonts w:ascii="Times New Roman" w:hAnsi="Times New Roman"/>
          <w:sz w:val="24"/>
          <w:szCs w:val="24"/>
        </w:rPr>
        <w:t xml:space="preserve"> č. 59/2023 Z. z. </w:t>
      </w:r>
      <w:r w:rsidRPr="00CF4E07">
        <w:rPr>
          <w:rFonts w:ascii="Times New Roman" w:hAnsi="Times New Roman"/>
          <w:sz w:val="24"/>
          <w:szCs w:val="24"/>
        </w:rPr>
        <w:t>ktorým sa mení zákon Národnej rady Slovenskej republiky č. 145/1995 Z. z. o správnych poplatkoch v znení neskorších predpisov a o zmene a doplnení niektorých zákonov</w:t>
      </w:r>
      <w:r>
        <w:rPr>
          <w:rFonts w:ascii="Times New Roman" w:hAnsi="Times New Roman"/>
          <w:sz w:val="24"/>
          <w:szCs w:val="24"/>
        </w:rPr>
        <w:t xml:space="preserve"> sa mení takto:</w:t>
      </w: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 čl. V sa slová „1. apríla 2023“ nahrádzajú slovami „1. januára 2024“.“.</w:t>
      </w: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0355F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čl. II sa označuje ako čl. III.</w:t>
      </w:r>
    </w:p>
    <w:p w:rsidR="009320B0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320B0" w:rsidRPr="008F6410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ustanovenie nadobúda účinnosť dňom vyhlásenia, čo sa premietne do ustanovenia o účinnosti.</w:t>
      </w:r>
    </w:p>
    <w:p w:rsidR="00E0355F" w:rsidRPr="003C2FE1" w:rsidP="00E0355F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0355F" w:rsidRPr="00E0355F" w:rsidP="00E0355F">
      <w:pPr>
        <w:pStyle w:val="ListParagraph"/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E0355F">
        <w:rPr>
          <w:rFonts w:ascii="Times New Roman" w:hAnsi="Times New Roman"/>
          <w:iCs/>
          <w:sz w:val="24"/>
          <w:szCs w:val="24"/>
        </w:rPr>
        <w:t xml:space="preserve">Novela zákona č. 145/1995 Z. z. o správnych poplatkoch, schválená zákonom č. 59/2023 Z. z., ktorá mení v čl. I mechanizmus výpočtu správneho poplatku zavedením tzv. ekologického koeficientu sa po schválení ukázala, že je potrebné vzhľadom na potrebu zmien v praxi potrebné posunúť účinnosť predmetného novelizačného zákona. Navrhuje sa preto posunutie účinnosti na 1. januára 2024. </w:t>
      </w:r>
    </w:p>
    <w:p w:rsidR="00E0355F" w:rsidP="00E0355F">
      <w:pPr>
        <w:rPr>
          <w:i/>
        </w:rPr>
      </w:pPr>
    </w:p>
    <w:p w:rsidR="00E0355F" w:rsidRP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0355F" w:rsidRPr="00E93788" w:rsidP="00E0355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0355F" w:rsidRPr="00E0355F" w:rsidP="00E0355F">
      <w:pPr>
        <w:rPr>
          <w:b/>
          <w:i/>
        </w:rPr>
      </w:pPr>
    </w:p>
    <w:p w:rsidR="00E0355F" w:rsidRPr="00085AB7" w:rsidP="00E0355F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85AB7">
        <w:rPr>
          <w:rFonts w:ascii="Times New Roman" w:hAnsi="Times New Roman"/>
          <w:b/>
          <w:color w:val="000000"/>
          <w:sz w:val="24"/>
          <w:szCs w:val="24"/>
        </w:rPr>
        <w:t>V Čl. II</w:t>
      </w:r>
      <w:r w:rsidRPr="00085AB7">
        <w:rPr>
          <w:rFonts w:ascii="Times New Roman" w:hAnsi="Times New Roman"/>
          <w:color w:val="000000"/>
          <w:sz w:val="24"/>
          <w:szCs w:val="24"/>
        </w:rPr>
        <w:t xml:space="preserve"> sa  slová „dňom vyhlásenia“ nahrádzajú  slovami „1. januára 2024“.</w:t>
      </w:r>
    </w:p>
    <w:p w:rsidR="00E0355F" w:rsidRPr="00085AB7" w:rsidP="00E0355F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355F" w:rsidRPr="00E0355F" w:rsidP="00E0355F">
      <w:pPr>
        <w:ind w:left="3402"/>
        <w:jc w:val="both"/>
      </w:pPr>
      <w:r w:rsidRPr="00E0355F">
        <w:t>Pozmeňujúcim návrhom sa cieli, aby sa zmenou tabuľky č. 1 znížil počet výkonových kategórií motora so sadzbami priaznivejšími pre poplatníkov, a aby sa zmenou tabuľky č. 2 upravili už zavedené ekologické koeficienty vozidla, zjednotili sa časti tejto tabuľky pre naftové a benzínové motory a odstránili legislatívno-technické nepresnosti, ktoré boli prijaté skoršou úpravou položky 65 Sadzobníka správnych poplatkov prijaté zákonom č. 59/2023 Z. z. Vo výsledku násobením hodnôt obsiahnutých v oboch tabuľkách bude možné dosiahnuť zjednodušenie výpočtu konečnej výšky poplatku, čo je efektívnejšie pri implementácii finálneho riešenia do služby eKolok (súčasných cca 3 000 služieb sa nahrádza novými cca 800 službami vyplývajúcimi ako kombinácia z hodnôt v tabuľkách a pri aplikácií ďalších zliav ponechaných v zákone pre tzv. rodinné vany, zľava pre držiteľov preukazu ŤZP). Súčasne sa zmierňuje výška ekologického koeficientu pre staršie vozidlá s cieľom znížiť poplatkové zaťaženie týchto vozidiel. Z dôvodu obsolétnosti sa navrhuje zrušiť použitie znaleckého posudku na určenie zostatkovej hodnoty vozidla, keďže registračný poplatok sa vypočítavá nie na základe hodnoty vozidla, ale so zohľadnením príslušnej euronormy.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996AAB" w:rsidRPr="00E0355F" w:rsidP="00996AA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996AAB" w:rsidP="00D123BD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996AAB" w:rsidRPr="00E93788" w:rsidP="00996AAB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996AAB" w:rsidP="00996AAB">
      <w:pPr>
        <w:tabs>
          <w:tab w:val="left" w:pos="3915"/>
        </w:tabs>
      </w:pPr>
    </w:p>
    <w:p w:rsidR="00996AAB" w:rsidP="00996AAB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Pr="00E0355F" w:rsidR="00E0355F">
        <w:rPr>
          <w:b/>
          <w:sz w:val="26"/>
          <w:szCs w:val="26"/>
        </w:rPr>
        <w:t>1 až 4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996AAB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A177C0" w:rsidR="00A177C0">
        <w:rPr>
          <w:color w:val="000000"/>
        </w:rPr>
        <w:t>návrhu</w:t>
      </w:r>
      <w:r w:rsidRPr="00A177C0" w:rsidR="00A177C0">
        <w:rPr>
          <w:bCs/>
          <w:color w:val="000000"/>
        </w:rPr>
        <w:t xml:space="preserve"> 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</w:t>
      </w:r>
      <w:r w:rsidR="00A177C0">
        <w:rPr>
          <w:b/>
          <w:bCs/>
          <w:color w:val="000000"/>
        </w:rPr>
        <w:t xml:space="preserve"> </w:t>
      </w:r>
      <w:r w:rsidRPr="00A177C0" w:rsidR="00A177C0">
        <w:rPr>
          <w:b/>
          <w:bCs/>
          <w:color w:val="000000"/>
        </w:rPr>
        <w:t>(tlač 1379)</w:t>
      </w:r>
      <w:r w:rsidR="004E74E1">
        <w:rPr>
          <w:color w:val="000000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Pr="00E0355F" w:rsidR="004E74E1">
        <w:rPr>
          <w:b/>
        </w:rPr>
        <w:t>s pozmeňujúcimi a doplňujúcimi návrhmi</w:t>
      </w:r>
      <w:r w:rsidRPr="00E0355F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996AAB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7415CD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A177C0" w:rsidR="00A177C0">
        <w:rPr>
          <w:color w:val="000000"/>
        </w:rPr>
        <w:t>návrhu</w:t>
      </w:r>
      <w:r w:rsidRPr="00A177C0" w:rsidR="00A177C0">
        <w:rPr>
          <w:bCs/>
          <w:color w:val="000000"/>
        </w:rPr>
        <w:t xml:space="preserve"> 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</w:t>
      </w:r>
      <w:r w:rsidR="00A177C0">
        <w:rPr>
          <w:b/>
          <w:bCs/>
          <w:color w:val="000000"/>
        </w:rPr>
        <w:t xml:space="preserve"> </w:t>
      </w:r>
      <w:r w:rsidRPr="00A177C0" w:rsidR="00A177C0">
        <w:rPr>
          <w:b/>
          <w:bCs/>
          <w:color w:val="000000"/>
        </w:rPr>
        <w:t>(tlač 1379</w:t>
      </w:r>
      <w:r w:rsidR="00A177C0">
        <w:rPr>
          <w:b/>
          <w:bCs/>
          <w:color w:val="000000"/>
        </w:rPr>
        <w:t>a</w:t>
      </w:r>
      <w:r w:rsidRPr="00A177C0" w:rsidR="00A177C0">
        <w:rPr>
          <w:b/>
          <w:bCs/>
          <w:color w:val="000000"/>
        </w:rPr>
        <w:t>)</w:t>
      </w:r>
      <w:r w:rsidR="00A177C0">
        <w:rPr>
          <w:color w:val="000000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Pr="00B71975" w:rsidR="00B71975">
        <w:rPr>
          <w:b/>
          <w:bCs/>
        </w:rPr>
        <w:t>437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B71975" w:rsidR="004E74E1">
        <w:rPr>
          <w:b/>
          <w:bCs/>
        </w:rPr>
        <w:t>o</w:t>
      </w:r>
      <w:r w:rsidRPr="00A46744">
        <w:rPr>
          <w:b/>
          <w:bCs/>
        </w:rPr>
        <w:t> </w:t>
      </w:r>
      <w:r w:rsidR="00DA1A81">
        <w:rPr>
          <w:b/>
          <w:bCs/>
        </w:rPr>
        <w:t>1</w:t>
      </w:r>
      <w:r w:rsidR="004E74E1">
        <w:rPr>
          <w:b/>
          <w:bCs/>
        </w:rPr>
        <w:t>4</w:t>
      </w:r>
      <w:r w:rsidR="004D053D">
        <w:rPr>
          <w:b/>
          <w:bCs/>
        </w:rPr>
        <w:t xml:space="preserve">. </w:t>
      </w:r>
      <w:r w:rsidR="004E74E1">
        <w:rPr>
          <w:b/>
          <w:bCs/>
        </w:rPr>
        <w:t>marca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645A9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A177C0">
        <w:rPr>
          <w:b/>
          <w:bCs/>
        </w:rPr>
        <w:t>Györgya Gyimesiho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4E74E1">
        <w:t>14. marca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7FA">
      <w:rPr>
        <w:rStyle w:val="PageNumber"/>
        <w:noProof/>
      </w:rPr>
      <w:t>4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7</cp:revision>
  <cp:lastPrinted>2023-03-14T09:55:00Z</cp:lastPrinted>
  <dcterms:created xsi:type="dcterms:W3CDTF">2023-03-13T19:46:00Z</dcterms:created>
  <dcterms:modified xsi:type="dcterms:W3CDTF">2023-03-14T13:16:00Z</dcterms:modified>
</cp:coreProperties>
</file>