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D20E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111/2023</w:t>
      </w: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ED3E6A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D20E4F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1376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05046F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05046F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05046F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Pr="0005046F"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Petra KREMSKÉHO, Milana KURIAKA, Vojtecha TÓTHA, Petra LIBU a Petra VONSA na vydanie zákona, ktorým sa mení zákon č. 497/2022 Z. z. o preverovaní zahraničných investícií a o zmene a doplnení niektorých zákonov </w:t>
      </w:r>
      <w:r w:rsidRPr="0005046F" w:rsidR="0005046F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1376</w:t>
      </w:r>
      <w:r w:rsidRPr="0005046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05046F"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 w:rsidR="002962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návrhu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7695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75032C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Petra KREMSKÉHO, Milana KURIAKA, Vojtecha TÓTHA, Petra LIBU a Petra VONSA na vydanie zákona, ktorým sa mení zákon č. 497/2022 Z. z. o preverovaní zahraničných investícií a o zmene a doplnení niektorých zákonov </w:t>
      </w:r>
      <w:r w:rsidRPr="0075032C" w:rsidR="0005046F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1376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1445</w:t>
      </w:r>
      <w:r w:rsidRPr="00A53E9D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A53E9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januára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23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23742" w:rsidRPr="00ED3E6A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ED3E6A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9626F" w:rsidRPr="00ED3E6A" w:rsidP="004864C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24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980F1B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5046F" w:rsidRPr="00ED3E6A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ED3E6A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424795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5372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694</w:t>
      </w:r>
      <w:r w:rsidRPr="0042479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372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5372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765794" w:rsidRPr="00424795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24795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AE234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410 z 13.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372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marca</w:t>
      </w:r>
      <w:r w:rsidRPr="00424795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="0005046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</w:t>
      </w:r>
    </w:p>
    <w:p w:rsidR="003E18B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ED3E6A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ne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vyplýva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jú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E234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žiadne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y.</w:t>
      </w:r>
    </w:p>
    <w:p w:rsidR="007E084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A0EEB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AE0758" w:rsidRPr="00ED3E6A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05046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77695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</w:t>
      </w:r>
      <w:r w:rsidRPr="0075032C" w:rsidR="0005046F">
        <w:rPr>
          <w:rFonts w:ascii="Times New Roman" w:eastAsia="Times New Roman" w:hAnsi="Times New Roman" w:cs="Arial" w:hint="cs"/>
          <w:sz w:val="24"/>
          <w:szCs w:val="24"/>
          <w:rtl w:val="0"/>
          <w:cs w:val="0"/>
          <w:lang w:val="sk-SK" w:eastAsia="sk-SK" w:bidi="ar-SA"/>
        </w:rPr>
        <w:t xml:space="preserve">Petra KREMSKÉHO, Milana KURIAKA, Vojtecha TÓTHA, Petra LIBU a Petra VONSA na vydanie zákona, ktorým sa mení zákon č. 497/2022 Z. z. o preverovaní zahraničných investícií a o zmene a doplnení niektorých zákonov </w:t>
      </w:r>
      <w:r w:rsidRPr="0075032C" w:rsidR="0005046F">
        <w:rPr>
          <w:rFonts w:ascii="Times New Roman" w:eastAsia="Times New Roman" w:hAnsi="Times New Roman" w:cs="Arial" w:hint="cs"/>
          <w:b/>
          <w:sz w:val="24"/>
          <w:szCs w:val="24"/>
          <w:rtl w:val="0"/>
          <w:cs w:val="0"/>
          <w:lang w:val="sk-SK" w:eastAsia="sk-SK" w:bidi="ar-SA"/>
        </w:rPr>
        <w:t>(tlač 1376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AE234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 c h v á l i</w:t>
      </w:r>
      <w:r w:rsidR="00AE234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ť</w:t>
      </w:r>
      <w:r w:rsidR="00AE234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210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418</w:t>
      </w:r>
      <w:r w:rsidRPr="00A1458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Pr="00A1458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zároveň poveril spoločn</w:t>
      </w:r>
      <w:r w:rsidR="006A0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 spravodajkyňu </w:t>
      </w:r>
      <w:r w:rsidR="0005046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Miriam Šutekovú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AE234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05046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CE799F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0000000000000000000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C2109D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1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509</Words>
  <Characters>2907</Characters>
  <Application>Microsoft Office Word</Application>
  <DocSecurity>0</DocSecurity>
  <Lines>0</Lines>
  <Paragraphs>0</Paragraphs>
  <ScaleCrop>false</ScaleCrop>
  <Company>Kancelária NR SR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Birova, Katarina</cp:lastModifiedBy>
  <cp:revision>16</cp:revision>
  <cp:lastPrinted>2020-05-20T15:53:00Z</cp:lastPrinted>
  <dcterms:created xsi:type="dcterms:W3CDTF">2022-10-13T13:42:00Z</dcterms:created>
  <dcterms:modified xsi:type="dcterms:W3CDTF">2023-03-14T09:21:00Z</dcterms:modified>
</cp:coreProperties>
</file>