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342A4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1C4AF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</w:p>
    <w:p w:rsidR="00AC02A5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1C4AF1" w:rsidR="00F342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  pre financie a rozpočet</w:t>
      </w:r>
      <w:r w:rsidRPr="001C4AF1" w:rsidR="00F342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</w:t>
      </w:r>
    </w:p>
    <w:p w:rsidR="007F2363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F342A4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8B07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12</w:t>
      </w:r>
      <w:r w:rsidR="0061747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</w:t>
      </w:r>
      <w:r w:rsidRPr="001C4A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</w:t>
      </w:r>
    </w:p>
    <w:p w:rsidR="00F342A4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1C4A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</w:t>
        <w:tab/>
        <w:tab/>
      </w:r>
      <w:r w:rsidR="00701EF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7F352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EC40B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</w:t>
      </w:r>
      <w:r w:rsidRPr="001C4AF1" w:rsidR="003C567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/202</w:t>
      </w:r>
      <w:r w:rsidR="0061747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</w:t>
      </w:r>
    </w:p>
    <w:p w:rsidR="00C44EB8" w:rsidRPr="001C4AF1" w:rsidP="00F342A4">
      <w:pPr>
        <w:framePr w:wrap="auto"/>
        <w:widowControl/>
        <w:autoSpaceDE/>
        <w:autoSpaceDN/>
        <w:bidi w:val="0"/>
        <w:adjustRightInd/>
        <w:ind w:left="3540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1C4AF1" w:rsid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Pr="001C4AF1" w:rsid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124F30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93457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</w:t>
      </w:r>
    </w:p>
    <w:p w:rsidR="00CB7BF3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FC4C2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="0061747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085AB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434</w:t>
      </w:r>
    </w:p>
    <w:p w:rsidR="00F342A4" w:rsidRPr="00864C74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 w:rsidR="001A6BD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F342A4" w:rsidRPr="00F342A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8B077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</w:t>
      </w:r>
      <w:r w:rsidR="0061747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13. marca 2023</w:t>
      </w:r>
    </w:p>
    <w:p w:rsidR="00F342A4" w:rsidRPr="003C7E30" w:rsidP="00F342A4">
      <w:pPr>
        <w:keepNext/>
        <w:framePr w:wrap="auto"/>
        <w:widowControl/>
        <w:shd w:val="clear" w:color="auto" w:fill="FFFFFF"/>
        <w:autoSpaceDE/>
        <w:autoSpaceDN/>
        <w:bidi w:val="0"/>
        <w:adjustRightInd/>
        <w:ind w:left="0" w:right="0"/>
        <w:jc w:val="both"/>
        <w:textAlignment w:val="auto"/>
        <w:outlineLvl w:val="1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EC40B3" w:rsidP="000F23CB">
      <w:pPr>
        <w:keepNext/>
        <w:framePr w:wrap="auto"/>
        <w:widowControl/>
        <w:shd w:val="clear" w:color="auto" w:fill="FFFFFF"/>
        <w:autoSpaceDE/>
        <w:autoSpaceDN/>
        <w:bidi w:val="0"/>
        <w:adjustRightInd/>
        <w:ind w:left="0" w:right="0"/>
        <w:jc w:val="both"/>
        <w:textAlignment w:val="auto"/>
        <w:outlineLvl w:val="1"/>
        <w:rPr>
          <w:rFonts w:ascii="Times New Roman" w:eastAsia="Times New Roman" w:hAnsi="Times New Roman" w:cs="Times New Roman" w:hint="cs"/>
          <w:b/>
          <w:bCs w:val="0"/>
          <w:rtl w:val="0"/>
          <w:cs w:val="0"/>
          <w:lang w:val="sk-SK" w:eastAsia="sk-SK" w:bidi="ar-SA"/>
        </w:rPr>
      </w:pPr>
      <w:r w:rsidRPr="00B6279D">
        <w:rPr>
          <w:rFonts w:ascii="Times New Roman" w:eastAsia="Times New Roman" w:hAnsi="Times New Roman" w:cs="Times New Roman" w:hint="cs"/>
          <w:b w:val="0"/>
          <w:bCs w:val="0"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 prerokoval</w:t>
      </w:r>
      <w:r w:rsidRPr="00A7107D" w:rsidR="00781422">
        <w:rPr>
          <w:rFonts w:ascii="Times New Roman" w:eastAsia="Times New Roman" w:hAnsi="Times New Roman" w:cs="Times New Roman" w:hint="cs"/>
          <w:b w:val="0"/>
          <w:bCs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EC40B3">
        <w:rPr>
          <w:rFonts w:ascii="Times New Roman" w:eastAsia="Times New Roman" w:hAnsi="Times New Roman" w:cs="Times New Roman" w:hint="cs"/>
          <w:b w:val="0"/>
          <w:bCs w:val="0"/>
          <w:sz w:val="24"/>
          <w:szCs w:val="24"/>
          <w:rtl w:val="0"/>
          <w:cs w:val="0"/>
          <w:lang w:val="sk-SK" w:eastAsia="sk-SK" w:bidi="ar-SA"/>
        </w:rPr>
        <w:t>n</w:t>
      </w:r>
      <w:r w:rsidRPr="00EC40B3" w:rsidR="00EC40B3">
        <w:rPr>
          <w:rFonts w:ascii="Times New Roman" w:eastAsia="Times New Roman" w:hAnsi="Times New Roman" w:cs="Times New Roman" w:hint="cs"/>
          <w:b w:val="0"/>
          <w:bCs/>
          <w:sz w:val="24"/>
          <w:szCs w:val="24"/>
          <w:rtl w:val="0"/>
          <w:cs w:val="0"/>
          <w:lang w:val="sk-SK" w:eastAsia="sk-SK" w:bidi="ar-SA"/>
        </w:rPr>
        <w:t xml:space="preserve">ávrh poslancov Národnej rady Slovenskej republiky Petra KREMSKÉHO, Milana KURIAKA, Richarda VAŠEČKU, Petra LIBU a Petra VONSA na vydanie zákona, ktorým sa dopĺňa zákon Národnej rady Slovenskej republiky č. 145/1995 Z. z. o správnych poplatkoch v znení neskorších predpisov </w:t>
      </w:r>
      <w:r w:rsidRPr="00EC40B3" w:rsidR="00EC40B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(tlač 1379)</w:t>
      </w:r>
      <w:r w:rsidRPr="00EC40B3" w:rsidR="007F352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C40B3">
        <w:rPr>
          <w:rFonts w:ascii="Times New Roman" w:eastAsia="Times New Roman" w:hAnsi="Times New Roman" w:cs="Times New Roman" w:hint="cs"/>
          <w:b/>
          <w:bCs w:val="0"/>
          <w:sz w:val="24"/>
          <w:szCs w:val="24"/>
          <w:rtl w:val="0"/>
          <w:cs w:val="0"/>
          <w:lang w:val="sk-SK" w:eastAsia="sk-SK" w:bidi="ar-SA"/>
        </w:rPr>
        <w:t xml:space="preserve">a  </w:t>
      </w:r>
    </w:p>
    <w:p w:rsidR="00F342A4" w:rsidRPr="00B0375C" w:rsidP="00941E8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E8684D" w:rsidRPr="00ED462C" w:rsidP="00941E8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ED462C" w:rsidP="008B4542">
      <w:pPr>
        <w:framePr w:wrap="auto"/>
        <w:widowControl/>
        <w:numPr>
          <w:numId w:val="4"/>
        </w:numPr>
        <w:tabs>
          <w:tab w:val="num" w:pos="426"/>
        </w:tabs>
        <w:autoSpaceDE/>
        <w:autoSpaceDN/>
        <w:bidi w:val="0"/>
        <w:adjustRightInd/>
        <w:ind w:right="0" w:hanging="14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F342A4" w:rsidRPr="00ED462C" w:rsidP="00941E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876C85" w:rsidRPr="00EC40B3" w:rsidP="00EC40B3">
      <w:pPr>
        <w:framePr w:wrap="auto"/>
        <w:widowControl/>
        <w:autoSpaceDE/>
        <w:autoSpaceDN/>
        <w:bidi w:val="0"/>
        <w:adjustRightInd/>
        <w:ind w:left="57" w:right="0" w:firstLine="369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C40B3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Pr="00EC40B3" w:rsidR="00EC40B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</w:t>
      </w:r>
      <w:r w:rsidRPr="00EC40B3" w:rsidR="00EC40B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ávrhom poslancov Národnej rady Slovenskej republiky Petra KREMSKÉHO, Milana KURIAKA, Richarda VAŠEČKU, Petra LIBU a Petra VONSA na vydanie zákona, ktorým sa dopĺňa zákon Národnej rady Slovenskej republiky č. 145/1995 Z. z. o správnych poplatkoch v znení neskorších predpisov </w:t>
      </w:r>
      <w:r w:rsidRPr="00EC40B3" w:rsidR="00EC40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1379)</w:t>
      </w:r>
    </w:p>
    <w:p w:rsidR="007F3527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EC40B3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ED462C" w:rsidP="008B4542">
      <w:pPr>
        <w:keepNext/>
        <w:framePr w:wrap="auto"/>
        <w:widowControl/>
        <w:numPr>
          <w:numId w:val="4"/>
        </w:numPr>
        <w:tabs>
          <w:tab w:val="num" w:pos="426"/>
        </w:tabs>
        <w:autoSpaceDE/>
        <w:autoSpaceDN/>
        <w:bidi w:val="0"/>
        <w:adjustRightInd/>
        <w:ind w:right="0" w:hanging="1440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odporúča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P="008B4542">
      <w:pPr>
        <w:keepNext/>
        <w:framePr w:wrap="auto"/>
        <w:widowControl/>
        <w:tabs>
          <w:tab w:val="num" w:pos="426"/>
        </w:tabs>
        <w:autoSpaceDE/>
        <w:autoSpaceDN/>
        <w:bidi w:val="0"/>
        <w:adjustRightInd/>
        <w:ind w:left="0" w:right="0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rade Slovenskej republiky</w:t>
      </w:r>
    </w:p>
    <w:p w:rsidR="00702D48" w:rsidRPr="00ED462C" w:rsidP="00941E8D">
      <w:pPr>
        <w:keepNext/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D33540" w:rsidRPr="001B040F" w:rsidP="00914E0B">
      <w:pPr>
        <w:keepNext/>
        <w:keepLines/>
        <w:framePr w:wrap="auto"/>
        <w:widowControl/>
        <w:autoSpaceDE/>
        <w:autoSpaceDN/>
        <w:bidi w:val="0"/>
        <w:adjustRightInd/>
        <w:ind w:left="114" w:right="0" w:firstLine="142"/>
        <w:jc w:val="both"/>
        <w:textAlignment w:val="auto"/>
        <w:outlineLvl w:val="0"/>
        <w:rPr>
          <w:rFonts w:ascii="Times New Roman" w:eastAsia="Times New Roman" w:hAnsi="Times New Roman" w:cs="Times New Roman" w:hint="cs"/>
          <w:color w:val="auto"/>
          <w:rtl w:val="0"/>
          <w:cs w:val="0"/>
          <w:lang w:val="sk-SK" w:eastAsia="sk-SK" w:bidi="ar-SA"/>
        </w:rPr>
      </w:pPr>
      <w:r w:rsidR="00914E0B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EC40B3" w:rsidR="00EC40B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ná</w:t>
      </w:r>
      <w:r w:rsidRPr="00EC40B3" w:rsidR="00EC40B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vrh poslancov Ná</w:t>
      </w:r>
      <w:r w:rsidRPr="00EC40B3" w:rsidR="00EC40B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rodnej rady Slovenskej republiky Petra KREMSKÉ</w:t>
      </w:r>
      <w:r w:rsidRPr="00EC40B3" w:rsidR="00EC40B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HO, Milana KURIAKA, Richarda VAŠ</w:t>
      </w:r>
      <w:r w:rsidRPr="00EC40B3" w:rsidR="00EC40B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EČ</w:t>
      </w:r>
      <w:r w:rsidRPr="00EC40B3" w:rsidR="00EC40B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KU, Petra LIBU a Petra VONSA na vydanie zá</w:t>
      </w:r>
      <w:r w:rsidRPr="00EC40B3" w:rsidR="00EC40B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kona, ktorý</w:t>
      </w:r>
      <w:r w:rsidRPr="00EC40B3" w:rsidR="00EC40B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m sa dopĺň</w:t>
      </w:r>
      <w:r w:rsidRPr="00EC40B3" w:rsidR="00EC40B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a zá</w:t>
      </w:r>
      <w:r w:rsidRPr="00EC40B3" w:rsidR="00EC40B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 Ná</w:t>
      </w:r>
      <w:r w:rsidRPr="00EC40B3" w:rsidR="00EC40B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rodnej rady Sloven</w:t>
      </w:r>
      <w:r w:rsidRPr="00EC40B3" w:rsidR="00EC40B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skej republiky č</w:t>
      </w:r>
      <w:r w:rsidRPr="00EC40B3" w:rsidR="00EC40B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. 145/1995 Z. z. o sprá</w:t>
      </w:r>
      <w:r w:rsidRPr="00EC40B3" w:rsidR="00EC40B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vnych poplatkoch v znení</w:t>
      </w:r>
      <w:r w:rsidRPr="00EC40B3" w:rsidR="00EC40B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neskorší</w:t>
      </w:r>
      <w:r w:rsidRPr="00EC40B3" w:rsidR="00EC40B3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ch predpisov </w:t>
      </w:r>
      <w:r w:rsidRPr="00EC40B3" w:rsidR="00EC40B3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>(tlač</w:t>
      </w:r>
      <w:r w:rsidRPr="00EC40B3" w:rsidR="00EC40B3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1379) </w:t>
      </w:r>
      <w:r w:rsidRPr="00EC40B3" w:rsidR="0078142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 w:rsidRPr="00EC40B3" w:rsidR="0078142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liť</w:t>
      </w:r>
      <w:r w:rsidR="00752CFC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B040F" w:rsidR="001B5C8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 </w:t>
      </w:r>
      <w:r w:rsidRPr="001B040F" w:rsidR="001B5C8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pozmeň</w:t>
      </w:r>
      <w:r w:rsidRPr="001B040F" w:rsidR="001B5C8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Pr="001B040F" w:rsidR="001B5C8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</w:t>
      </w:r>
      <w:r w:rsidR="00085AB7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i</w:t>
      </w:r>
      <w:r w:rsidRPr="001B04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a doplň</w:t>
      </w:r>
      <w:r w:rsidRPr="001B04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Pr="001B04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</w:t>
      </w:r>
      <w:r w:rsidR="00085AB7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i</w:t>
      </w:r>
      <w:r w:rsidRPr="001B04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ná</w:t>
      </w:r>
      <w:r w:rsidRPr="001B04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vrhm</w:t>
      </w:r>
      <w:r w:rsidR="00085AB7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i</w:t>
      </w:r>
      <w:r w:rsidRPr="001B04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tak, ako </w:t>
      </w:r>
      <w:r w:rsidR="00085AB7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sú</w:t>
      </w:r>
      <w:r w:rsidR="00085AB7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B04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uveden</w:t>
      </w:r>
      <w:r w:rsidR="00085AB7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é</w:t>
      </w:r>
      <w:r w:rsidRPr="001B04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v </w:t>
      </w:r>
      <w:r w:rsidRPr="001B04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prí</w:t>
      </w:r>
      <w:r w:rsidRPr="001B04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lohe tohto uznesenia;</w:t>
      </w:r>
    </w:p>
    <w:p w:rsidR="00B052CE" w:rsidP="00781422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142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color w:val="2E74B5"/>
          <w:rtl w:val="0"/>
          <w:cs w:val="0"/>
          <w:lang w:val="sk-SK" w:eastAsia="sk-SK" w:bidi="ar-SA"/>
        </w:rPr>
      </w:pPr>
    </w:p>
    <w:p w:rsidR="00CB7BF3" w:rsidRPr="008B4542" w:rsidP="00781422">
      <w:pPr>
        <w:keepNext/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8B4542" w:rsidRPr="008B4542" w:rsidP="00781422">
      <w:pPr>
        <w:keepNext/>
        <w:framePr w:wrap="auto"/>
        <w:widowControl/>
        <w:numPr>
          <w:numId w:val="4"/>
        </w:numPr>
        <w:tabs>
          <w:tab w:val="num" w:pos="360"/>
          <w:tab w:val="clear" w:pos="1440"/>
        </w:tabs>
        <w:autoSpaceDE/>
        <w:autoSpaceDN/>
        <w:bidi w:val="0"/>
        <w:adjustRightInd/>
        <w:ind w:left="360" w:right="0"/>
        <w:jc w:val="both"/>
        <w:textAlignment w:val="auto"/>
        <w:outlineLvl w:val="4"/>
        <w:rPr>
          <w:rFonts w:ascii="Times New Roman" w:eastAsia="Times New Roman" w:hAnsi="Times New Roman" w:cs="Times New Roman" w:hint="default"/>
          <w:b/>
          <w:color w:val="auto"/>
          <w:rtl w:val="0"/>
          <w:cs w:val="0"/>
          <w:lang w:val="sk-SK" w:eastAsia="sk-SK" w:bidi="ar-SA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ukladá</w:t>
      </w:r>
    </w:p>
    <w:p w:rsidR="008B4542" w:rsidRPr="008B4542" w:rsidP="00781422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outlineLvl w:val="4"/>
        <w:rPr>
          <w:rFonts w:ascii="Times New Roman" w:eastAsia="Times New Roman" w:hAnsi="Times New Roman" w:cs="Times New Roman" w:hint="default"/>
          <w:b/>
          <w:color w:val="auto"/>
          <w:rtl w:val="0"/>
          <w:cs w:val="0"/>
          <w:lang w:val="sk-SK" w:eastAsia="sk-SK" w:bidi="ar-SA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predsedovi vý</w:t>
      </w: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boru</w:t>
      </w:r>
    </w:p>
    <w:p w:rsidR="00781422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8B4542" w:rsidR="008B4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  <w:tab/>
        <w:tab/>
        <w:tab/>
      </w:r>
    </w:p>
    <w:p w:rsidR="00781422" w:rsidRPr="00781422" w:rsidP="000363E4">
      <w:pPr>
        <w:framePr w:wrap="auto"/>
        <w:widowControl/>
        <w:autoSpaceDE/>
        <w:autoSpaceDN/>
        <w:bidi w:val="0"/>
        <w:adjustRightInd/>
        <w:ind w:left="0" w:right="0" w:firstLine="399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informovať predsedu Národnej rady Slovenskej republiky o výsledku prerokovania </w:t>
      </w:r>
      <w:r w:rsidR="000363E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uvedeného návrhu vo výbore.</w:t>
      </w:r>
    </w:p>
    <w:p w:rsidR="008B4542" w:rsidRPr="00841EA3" w:rsidP="000363E4">
      <w:pPr>
        <w:framePr w:wrap="auto"/>
        <w:widowControl/>
        <w:autoSpaceDE/>
        <w:autoSpaceDN/>
        <w:bidi w:val="0"/>
        <w:adjustRightInd/>
        <w:ind w:left="1416" w:right="0" w:firstLine="708"/>
        <w:jc w:val="both"/>
        <w:textAlignment w:val="auto"/>
        <w:rPr>
          <w:rFonts w:ascii="Calibri" w:eastAsia="Times New Roman" w:hAnsi="Calibri" w:cs="Calibri" w:hint="cs"/>
          <w:sz w:val="16"/>
          <w:szCs w:val="16"/>
          <w:rtl w:val="0"/>
          <w:cs w:val="0"/>
          <w:lang w:val="sk-SK" w:eastAsia="sk-SK" w:bidi="ar-SA"/>
        </w:rPr>
      </w:pPr>
    </w:p>
    <w:p w:rsidR="00371D00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201D33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B0375C" w:rsidP="001322E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C44633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371D00" w:rsidRPr="00371D00" w:rsidP="00371D00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Calibri" w:eastAsia="Times New Roman" w:hAnsi="Calibri" w:cs="Calibri" w:hint="cs"/>
          <w:b/>
          <w:sz w:val="22"/>
          <w:szCs w:val="22"/>
          <w:rtl w:val="0"/>
          <w:cs w:val="0"/>
          <w:lang w:val="sk-SK" w:eastAsia="sk-SK" w:bidi="ar-SA"/>
        </w:rPr>
        <w:t xml:space="preserve">    </w:t>
      </w:r>
      <w:r>
        <w:rPr>
          <w:rFonts w:ascii="Calibri" w:eastAsia="Times New Roman" w:hAnsi="Calibri" w:cs="Calibri" w:hint="cs"/>
          <w:b/>
          <w:bCs/>
          <w:sz w:val="22"/>
          <w:szCs w:val="22"/>
          <w:rtl w:val="0"/>
          <w:cs w:val="0"/>
          <w:lang w:val="sk-SK" w:eastAsia="sk-SK" w:bidi="ar-SA"/>
        </w:rPr>
        <w:t xml:space="preserve">       </w:t>
      </w:r>
      <w:r w:rsidRP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Marián Viskupič </w:t>
      </w:r>
    </w:p>
    <w:p w:rsidR="00371D00" w:rsidRPr="00371D00" w:rsidP="00371D00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71D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124F30" w:rsidRPr="00A53EEB" w:rsidP="00124F3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Erik Ňarjaš</w:t>
      </w:r>
    </w:p>
    <w:p w:rsidR="00124F30" w:rsidRPr="00A53EEB" w:rsidP="00124F3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F371B6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A53EEB" w:rsidR="00124F3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p w:rsidR="00D33540" w:rsidRPr="00F9720F" w:rsidP="00D33540">
      <w:pPr>
        <w:keepNext/>
        <w:framePr w:wrap="auto"/>
        <w:widowControl w:val="0"/>
        <w:autoSpaceDE/>
        <w:autoSpaceDN/>
        <w:bidi w:val="0"/>
        <w:adjustRightInd/>
        <w:ind w:left="0" w:right="0"/>
        <w:jc w:val="left"/>
        <w:textAlignment w:val="auto"/>
        <w:outlineLvl w:val="3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 Slovenskej republiky</w:t>
      </w:r>
    </w:p>
    <w:p w:rsidR="00D33540" w:rsidRPr="00F9720F" w:rsidP="00D33540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pre financie a rozpočet </w:t>
      </w:r>
    </w:p>
    <w:p w:rsidR="00D33540" w:rsidRPr="00F9720F" w:rsidP="00D33540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</w:t>
      </w:r>
    </w:p>
    <w:p w:rsidR="00D33540" w:rsidP="00D33540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Príloha k uzn. </w:t>
      </w:r>
      <w:r w:rsidR="0061747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č.</w:t>
      </w:r>
      <w:r w:rsidR="00085AB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434</w:t>
      </w:r>
      <w:r w:rsidR="0061747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D33540" w:rsidRPr="00F9720F" w:rsidP="00D33540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="008B07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12</w:t>
      </w:r>
      <w:r w:rsidR="0061747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</w:t>
      </w:r>
      <w:r w:rsidRPr="00F972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schôdza</w:t>
      </w:r>
    </w:p>
    <w:p w:rsidR="00D33540" w:rsidP="00D33540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D33540" w:rsidRPr="00F9720F" w:rsidP="00D33540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720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Pozmeňujúc</w:t>
      </w:r>
      <w:r w:rsidR="00085AB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e</w:t>
      </w:r>
      <w:r w:rsidR="001B5C8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a doplňujúc</w:t>
      </w:r>
      <w:r w:rsidR="00085AB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e</w:t>
      </w:r>
      <w:r w:rsidRPr="00F9720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="00085AB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y</w:t>
      </w:r>
    </w:p>
    <w:p w:rsidR="00085AB7" w:rsidP="00EC40B3">
      <w:pPr>
        <w:keepNext/>
        <w:framePr w:wrap="auto"/>
        <w:widowControl/>
        <w:pBdr>
          <w:bottom w:val="single" w:sz="6" w:space="1" w:color="auto"/>
        </w:pBdr>
        <w:autoSpaceDE/>
        <w:autoSpaceDN/>
        <w:bidi w:val="0"/>
        <w:adjustRightInd/>
        <w:ind w:left="360" w:right="0"/>
        <w:jc w:val="center"/>
        <w:textAlignment w:val="auto"/>
        <w:outlineLvl w:val="0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CB7BF3" w:rsidR="00D3354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k </w:t>
      </w:r>
      <w:r w:rsidRPr="00EC40B3" w:rsidR="00EC40B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návrh</w:t>
      </w:r>
      <w:r w:rsidR="00EC40B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</w:t>
      </w:r>
      <w:r w:rsidRPr="00EC40B3" w:rsidR="00EC40B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poslancov Národnej rady Slovenskej republiky Petra KREMSKÉHO, Milana KURIAKA, Richarda VAŠEČKU, Petra LIBU a Petra VONSA na vydanie zákona, ktorým sa dopĺňa zákon Národnej rady Slovenskej republiky č. 145/1995 Z. z. o správnych poplatkoch v znení neskorších predpisov (tlač 1379)</w:t>
      </w:r>
    </w:p>
    <w:p w:rsidR="00876C85" w:rsidP="00085AB7">
      <w:pPr>
        <w:framePr w:wrap="auto"/>
        <w:widowControl/>
        <w:tabs>
          <w:tab w:val="left" w:pos="885"/>
        </w:tabs>
        <w:autoSpaceDE/>
        <w:autoSpaceDN/>
        <w:bidi w:val="0"/>
        <w:adjustRightInd/>
        <w:spacing w:after="160" w:line="259" w:lineRule="auto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85AB7" w:rsidRPr="00085AB7" w:rsidP="00085AB7">
      <w:pPr>
        <w:framePr w:wrap="auto"/>
        <w:widowControl/>
        <w:numPr>
          <w:numId w:val="41"/>
        </w:numPr>
        <w:overflowPunct w:val="0"/>
        <w:autoSpaceDE/>
        <w:autoSpaceDN/>
        <w:bidi w:val="0"/>
        <w:adjustRightInd/>
        <w:ind w:right="-142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en-US" w:bidi="ar-SA"/>
        </w:rPr>
      </w:pPr>
      <w:r w:rsidRPr="00085AB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V čl. I v úvodnej vete</w:t>
      </w:r>
      <w:r w:rsidRPr="00085AB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sa slová „</w:t>
      </w:r>
      <w:r w:rsidRPr="00085AB7">
        <w:rPr>
          <w:rFonts w:ascii="Times New Roman" w:eastAsia="Times New Roman" w:hAnsi="Times New Roman" w:cs="Times New Roman" w:hint="cs"/>
          <w:sz w:val="24"/>
          <w:szCs w:val="24"/>
          <w:shd w:val="clear" w:color="auto" w:fill="FFFFFF"/>
          <w:rtl w:val="0"/>
          <w:cs w:val="0"/>
          <w:lang w:val="sk-SK" w:eastAsia="en-US" w:bidi="ar-SA"/>
        </w:rPr>
        <w:t>Zákon Národnej rady Slovenskej republiky č. 123/1996 Z. z.,“ nahrádzajú slovami „</w:t>
      </w:r>
      <w:r w:rsidRPr="00085AB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Zákon Národnej rady Slovenskej republiky č. 145/1995 Z. z. o správnych poplatkoch v znení zákona Národnej rady Slovenskej republiky č. 123/1996 Z. z.“.</w:t>
      </w:r>
    </w:p>
    <w:p w:rsidR="00085AB7" w:rsidP="00085AB7">
      <w:pPr>
        <w:framePr w:wrap="auto"/>
        <w:widowControl/>
        <w:overflowPunct w:val="0"/>
        <w:autoSpaceDE/>
        <w:autoSpaceDN/>
        <w:bidi w:val="0"/>
        <w:adjustRightInd/>
        <w:ind w:left="426" w:right="-142" w:firstLine="426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85AB7" w:rsidRPr="00085AB7" w:rsidP="00085AB7">
      <w:pPr>
        <w:framePr w:wrap="auto"/>
        <w:widowControl/>
        <w:overflowPunct w:val="0"/>
        <w:autoSpaceDE/>
        <w:autoSpaceDN/>
        <w:bidi w:val="0"/>
        <w:adjustRightInd/>
        <w:ind w:left="4253" w:right="-142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085AB7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Oprava nesprávne uvedeného názvu novelizovaného predpisu.</w:t>
      </w:r>
    </w:p>
    <w:p w:rsidR="00085AB7" w:rsidP="00085AB7">
      <w:pPr>
        <w:framePr w:wrap="auto"/>
        <w:widowControl/>
        <w:tabs>
          <w:tab w:val="left" w:pos="885"/>
        </w:tabs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85AB7" w:rsidRPr="00085AB7" w:rsidP="00085AB7">
      <w:pPr>
        <w:framePr w:wrap="auto"/>
        <w:widowControl/>
        <w:numPr>
          <w:numId w:val="41"/>
        </w:numPr>
        <w:autoSpaceDE/>
        <w:autoSpaceDN/>
        <w:bidi w:val="0"/>
        <w:adjustRightInd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en-US" w:bidi="ar-SA"/>
        </w:rPr>
      </w:pPr>
      <w:r w:rsidRPr="00085AB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 xml:space="preserve">V Čl. I </w:t>
      </w:r>
      <w:r w:rsidRPr="00085AB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s</w:t>
      </w:r>
      <w:r w:rsidRPr="00085AB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en-US" w:bidi="ar-SA"/>
        </w:rPr>
        <w:t>a doterajší text</w:t>
      </w:r>
      <w:r w:rsidR="0015691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en-US" w:bidi="ar-SA"/>
        </w:rPr>
        <w:t xml:space="preserve"> pod úvodnou vetou</w:t>
      </w:r>
      <w:r w:rsidRPr="00085AB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en-US" w:bidi="ar-SA"/>
        </w:rPr>
        <w:t xml:space="preserve"> nahrádza novými bodmi  1 a 2, ktoré znejú:</w:t>
      </w:r>
    </w:p>
    <w:p w:rsidR="00085AB7" w:rsidP="003B5188">
      <w:pPr>
        <w:framePr w:wrap="auto"/>
        <w:widowControl/>
        <w:autoSpaceDE/>
        <w:autoSpaceDN/>
        <w:bidi w:val="0"/>
        <w:adjustRightInd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color w:val="000000"/>
          <w:rtl w:val="0"/>
          <w:cs w:val="0"/>
          <w:lang w:val="sk-SK" w:eastAsia="en-US" w:bidi="ar-SA"/>
        </w:rPr>
      </w:pPr>
      <w:r w:rsidRPr="00085AB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085AB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en-US" w:bidi="ar-SA"/>
        </w:rPr>
        <w:t>„1</w:t>
      </w:r>
      <w:r w:rsidRPr="00085AB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en-US" w:bidi="ar-SA"/>
        </w:rPr>
        <w:t xml:space="preserve">. </w:t>
      </w:r>
      <w:r w:rsidRPr="00085AB7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en-US" w:bidi="ar-SA"/>
        </w:rPr>
        <w:t>V</w:t>
      </w:r>
      <w:r w:rsidR="003B5188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en-US" w:bidi="ar-SA"/>
        </w:rPr>
        <w:t> prílohe Sadzobník</w:t>
      </w:r>
      <w:r w:rsidRPr="00085AB7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en-US" w:bidi="ar-SA"/>
        </w:rPr>
        <w:t xml:space="preserve"> správnych poplatkov časti VI. </w:t>
      </w:r>
      <w:r w:rsidRPr="00085AB7" w:rsidR="003B5188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en-US" w:bidi="ar-SA"/>
        </w:rPr>
        <w:t>Doprava položke 65</w:t>
      </w:r>
      <w:r w:rsidR="003B5188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en-US" w:bidi="ar-SA"/>
        </w:rPr>
        <w:t xml:space="preserve"> písm. a)</w:t>
      </w:r>
      <w:r w:rsidRPr="00085AB7" w:rsidR="003B5188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en-US" w:bidi="ar-SA"/>
        </w:rPr>
        <w:t xml:space="preserve"> tabuľky č. 1 a č. 2 znejú:</w:t>
      </w:r>
    </w:p>
    <w:p w:rsidR="003B5188" w:rsidRPr="00085AB7" w:rsidP="003B5188">
      <w:pPr>
        <w:framePr w:wrap="auto"/>
        <w:widowControl/>
        <w:autoSpaceDE/>
        <w:autoSpaceDN/>
        <w:bidi w:val="0"/>
        <w:adjustRightInd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color w:val="000000"/>
          <w:rtl w:val="0"/>
          <w:cs w:val="0"/>
          <w:lang w:val="sk-SK" w:eastAsia="en-US" w:bidi="ar-SA"/>
        </w:rPr>
      </w:pPr>
    </w:p>
    <w:p w:rsidR="00085AB7" w:rsidRPr="00085AB7" w:rsidP="00085AB7">
      <w:pPr>
        <w:framePr w:wrap="auto"/>
        <w:widowControl/>
        <w:shd w:val="clear" w:color="auto" w:fill="FFFFFF"/>
        <w:autoSpaceDE/>
        <w:autoSpaceDN/>
        <w:bidi w:val="0"/>
        <w:adjustRightInd/>
        <w:ind w:left="0" w:right="0" w:firstLine="36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85AB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Tabuľka č. 1</w:t>
      </w:r>
    </w:p>
    <w:tbl>
      <w:tblPr>
        <w:tblW w:w="581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2060"/>
        <w:gridCol w:w="2551"/>
      </w:tblGrid>
      <w:tr>
        <w:tblPrEx>
          <w:tblW w:w="5811" w:type="dxa"/>
          <w:tblInd w:w="4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left"/>
              <w:textAlignment w:val="auto"/>
              <w:rPr>
                <w:rFonts w:ascii="Times New Roman" w:eastAsia="Times New Roman" w:hAnsi="Times New Roman" w:cs="Times New Roman" w:hint="cs"/>
                <w:color w:val="000000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 w:val="0"/>
                <w:cs w:val="0"/>
                <w:lang w:val="sk-SK" w:eastAsia="sk-SK" w:bidi="ar-SA"/>
              </w:rPr>
              <w:t> </w:t>
            </w:r>
            <w:r w:rsidRPr="00085AB7">
              <w:rPr>
                <w:rFonts w:ascii="Times New Roman" w:eastAsia="Times New Roman" w:hAnsi="Times New Roman" w:cs="Times New Roman" w:hint="cs"/>
                <w:bCs/>
                <w:color w:val="000000"/>
                <w:sz w:val="24"/>
                <w:szCs w:val="24"/>
                <w:rtl w:val="0"/>
                <w:cs w:val="0"/>
                <w:lang w:val="sk-SK" w:eastAsia="sk-SK" w:bidi="ar-SA"/>
              </w:rPr>
              <w:t>Výkon motora v kW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left"/>
              <w:textAlignment w:val="auto"/>
              <w:rPr>
                <w:rFonts w:ascii="Times New Roman" w:eastAsia="Times New Roman" w:hAnsi="Times New Roman" w:cs="Times New Roman" w:hint="cs"/>
                <w:bCs/>
                <w:color w:val="000000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bCs/>
                <w:color w:val="000000"/>
                <w:sz w:val="24"/>
                <w:szCs w:val="24"/>
                <w:rtl w:val="0"/>
                <w:cs w:val="0"/>
                <w:lang w:val="sk-SK" w:eastAsia="sk-SK" w:bidi="ar-SA"/>
              </w:rPr>
              <w:t>Sadzba poplatku v EUR</w:t>
            </w:r>
          </w:p>
        </w:tc>
      </w:tr>
      <w:tr>
        <w:tblPrEx>
          <w:tblW w:w="5811" w:type="dxa"/>
          <w:tblInd w:w="421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bCs/>
                <w:color w:val="000000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bCs/>
                <w:color w:val="000000"/>
                <w:sz w:val="24"/>
                <w:szCs w:val="24"/>
                <w:rtl w:val="0"/>
                <w:cs w:val="0"/>
                <w:lang w:val="sk-SK" w:eastAsia="sk-SK" w:bidi="ar-SA"/>
              </w:rPr>
              <w:t>nad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bCs/>
                <w:color w:val="000000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bCs/>
                <w:color w:val="000000"/>
                <w:sz w:val="24"/>
                <w:szCs w:val="24"/>
                <w:rtl w:val="0"/>
                <w:cs w:val="0"/>
                <w:lang w:val="sk-SK" w:eastAsia="sk-SK" w:bidi="ar-SA"/>
              </w:rPr>
              <w:t>do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left"/>
              <w:textAlignment w:val="auto"/>
              <w:rPr>
                <w:rFonts w:ascii="Times New Roman" w:eastAsia="Times New Roman" w:hAnsi="Times New Roman" w:cs="Times New Roman" w:hint="cs"/>
                <w:bCs/>
                <w:color w:val="000000"/>
                <w:rtl w:val="0"/>
                <w:cs w:val="0"/>
                <w:lang w:val="sk-SK" w:eastAsia="sk-SK" w:bidi="ar-SA"/>
              </w:rPr>
            </w:pPr>
          </w:p>
        </w:tc>
      </w:tr>
      <w:tr>
        <w:tblPrEx>
          <w:tblW w:w="5811" w:type="dxa"/>
          <w:tblInd w:w="421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right"/>
              <w:textAlignment w:val="auto"/>
              <w:rPr>
                <w:rFonts w:ascii="Times New Roman" w:eastAsia="Times New Roman" w:hAnsi="Times New Roman" w:cs="Times New Roman" w:hint="cs"/>
                <w:bCs/>
                <w:color w:val="000000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bCs/>
                <w:color w:val="000000"/>
                <w:sz w:val="24"/>
                <w:szCs w:val="24"/>
                <w:rtl w:val="0"/>
                <w:cs w:val="0"/>
                <w:lang w:val="sk-SK" w:eastAsia="sk-SK" w:bidi="ar-SA"/>
              </w:rPr>
              <w:t>80 vrátane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color w:val="000000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 w:val="0"/>
                <w:cs w:val="0"/>
                <w:lang w:val="sk-SK" w:eastAsia="sk-SK" w:bidi="ar-SA"/>
              </w:rPr>
              <w:t>33</w:t>
            </w:r>
          </w:p>
        </w:tc>
      </w:tr>
      <w:tr>
        <w:tblPrEx>
          <w:tblW w:w="5811" w:type="dxa"/>
          <w:tblInd w:w="421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right"/>
              <w:textAlignment w:val="auto"/>
              <w:rPr>
                <w:rFonts w:ascii="Times New Roman" w:eastAsia="Times New Roman" w:hAnsi="Times New Roman" w:cs="Times New Roman" w:hint="cs"/>
                <w:bCs/>
                <w:color w:val="000000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bCs/>
                <w:color w:val="000000"/>
                <w:sz w:val="24"/>
                <w:szCs w:val="24"/>
                <w:rtl w:val="0"/>
                <w:cs w:val="0"/>
                <w:lang w:val="sk-SK" w:eastAsia="sk-SK" w:bidi="ar-SA"/>
              </w:rPr>
              <w:t>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right"/>
              <w:textAlignment w:val="auto"/>
              <w:rPr>
                <w:rFonts w:ascii="Times New Roman" w:eastAsia="Times New Roman" w:hAnsi="Times New Roman" w:cs="Times New Roman" w:hint="cs"/>
                <w:bCs/>
                <w:color w:val="000000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bCs/>
                <w:color w:val="000000"/>
                <w:sz w:val="24"/>
                <w:szCs w:val="24"/>
                <w:rtl w:val="0"/>
                <w:cs w:val="0"/>
                <w:lang w:val="sk-SK" w:eastAsia="sk-SK" w:bidi="ar-SA"/>
              </w:rPr>
              <w:t>90 vrátane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color w:val="000000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 w:val="0"/>
                <w:cs w:val="0"/>
                <w:lang w:val="sk-SK" w:eastAsia="sk-SK" w:bidi="ar-SA"/>
              </w:rPr>
              <w:t>60</w:t>
            </w:r>
          </w:p>
        </w:tc>
      </w:tr>
      <w:tr>
        <w:tblPrEx>
          <w:tblW w:w="5811" w:type="dxa"/>
          <w:tblInd w:w="421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right"/>
              <w:textAlignment w:val="auto"/>
              <w:rPr>
                <w:rFonts w:ascii="Times New Roman" w:eastAsia="Times New Roman" w:hAnsi="Times New Roman" w:cs="Times New Roman" w:hint="cs"/>
                <w:bCs/>
                <w:color w:val="000000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bCs/>
                <w:color w:val="000000"/>
                <w:sz w:val="24"/>
                <w:szCs w:val="24"/>
                <w:rtl w:val="0"/>
                <w:cs w:val="0"/>
                <w:lang w:val="sk-SK" w:eastAsia="sk-SK" w:bidi="ar-SA"/>
              </w:rPr>
              <w:t>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right"/>
              <w:textAlignment w:val="auto"/>
              <w:rPr>
                <w:rFonts w:ascii="Times New Roman" w:eastAsia="Times New Roman" w:hAnsi="Times New Roman" w:cs="Times New Roman" w:hint="cs"/>
                <w:bCs/>
                <w:color w:val="000000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bCs/>
                <w:color w:val="000000"/>
                <w:sz w:val="24"/>
                <w:szCs w:val="24"/>
                <w:rtl w:val="0"/>
                <w:cs w:val="0"/>
                <w:lang w:val="sk-SK" w:eastAsia="sk-SK" w:bidi="ar-SA"/>
              </w:rPr>
              <w:t>100 vrátane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color w:val="000000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 w:val="0"/>
                <w:cs w:val="0"/>
                <w:lang w:val="sk-SK" w:eastAsia="sk-SK" w:bidi="ar-SA"/>
              </w:rPr>
              <w:t>90</w:t>
            </w:r>
          </w:p>
        </w:tc>
      </w:tr>
      <w:tr>
        <w:tblPrEx>
          <w:tblW w:w="5811" w:type="dxa"/>
          <w:tblInd w:w="421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right"/>
              <w:textAlignment w:val="auto"/>
              <w:rPr>
                <w:rFonts w:ascii="Times New Roman" w:eastAsia="Times New Roman" w:hAnsi="Times New Roman" w:cs="Times New Roman" w:hint="cs"/>
                <w:bCs/>
                <w:color w:val="000000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bCs/>
                <w:color w:val="000000"/>
                <w:sz w:val="24"/>
                <w:szCs w:val="24"/>
                <w:rtl w:val="0"/>
                <w:cs w:val="0"/>
                <w:lang w:val="sk-SK" w:eastAsia="sk-SK" w:bidi="ar-SA"/>
              </w:rPr>
              <w:t>100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right"/>
              <w:textAlignment w:val="auto"/>
              <w:rPr>
                <w:rFonts w:ascii="Times New Roman" w:eastAsia="Times New Roman" w:hAnsi="Times New Roman" w:cs="Times New Roman" w:hint="cs"/>
                <w:bCs/>
                <w:color w:val="000000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bCs/>
                <w:color w:val="000000"/>
                <w:sz w:val="24"/>
                <w:szCs w:val="24"/>
                <w:rtl w:val="0"/>
                <w:cs w:val="0"/>
                <w:lang w:val="sk-SK" w:eastAsia="sk-SK" w:bidi="ar-SA"/>
              </w:rPr>
              <w:t>110 vrátane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color w:val="000000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 w:val="0"/>
                <w:cs w:val="0"/>
                <w:lang w:val="sk-SK" w:eastAsia="sk-SK" w:bidi="ar-SA"/>
              </w:rPr>
              <w:t>120</w:t>
            </w:r>
          </w:p>
        </w:tc>
      </w:tr>
      <w:tr>
        <w:tblPrEx>
          <w:tblW w:w="5811" w:type="dxa"/>
          <w:tblInd w:w="421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right"/>
              <w:textAlignment w:val="auto"/>
              <w:rPr>
                <w:rFonts w:ascii="Times New Roman" w:eastAsia="Times New Roman" w:hAnsi="Times New Roman" w:cs="Times New Roman" w:hint="cs"/>
                <w:bCs/>
                <w:color w:val="000000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bCs/>
                <w:color w:val="000000"/>
                <w:sz w:val="24"/>
                <w:szCs w:val="24"/>
                <w:rtl w:val="0"/>
                <w:cs w:val="0"/>
                <w:lang w:val="sk-SK" w:eastAsia="sk-SK" w:bidi="ar-SA"/>
              </w:rPr>
              <w:t>110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right"/>
              <w:textAlignment w:val="auto"/>
              <w:rPr>
                <w:rFonts w:ascii="Times New Roman" w:eastAsia="Times New Roman" w:hAnsi="Times New Roman" w:cs="Times New Roman" w:hint="cs"/>
                <w:bCs/>
                <w:color w:val="000000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bCs/>
                <w:color w:val="000000"/>
                <w:sz w:val="24"/>
                <w:szCs w:val="24"/>
                <w:rtl w:val="0"/>
                <w:cs w:val="0"/>
                <w:lang w:val="sk-SK" w:eastAsia="sk-SK" w:bidi="ar-SA"/>
              </w:rPr>
              <w:t>125 vrátane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color w:val="000000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 w:val="0"/>
                <w:cs w:val="0"/>
                <w:lang w:val="sk-SK" w:eastAsia="sk-SK" w:bidi="ar-SA"/>
              </w:rPr>
              <w:t>300</w:t>
            </w:r>
          </w:p>
        </w:tc>
      </w:tr>
      <w:tr>
        <w:tblPrEx>
          <w:tblW w:w="5811" w:type="dxa"/>
          <w:tblInd w:w="421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right"/>
              <w:textAlignment w:val="auto"/>
              <w:rPr>
                <w:rFonts w:ascii="Times New Roman" w:eastAsia="Times New Roman" w:hAnsi="Times New Roman" w:cs="Times New Roman" w:hint="cs"/>
                <w:bCs/>
                <w:color w:val="000000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bCs/>
                <w:color w:val="000000"/>
                <w:sz w:val="24"/>
                <w:szCs w:val="24"/>
                <w:rtl w:val="0"/>
                <w:cs w:val="0"/>
                <w:lang w:val="sk-SK" w:eastAsia="sk-SK" w:bidi="ar-SA"/>
              </w:rPr>
              <w:t>125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right"/>
              <w:textAlignment w:val="auto"/>
              <w:rPr>
                <w:rFonts w:ascii="Times New Roman" w:eastAsia="Times New Roman" w:hAnsi="Times New Roman" w:cs="Times New Roman" w:hint="cs"/>
                <w:bCs/>
                <w:color w:val="000000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bCs/>
                <w:color w:val="000000"/>
                <w:sz w:val="24"/>
                <w:szCs w:val="24"/>
                <w:rtl w:val="0"/>
                <w:cs w:val="0"/>
                <w:lang w:val="sk-SK" w:eastAsia="sk-SK" w:bidi="ar-SA"/>
              </w:rPr>
              <w:t>140 vrátane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color w:val="000000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 w:val="0"/>
                <w:cs w:val="0"/>
                <w:lang w:val="sk-SK" w:eastAsia="sk-SK" w:bidi="ar-SA"/>
              </w:rPr>
              <w:t>500</w:t>
            </w:r>
          </w:p>
        </w:tc>
      </w:tr>
      <w:tr>
        <w:tblPrEx>
          <w:tblW w:w="5811" w:type="dxa"/>
          <w:tblInd w:w="421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right"/>
              <w:textAlignment w:val="auto"/>
              <w:rPr>
                <w:rFonts w:ascii="Times New Roman" w:eastAsia="Times New Roman" w:hAnsi="Times New Roman" w:cs="Times New Roman" w:hint="cs"/>
                <w:bCs/>
                <w:color w:val="000000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bCs/>
                <w:color w:val="000000"/>
                <w:sz w:val="24"/>
                <w:szCs w:val="24"/>
                <w:rtl w:val="0"/>
                <w:cs w:val="0"/>
                <w:lang w:val="sk-SK" w:eastAsia="sk-SK" w:bidi="ar-SA"/>
              </w:rPr>
              <w:t>140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right"/>
              <w:textAlignment w:val="auto"/>
              <w:rPr>
                <w:rFonts w:ascii="Times New Roman" w:eastAsia="Times New Roman" w:hAnsi="Times New Roman" w:cs="Times New Roman" w:hint="cs"/>
                <w:bCs/>
                <w:color w:val="000000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bCs/>
                <w:color w:val="000000"/>
                <w:sz w:val="24"/>
                <w:szCs w:val="24"/>
                <w:rtl w:val="0"/>
                <w:cs w:val="0"/>
                <w:lang w:val="sk-SK" w:eastAsia="sk-SK" w:bidi="ar-SA"/>
              </w:rPr>
              <w:t>155 vrátane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color w:val="000000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 w:val="0"/>
                <w:cs w:val="0"/>
                <w:lang w:val="sk-SK" w:eastAsia="sk-SK" w:bidi="ar-SA"/>
              </w:rPr>
              <w:t>1000</w:t>
            </w:r>
          </w:p>
        </w:tc>
      </w:tr>
      <w:tr>
        <w:tblPrEx>
          <w:tblW w:w="5811" w:type="dxa"/>
          <w:tblInd w:w="421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right"/>
              <w:textAlignment w:val="auto"/>
              <w:rPr>
                <w:rFonts w:ascii="Times New Roman" w:eastAsia="Times New Roman" w:hAnsi="Times New Roman" w:cs="Times New Roman" w:hint="cs"/>
                <w:bCs/>
                <w:color w:val="000000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bCs/>
                <w:color w:val="000000"/>
                <w:sz w:val="24"/>
                <w:szCs w:val="24"/>
                <w:rtl w:val="0"/>
                <w:cs w:val="0"/>
                <w:lang w:val="sk-SK" w:eastAsia="sk-SK" w:bidi="ar-SA"/>
              </w:rPr>
              <w:t>155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right"/>
              <w:textAlignment w:val="auto"/>
              <w:rPr>
                <w:rFonts w:ascii="Times New Roman" w:eastAsia="Times New Roman" w:hAnsi="Times New Roman" w:cs="Times New Roman" w:hint="cs"/>
                <w:bCs/>
                <w:color w:val="000000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bCs/>
                <w:color w:val="000000"/>
                <w:sz w:val="24"/>
                <w:szCs w:val="24"/>
                <w:rtl w:val="0"/>
                <w:cs w:val="0"/>
                <w:lang w:val="sk-SK" w:eastAsia="sk-SK" w:bidi="ar-SA"/>
              </w:rPr>
              <w:t>170 vrátane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color w:val="000000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 w:val="0"/>
                <w:cs w:val="0"/>
                <w:lang w:val="sk-SK" w:eastAsia="sk-SK" w:bidi="ar-SA"/>
              </w:rPr>
              <w:t>1400</w:t>
            </w:r>
          </w:p>
        </w:tc>
      </w:tr>
      <w:tr>
        <w:tblPrEx>
          <w:tblW w:w="5811" w:type="dxa"/>
          <w:tblInd w:w="421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right"/>
              <w:textAlignment w:val="auto"/>
              <w:rPr>
                <w:rFonts w:ascii="Times New Roman" w:eastAsia="Times New Roman" w:hAnsi="Times New Roman" w:cs="Times New Roman" w:hint="cs"/>
                <w:bCs/>
                <w:color w:val="000000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bCs/>
                <w:color w:val="000000"/>
                <w:sz w:val="24"/>
                <w:szCs w:val="24"/>
                <w:rtl w:val="0"/>
                <w:cs w:val="0"/>
                <w:lang w:val="sk-SK" w:eastAsia="sk-SK" w:bidi="ar-SA"/>
              </w:rPr>
              <w:t>170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right"/>
              <w:textAlignment w:val="auto"/>
              <w:rPr>
                <w:rFonts w:ascii="Times New Roman" w:eastAsia="Times New Roman" w:hAnsi="Times New Roman" w:cs="Times New Roman" w:hint="cs"/>
                <w:bCs/>
                <w:color w:val="000000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bCs/>
                <w:color w:val="000000"/>
                <w:sz w:val="24"/>
                <w:szCs w:val="24"/>
                <w:rtl w:val="0"/>
                <w:cs w:val="0"/>
                <w:lang w:val="sk-SK" w:eastAsia="sk-SK" w:bidi="ar-SA"/>
              </w:rPr>
              <w:t>210 vrátane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color w:val="000000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 w:val="0"/>
                <w:cs w:val="0"/>
                <w:lang w:val="sk-SK" w:eastAsia="sk-SK" w:bidi="ar-SA"/>
              </w:rPr>
              <w:t>1800</w:t>
            </w:r>
          </w:p>
        </w:tc>
      </w:tr>
      <w:tr>
        <w:tblPrEx>
          <w:tblW w:w="5811" w:type="dxa"/>
          <w:tblInd w:w="421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right"/>
              <w:textAlignment w:val="auto"/>
              <w:rPr>
                <w:rFonts w:ascii="Times New Roman" w:eastAsia="Times New Roman" w:hAnsi="Times New Roman" w:cs="Times New Roman" w:hint="cs"/>
                <w:bCs/>
                <w:color w:val="000000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bCs/>
                <w:color w:val="000000"/>
                <w:sz w:val="24"/>
                <w:szCs w:val="24"/>
                <w:rtl w:val="0"/>
                <w:cs w:val="0"/>
                <w:lang w:val="sk-SK" w:eastAsia="sk-SK" w:bidi="ar-SA"/>
              </w:rPr>
              <w:t>210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right"/>
              <w:textAlignment w:val="auto"/>
              <w:rPr>
                <w:rFonts w:ascii="Times New Roman" w:eastAsia="Times New Roman" w:hAnsi="Times New Roman" w:cs="Times New Roman" w:hint="cs"/>
                <w:bCs/>
                <w:color w:val="000000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bCs/>
                <w:color w:val="000000"/>
                <w:sz w:val="24"/>
                <w:szCs w:val="24"/>
                <w:rtl w:val="0"/>
                <w:cs w:val="0"/>
                <w:lang w:val="sk-SK" w:eastAsia="sk-SK" w:bidi="ar-SA"/>
              </w:rPr>
              <w:t>a viac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color w:val="000000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 w:val="0"/>
                <w:cs w:val="0"/>
                <w:lang w:val="sk-SK" w:eastAsia="sk-SK" w:bidi="ar-SA"/>
              </w:rPr>
              <w:t>2400</w:t>
            </w:r>
          </w:p>
        </w:tc>
      </w:tr>
    </w:tbl>
    <w:p w:rsidR="00085AB7" w:rsidRPr="00085AB7" w:rsidP="00085AB7">
      <w:pPr>
        <w:framePr w:wrap="auto"/>
        <w:widowControl/>
        <w:shd w:val="clear" w:color="auto" w:fill="FFFFFF"/>
        <w:autoSpaceDE/>
        <w:autoSpaceDN/>
        <w:bidi w:val="0"/>
        <w:adjustRightInd/>
        <w:ind w:left="0" w:right="0" w:firstLine="36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85AB7" w:rsidRPr="00085AB7" w:rsidP="00085AB7">
      <w:pPr>
        <w:framePr w:wrap="auto"/>
        <w:widowControl/>
        <w:shd w:val="clear" w:color="auto" w:fill="FFFFFF"/>
        <w:autoSpaceDE/>
        <w:autoSpaceDN/>
        <w:bidi w:val="0"/>
        <w:adjustRightInd/>
        <w:ind w:left="0" w:right="0" w:firstLine="36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85AB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Tabuľka č. 2</w:t>
      </w:r>
    </w:p>
    <w:tbl>
      <w:tblPr>
        <w:tblW w:w="9009" w:type="dxa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3827"/>
        <w:gridCol w:w="2977"/>
        <w:gridCol w:w="1780"/>
      </w:tblGrid>
      <w:tr>
        <w:tblPrEx>
          <w:tblW w:w="9009" w:type="dxa"/>
          <w:tblInd w:w="42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Druh vozidla vzhľadom na druh paliva*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Ekologický koeficient vozidla</w:t>
            </w:r>
          </w:p>
        </w:tc>
      </w:tr>
      <w:tr>
        <w:tblPrEx>
          <w:tblW w:w="9009" w:type="dxa"/>
          <w:tblInd w:w="42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1.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left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Vozidlo staršie ako 40 rokov od dátumu prvej evidencie (bez rozdielu druhu paliva)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0,10</w:t>
            </w:r>
          </w:p>
        </w:tc>
      </w:tr>
      <w:tr>
        <w:tblPrEx>
          <w:tblW w:w="9009" w:type="dxa"/>
          <w:tblInd w:w="42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2.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left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Vozidlo s druhom paliva: H2, kombinácia akékoľvek palivo+PHEV (Plug-In hybrid)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0,20</w:t>
            </w:r>
          </w:p>
        </w:tc>
      </w:tr>
      <w:tr>
        <w:tblPrEx>
          <w:tblW w:w="9009" w:type="dxa"/>
          <w:tblInd w:w="42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3.</w:t>
            </w:r>
          </w:p>
        </w:tc>
        <w:tc>
          <w:tcPr>
            <w:tcW w:w="85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left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 xml:space="preserve">Vozidlo s iným druhom paliva ako v riadku 1 a 2 alebo iné vozidlo ako v písmene c) </w:t>
            </w:r>
          </w:p>
        </w:tc>
      </w:tr>
      <w:tr>
        <w:tblPrEx>
          <w:tblW w:w="9009" w:type="dxa"/>
          <w:tblInd w:w="42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left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left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Emisná norma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Dátum prvej evidencie**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</w:p>
        </w:tc>
      </w:tr>
      <w:tr>
        <w:tblPrEx>
          <w:tblW w:w="9009" w:type="dxa"/>
          <w:tblInd w:w="42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left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left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Vozidlo Euro 1/I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do 31.12.1996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1,00</w:t>
            </w:r>
          </w:p>
        </w:tc>
      </w:tr>
      <w:tr>
        <w:tblPrEx>
          <w:tblW w:w="9009" w:type="dxa"/>
          <w:tblInd w:w="42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left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left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Vozidlo Euro 2/II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od 1.1.1997 do 31.12.2001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0,80</w:t>
            </w:r>
          </w:p>
        </w:tc>
      </w:tr>
      <w:tr>
        <w:tblPrEx>
          <w:tblW w:w="9009" w:type="dxa"/>
          <w:tblInd w:w="42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left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left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Vozidlo Euro 3/III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od 1.1.2002 do 31.12.2006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0,70</w:t>
            </w:r>
          </w:p>
        </w:tc>
      </w:tr>
      <w:tr>
        <w:tblPrEx>
          <w:tblW w:w="9009" w:type="dxa"/>
          <w:tblInd w:w="42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left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left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Vozidlo Euro 4/IV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od 1.1.2007 do 31.12.2011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0,60</w:t>
            </w:r>
          </w:p>
        </w:tc>
      </w:tr>
      <w:tr>
        <w:tblPrEx>
          <w:tblW w:w="9009" w:type="dxa"/>
          <w:tblInd w:w="42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left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left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Vozidlo Euro 5/V/EEV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od 1.1.2012 do 31.8.2016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0,50</w:t>
            </w:r>
          </w:p>
        </w:tc>
      </w:tr>
      <w:tr>
        <w:tblPrEx>
          <w:tblW w:w="9009" w:type="dxa"/>
          <w:tblInd w:w="42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left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left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Vozidlo Euro 6a,b,c/VIA,B,C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od 1.9.2016 do 31.8.2020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0,45</w:t>
            </w:r>
          </w:p>
        </w:tc>
      </w:tr>
      <w:tr>
        <w:tblPrEx>
          <w:tblW w:w="9009" w:type="dxa"/>
          <w:tblInd w:w="42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left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left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Vozidlo Euro 6d/VID a novšie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od 1.9.2020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center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0,40</w:t>
            </w:r>
          </w:p>
        </w:tc>
      </w:tr>
      <w:tr>
        <w:tblPrEx>
          <w:tblW w:w="9009" w:type="dxa"/>
          <w:tblInd w:w="421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Poplatok sa vzhľadom na ekologický koeficient zníži najviac na 33 eur.</w:t>
            </w:r>
          </w:p>
          <w:p w:rsidR="00085AB7" w:rsidRPr="00085AB7" w:rsidP="00085AB7">
            <w:pPr>
              <w:framePr w:wrap="auto"/>
              <w:widowControl/>
              <w:tabs>
                <w:tab w:val="left" w:pos="447"/>
              </w:tabs>
              <w:autoSpaceDE/>
              <w:autoSpaceDN/>
              <w:bidi w:val="0"/>
              <w:adjustRightInd/>
              <w:ind w:left="447" w:right="0" w:hanging="425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*  Druh paliva sa určí z položky 18 Osvedčenia o evidencii časť II „Druh paliva/zdroj energie“.</w:t>
            </w:r>
          </w:p>
          <w:p w:rsidR="00085AB7" w:rsidRPr="00085AB7" w:rsidP="00085AB7">
            <w:pPr>
              <w:framePr w:wrap="auto"/>
              <w:widowControl/>
              <w:autoSpaceDE/>
              <w:autoSpaceDN/>
              <w:bidi w:val="0"/>
              <w:adjustRightInd/>
              <w:ind w:left="179" w:right="0" w:hanging="179"/>
              <w:jc w:val="both"/>
              <w:textAlignment w:val="auto"/>
              <w:rPr>
                <w:rFonts w:ascii="Times New Roman" w:eastAsia="Times New Roman" w:hAnsi="Times New Roman" w:cs="Times New Roman" w:hint="cs"/>
                <w:rtl w:val="0"/>
                <w:cs w:val="0"/>
                <w:lang w:val="sk-SK" w:eastAsia="sk-SK" w:bidi="ar-SA"/>
              </w:rPr>
            </w:pPr>
            <w:r w:rsidRPr="00085AB7">
              <w:rPr>
                <w:rFonts w:ascii="Times New Roman" w:eastAsia="Times New Roman" w:hAnsi="Times New Roman" w:cs="Times New Roman" w:hint="cs"/>
                <w:sz w:val="24"/>
                <w:szCs w:val="24"/>
                <w:rtl w:val="0"/>
                <w:cs w:val="0"/>
                <w:lang w:val="sk-SK" w:eastAsia="sk-SK" w:bidi="ar-SA"/>
              </w:rPr>
              <w:t>** Kritériá časového rozmedzia dátumu prvej evidencie sa použijú len, ak sa pre motorové vozidlo nedá určiť emisná norma Euro.</w:t>
            </w:r>
          </w:p>
        </w:tc>
      </w:tr>
    </w:tbl>
    <w:p w:rsidR="00085AB7" w:rsidRPr="00085AB7" w:rsidP="00085AB7">
      <w:pPr>
        <w:framePr w:wrap="auto"/>
        <w:widowControl/>
        <w:shd w:val="clear" w:color="auto" w:fill="FFFFFF"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85AB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.“.</w:t>
      </w:r>
    </w:p>
    <w:p w:rsidR="00085AB7" w:rsidRPr="00085AB7" w:rsidP="00085AB7">
      <w:pPr>
        <w:framePr w:wrap="auto"/>
        <w:widowControl/>
        <w:autoSpaceDE/>
        <w:autoSpaceDN/>
        <w:bidi w:val="0"/>
        <w:adjustRightInd/>
        <w:ind w:left="708" w:right="0"/>
        <w:jc w:val="both"/>
        <w:textAlignment w:val="auto"/>
        <w:rPr>
          <w:rFonts w:ascii="Times New Roman" w:eastAsia="Times New Roman" w:hAnsi="Times New Roman" w:cs="Times New Roman" w:hint="cs"/>
          <w:highlight w:val="green"/>
          <w:rtl w:val="0"/>
          <w:cs w:val="0"/>
          <w:lang w:val="sk-SK" w:eastAsia="sk-SK" w:bidi="ar-SA"/>
        </w:rPr>
      </w:pPr>
    </w:p>
    <w:p w:rsidR="003B5188" w:rsidRPr="003B5188" w:rsidP="003B5188">
      <w:pPr>
        <w:framePr w:wrap="auto"/>
        <w:widowControl/>
        <w:autoSpaceDE/>
        <w:autoSpaceDN/>
        <w:bidi w:val="0"/>
        <w:adjustRightInd/>
        <w:spacing w:after="160" w:line="259" w:lineRule="auto"/>
        <w:ind w:left="36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085AB7" w:rsidR="00085AB7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85AB7" w:rsidR="00085AB7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 xml:space="preserve">„2. </w:t>
      </w:r>
      <w:r w:rsidRPr="003B5188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sk-SK" w:bidi="ar-SA"/>
        </w:rPr>
        <w:t>V prílohe Sadzobník správnych poplatkov časti VI. Doprava položke 65 Poznámkach sa vypúšťa bod 3.</w:t>
      </w:r>
    </w:p>
    <w:p w:rsidR="00085AB7" w:rsidRPr="00085AB7" w:rsidP="003B5188">
      <w:pPr>
        <w:framePr w:wrap="auto"/>
        <w:widowControl/>
        <w:autoSpaceDE/>
        <w:autoSpaceDN/>
        <w:bidi w:val="0"/>
        <w:adjustRightInd/>
        <w:ind w:left="360" w:right="0"/>
        <w:jc w:val="both"/>
        <w:textAlignment w:val="auto"/>
        <w:rPr>
          <w:rFonts w:ascii="Times New Roman" w:eastAsia="Times New Roman" w:hAnsi="Times New Roman" w:cs="Calibri" w:hint="cs"/>
          <w:color w:val="000000"/>
          <w:rtl w:val="0"/>
          <w:cs w:val="0"/>
          <w:lang w:val="sk-SK" w:eastAsia="sk-SK" w:bidi="ar-SA"/>
        </w:rPr>
      </w:pPr>
      <w:r w:rsidRPr="00085AB7" w:rsidR="003B5188">
        <w:rPr>
          <w:rFonts w:ascii="Times New Roman" w:eastAsia="Times New Roman" w:hAnsi="Times New Roman" w:cs="Calibri" w:hint="cs"/>
          <w:color w:val="000000"/>
          <w:sz w:val="24"/>
          <w:szCs w:val="24"/>
          <w:rtl w:val="0"/>
          <w:cs w:val="0"/>
          <w:lang w:val="sk-SK" w:eastAsia="sk-SK" w:bidi="ar-SA"/>
        </w:rPr>
        <w:t xml:space="preserve">    Doterajší bod 4  sa označuje ako bod 3 .“.“.</w:t>
      </w:r>
    </w:p>
    <w:p w:rsidR="00085AB7" w:rsidP="00085AB7">
      <w:pPr>
        <w:framePr w:wrap="auto"/>
        <w:widowControl/>
        <w:autoSpaceDE/>
        <w:autoSpaceDN/>
        <w:bidi w:val="0"/>
        <w:adjustRightInd/>
        <w:ind w:left="426" w:right="0"/>
        <w:jc w:val="both"/>
        <w:textAlignment w:val="auto"/>
        <w:rPr>
          <w:rFonts w:ascii="Times New Roman" w:eastAsia="Times New Roman" w:hAnsi="Times New Roman" w:cs="Times New Roman" w:hint="cs"/>
          <w:color w:val="000000"/>
          <w:rtl w:val="0"/>
          <w:cs w:val="0"/>
          <w:lang w:val="sk-SK" w:eastAsia="en-US" w:bidi="ar-SA"/>
        </w:rPr>
      </w:pPr>
    </w:p>
    <w:p w:rsidR="00085AB7" w:rsidRPr="00085AB7" w:rsidP="00085AB7">
      <w:pPr>
        <w:framePr w:wrap="auto"/>
        <w:widowControl/>
        <w:autoSpaceDE/>
        <w:autoSpaceDN/>
        <w:bidi w:val="0"/>
        <w:adjustRightInd/>
        <w:ind w:left="3969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085AB7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Pozmeňujúcim návrhom sa cieli, aby sa zmenou tabuľky č. 1 znížil počet výkonových kategórií motora so sadzbami priaznivejšími pre poplatníkov, a aby sa zmenou tabuľky č. 2 upravili už zavedené ekologické koeficienty vozidla, zjednotili sa časti tejto tabuľky pre naftové a benzínové motory a odstránili legislatívno-technické nepresnosti, ktoré boli prijaté skoršou úpravou položky 65 Sadzobníka správnych poplatkov prijaté zákonom č. 59/2023 Z. z. Vo výsledku násobením hodnôt obsiahnutých v oboch tabuľkách bude možné dosiahnuť zjednodušenie výpočtu konečnej výšky poplatku, čo je efektívnejšie pri implementácii finálneho riešenia do služby eKolok (súčasných cca 3 000 služieb sa nahrádza novými cca 800 službami vyplývajúcimi ako kombinácia z hodnôt v tabuľkách a pri aplikácií ďalších zliav ponechaných v zákone pre tzv. rodinné vany, zľava pre držiteľov preukazu ŤZP). Súčasne sa zmierňuje výška ekologického koeficientu pre staršie vozidlá s cieľom znížiť poplatkové zaťaženie týchto vozidiel. Z dôvodu obsolétnosti sa navrhuje zrušiť použitie znaleckého posudku na určenie zostatkovej hodnoty vozidla, keďže registračný poplatok sa vypočítavá nie na základe hodnoty vozidla, ale so zohľadnením príslušnej euronormy.</w:t>
      </w:r>
    </w:p>
    <w:p w:rsidR="00085AB7" w:rsidP="00085AB7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</w:p>
    <w:p w:rsidR="00EC0B44" w:rsidRPr="00EC0B44" w:rsidP="00EC0B44">
      <w:pPr>
        <w:framePr w:wrap="auto"/>
        <w:widowControl/>
        <w:numPr>
          <w:numId w:val="41"/>
        </w:numPr>
        <w:autoSpaceDE/>
        <w:autoSpaceDN/>
        <w:bidi w:val="0"/>
        <w:adjustRightInd/>
        <w:ind w:right="0"/>
        <w:contextualSpacing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en-US" w:bidi="ar-SA"/>
        </w:rPr>
      </w:pPr>
      <w:r w:rsidRPr="00EC0B4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en-US" w:bidi="ar-SA"/>
        </w:rPr>
        <w:t>Za čl. I sa vkladá nový čl. II</w:t>
      </w:r>
      <w:r w:rsidRPr="00EC0B4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en-US" w:bidi="ar-SA"/>
        </w:rPr>
        <w:t>, ktorý znie:</w:t>
      </w:r>
    </w:p>
    <w:p w:rsidR="00EC0B44" w:rsidP="00EC0B44">
      <w:pPr>
        <w:framePr w:wrap="auto"/>
        <w:widowControl/>
        <w:autoSpaceDE/>
        <w:autoSpaceDN/>
        <w:bidi w:val="0"/>
        <w:adjustRightInd/>
        <w:ind w:left="284" w:right="0"/>
        <w:contextualSpacing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en-US" w:bidi="ar-SA"/>
        </w:rPr>
      </w:pPr>
    </w:p>
    <w:p w:rsidR="00EC0B44" w:rsidP="00EC0B44">
      <w:pPr>
        <w:framePr w:wrap="auto"/>
        <w:widowControl/>
        <w:autoSpaceDE/>
        <w:autoSpaceDN/>
        <w:bidi w:val="0"/>
        <w:adjustRightInd/>
        <w:ind w:left="284" w:right="0"/>
        <w:contextualSpacing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en-US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„Čl. II</w:t>
      </w:r>
    </w:p>
    <w:p w:rsidR="00EC0B44" w:rsidP="00EC0B44">
      <w:pPr>
        <w:framePr w:wrap="auto"/>
        <w:widowControl/>
        <w:autoSpaceDE/>
        <w:autoSpaceDN/>
        <w:bidi w:val="0"/>
        <w:adjustRightInd/>
        <w:ind w:left="284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en-US" w:bidi="ar-SA"/>
        </w:rPr>
      </w:pPr>
    </w:p>
    <w:p w:rsidR="00EC0B44" w:rsidP="00EC0B44">
      <w:pPr>
        <w:framePr w:wrap="auto"/>
        <w:widowControl/>
        <w:autoSpaceDE/>
        <w:autoSpaceDN/>
        <w:bidi w:val="0"/>
        <w:adjustRightInd/>
        <w:ind w:left="284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en-US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Zákon </w:t>
      </w:r>
      <w:r w:rsidRPr="00CF4E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Národnej rady Slovenskej republiky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č. 59/2023 Z. z. </w:t>
      </w:r>
      <w:r w:rsidRPr="00CF4E0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ktorým sa mení zákon Národnej rady Slovenskej republiky č. 145/1995 Z. z. o správnych poplatkoch v znení neskorších predpisov a o zmene a doplnení niektorých zákonov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sa mení takto:</w:t>
      </w:r>
    </w:p>
    <w:p w:rsidR="00EC0B44" w:rsidP="00EC0B44">
      <w:pPr>
        <w:framePr w:wrap="auto"/>
        <w:widowControl/>
        <w:autoSpaceDE/>
        <w:autoSpaceDN/>
        <w:bidi w:val="0"/>
        <w:adjustRightInd/>
        <w:ind w:left="284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en-US" w:bidi="ar-SA"/>
        </w:rPr>
      </w:pPr>
    </w:p>
    <w:p w:rsidR="00EC0B44" w:rsidP="00EC0B44">
      <w:pPr>
        <w:framePr w:wrap="auto"/>
        <w:widowControl/>
        <w:autoSpaceDE/>
        <w:autoSpaceDN/>
        <w:bidi w:val="0"/>
        <w:adjustRightInd/>
        <w:ind w:left="284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en-US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„V čl. V sa slová „1. apríla 2023“ nahrádzajú slovami „1. januára 2024“.“.</w:t>
      </w:r>
    </w:p>
    <w:p w:rsidR="00EC0B44" w:rsidP="00EC0B44">
      <w:pPr>
        <w:framePr w:wrap="auto"/>
        <w:widowControl/>
        <w:autoSpaceDE/>
        <w:autoSpaceDN/>
        <w:bidi w:val="0"/>
        <w:adjustRightInd/>
        <w:ind w:left="284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en-US" w:bidi="ar-SA"/>
        </w:rPr>
      </w:pPr>
    </w:p>
    <w:p w:rsidR="00EC0B44" w:rsidRPr="008F6410" w:rsidP="00EC0B44">
      <w:pPr>
        <w:framePr w:wrap="auto"/>
        <w:widowControl/>
        <w:autoSpaceDE/>
        <w:autoSpaceDN/>
        <w:bidi w:val="0"/>
        <w:adjustRightInd/>
        <w:ind w:left="284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en-US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Doterajší čl. II sa označuje ako čl. III.</w:t>
      </w:r>
    </w:p>
    <w:p w:rsidR="00EC0B44" w:rsidRPr="003C2FE1" w:rsidP="00EC0B44">
      <w:pPr>
        <w:framePr w:wrap="auto"/>
        <w:widowControl/>
        <w:autoSpaceDE/>
        <w:autoSpaceDN/>
        <w:bidi w:val="0"/>
        <w:adjustRightInd/>
        <w:ind w:left="284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en-US" w:bidi="ar-SA"/>
        </w:rPr>
      </w:pPr>
    </w:p>
    <w:p w:rsidR="003B5188" w:rsidRPr="008F6410" w:rsidP="003B5188">
      <w:pPr>
        <w:framePr w:wrap="auto"/>
        <w:widowControl/>
        <w:autoSpaceDE/>
        <w:autoSpaceDN/>
        <w:bidi w:val="0"/>
        <w:adjustRightInd/>
        <w:ind w:left="284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en-US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Toto ustanovenie nadobúda účinnosť dňom vyhlásenia, čo sa premietne do ustanovenia o účinnosti.</w:t>
      </w:r>
    </w:p>
    <w:p w:rsidR="00EC0B44" w:rsidRPr="003C2FE1" w:rsidP="00EC0B44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C0B44" w:rsidP="00EC0B44">
      <w:pPr>
        <w:framePr w:wrap="auto"/>
        <w:widowControl/>
        <w:tabs>
          <w:tab w:val="left" w:pos="3969"/>
        </w:tabs>
        <w:autoSpaceDE/>
        <w:autoSpaceDN/>
        <w:bidi w:val="0"/>
        <w:adjustRightInd/>
        <w:ind w:left="3969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en-US" w:bidi="ar-SA"/>
        </w:rPr>
      </w:pPr>
      <w:r>
        <w:rPr>
          <w:rFonts w:ascii="Times New Roman" w:eastAsia="Times New Roman" w:hAnsi="Times New Roman" w:cs="Times New Roman" w:hint="cs"/>
          <w:i/>
          <w:iCs/>
          <w:sz w:val="24"/>
          <w:szCs w:val="24"/>
          <w:rtl w:val="0"/>
          <w:cs w:val="0"/>
          <w:lang w:val="sk-SK" w:eastAsia="en-US" w:bidi="ar-SA"/>
        </w:rPr>
        <w:t xml:space="preserve">Novela zákona č. 145/1995 Z. z. o správnych poplatkoch, schválená zákonom č. 59/2023 Z. z., ktorá mení v čl. I mechanizmus výpočtu správneho poplatku zavedením tzv. ekologického koeficientu sa po schválení ukázala, že je potrebné vzhľadom na potrebu zmien v praxi potrebné posunúť účinnosť predmetného novelizačného zákona. Navrhuje sa preto posunutie účinnosti na 1. januára 2024. </w:t>
      </w:r>
    </w:p>
    <w:p w:rsidR="00EC0B44" w:rsidRPr="00085AB7" w:rsidP="00085AB7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</w:p>
    <w:p w:rsidR="00085AB7" w:rsidRPr="00085AB7" w:rsidP="00EC0B44">
      <w:pPr>
        <w:framePr w:wrap="auto"/>
        <w:widowControl/>
        <w:numPr>
          <w:numId w:val="41"/>
        </w:numPr>
        <w:autoSpaceDE/>
        <w:autoSpaceDN/>
        <w:bidi w:val="0"/>
        <w:adjustRightInd/>
        <w:ind w:right="0"/>
        <w:jc w:val="both"/>
        <w:textAlignment w:val="auto"/>
        <w:rPr>
          <w:rFonts w:ascii="Times New Roman" w:eastAsia="Times New Roman" w:hAnsi="Times New Roman" w:cs="Times New Roman" w:hint="cs"/>
          <w:color w:val="000000"/>
          <w:rtl w:val="0"/>
          <w:cs w:val="0"/>
          <w:lang w:val="sk-SK" w:eastAsia="en-US" w:bidi="ar-SA"/>
        </w:rPr>
      </w:pPr>
      <w:r w:rsidRPr="00085AB7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 w:val="0"/>
          <w:cs w:val="0"/>
          <w:lang w:val="sk-SK" w:eastAsia="en-US" w:bidi="ar-SA"/>
        </w:rPr>
        <w:t>V Čl. II</w:t>
      </w:r>
      <w:r w:rsidRPr="00085AB7">
        <w:rPr>
          <w:rFonts w:ascii="Times New Roman" w:eastAsia="Times New Roman" w:hAnsi="Times New Roman" w:cs="Times New Roman" w:hint="cs"/>
          <w:color w:val="000000"/>
          <w:sz w:val="24"/>
          <w:szCs w:val="24"/>
          <w:rtl w:val="0"/>
          <w:cs w:val="0"/>
          <w:lang w:val="sk-SK" w:eastAsia="en-US" w:bidi="ar-SA"/>
        </w:rPr>
        <w:t xml:space="preserve"> sa  slová „dňom vyhlásenia“ nahrádzajú  slovami „1. januára 2024“.</w:t>
      </w:r>
    </w:p>
    <w:p w:rsidR="00085AB7" w:rsidRPr="00085AB7" w:rsidP="00085AB7">
      <w:pPr>
        <w:framePr w:wrap="auto"/>
        <w:widowControl/>
        <w:autoSpaceDE/>
        <w:autoSpaceDN/>
        <w:bidi w:val="0"/>
        <w:adjustRightInd/>
        <w:ind w:left="426" w:right="0"/>
        <w:jc w:val="both"/>
        <w:textAlignment w:val="auto"/>
        <w:rPr>
          <w:rFonts w:ascii="Times New Roman" w:eastAsia="Times New Roman" w:hAnsi="Times New Roman" w:cs="Times New Roman" w:hint="cs"/>
          <w:color w:val="000000"/>
          <w:rtl w:val="0"/>
          <w:cs w:val="0"/>
          <w:lang w:val="sk-SK" w:eastAsia="en-US" w:bidi="ar-SA"/>
        </w:rPr>
      </w:pPr>
    </w:p>
    <w:p w:rsidR="00085AB7" w:rsidRPr="00085AB7" w:rsidP="00085AB7">
      <w:pPr>
        <w:framePr w:wrap="auto"/>
        <w:widowControl/>
        <w:autoSpaceDE/>
        <w:autoSpaceDN/>
        <w:bidi w:val="0"/>
        <w:adjustRightInd/>
        <w:ind w:left="3969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085AB7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>Pozmeňujúcim návrhom sa cieli, aby sa zmenou tabuľky č. 1 znížil počet výkonových kategórií motora so sadzbami priaznivejšími pre poplatníkov, a aby sa zmenou tabuľky č. 2 upravili už zavedené ekologické koeficienty vozidla, zjednotili sa časti tejto tabuľky pre naftové a benzínové motory a odstránili legislatívno-technické nepresnosti, ktoré boli prijaté skoršou úpravou položky 65 Sadzobníka správnych poplatkov prijaté zákonom č. 59/2023 Z. z. Vo výsledku násobením hodnôt obsiahnutých v oboch tabuľkách bude možné dosiahnuť zjednodušenie výpočtu konečnej výšky poplatku, čo je efektívnejšie pri implementácii finálneho riešenia do služby eKolok (súčasných cca 3 000 služieb sa nahrádza novými cca 800 službami vyplývajúcimi ako kombinácia z hodnôt v tabuľkách a pri aplikácií ďalších zliav ponechaných v zákone pre tzv. rodinné vany, zľava pre držiteľov preukazu ŤZP). Súčasne sa zmierňuje výška ekologického koeficientu pre staršie vozidlá s cieľom znížiť poplatkové zaťaženie týchto vozidiel. Z dôvodu obsolétnosti sa navrhuje zrušiť použitie znaleckého posudku na určenie zostatkovej hodnoty vozidla, keďže registračný poplatok sa vypočítavá nie na základe hodnoty vozidla, ale so zohľadnením príslušnej euronormy.</w:t>
      </w:r>
    </w:p>
    <w:p w:rsidR="00085AB7" w:rsidRPr="00085AB7" w:rsidP="00085AB7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</w:p>
    <w:p w:rsidR="00085AB7" w:rsidRPr="00085AB7" w:rsidP="00085AB7">
      <w:pPr>
        <w:framePr w:wrap="auto"/>
        <w:widowControl/>
        <w:tabs>
          <w:tab w:val="left" w:pos="885"/>
        </w:tabs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</w:p>
    <w:sectPr w:rsidSect="004379C4">
      <w:pgSz w:w="11906" w:h="16838"/>
      <w:pgMar w:top="851" w:right="1274" w:bottom="993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Segoe UI">
    <w:panose1 w:val="00000000000000000000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(Hebrew)">
    <w:altName w:val="Century Gothic"/>
    <w:charset w:val="B1"/>
    <w:family w:val="swiss"/>
    <w:pitch w:val="variable"/>
  </w:font>
  <w:font w:name="Calibri (Arabic)">
    <w:altName w:val="Century Gothic"/>
    <w:charset w:val="B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(Hebrew)">
    <w:charset w:val="B1"/>
    <w:family w:val="swiss"/>
    <w:pitch w:val="variable"/>
  </w:font>
  <w:font w:name="Calibri Light (Arabic)">
    <w:charset w:val="B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5B47BA4"/>
    <w:multiLevelType w:val="hybridMultilevel"/>
    <w:tmpl w:val="BD18C3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3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5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6">
    <w:nsid w:val="137D4961"/>
    <w:multiLevelType w:val="hybridMultilevel"/>
    <w:tmpl w:val="706C6A5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1DC6731D"/>
    <w:multiLevelType w:val="hybridMultilevel"/>
    <w:tmpl w:val="D75474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3BE5CBC"/>
    <w:multiLevelType w:val="hybridMultilevel"/>
    <w:tmpl w:val="995AAAE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11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12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275F301B"/>
    <w:multiLevelType w:val="hybridMultilevel"/>
    <w:tmpl w:val="935CA8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276B5E50"/>
    <w:multiLevelType w:val="hybridMultilevel"/>
    <w:tmpl w:val="37088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14677CC"/>
    <w:multiLevelType w:val="hybridMultilevel"/>
    <w:tmpl w:val="2DBAAD8A"/>
    <w:lvl w:ilvl="0">
      <w:start w:val="1"/>
      <w:numFmt w:val="lowerLetter"/>
      <w:lvlText w:val="%1)"/>
      <w:lvlJc w:val="left"/>
      <w:pPr>
        <w:ind w:left="5322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526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98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70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742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814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86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58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0307" w:hanging="180"/>
      </w:pPr>
      <w:rPr>
        <w:rFonts w:cs="Times New Roman" w:hint="cs"/>
        <w:rtl w:val="0"/>
        <w:cs w:val="0"/>
      </w:rPr>
    </w:lvl>
  </w:abstractNum>
  <w:abstractNum w:abstractNumId="17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8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3691187B"/>
    <w:multiLevelType w:val="hybridMultilevel"/>
    <w:tmpl w:val="69A8DF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41367679"/>
    <w:multiLevelType w:val="hybridMultilevel"/>
    <w:tmpl w:val="4238DA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5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52E445E6"/>
    <w:multiLevelType w:val="hybridMultilevel"/>
    <w:tmpl w:val="356A9A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29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5B2C6C2B"/>
    <w:multiLevelType w:val="hybridMultilevel"/>
    <w:tmpl w:val="0784C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6BD91FED"/>
    <w:multiLevelType w:val="hybridMultilevel"/>
    <w:tmpl w:val="FC7CA4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6BE744BC"/>
    <w:multiLevelType w:val="hybridMultilevel"/>
    <w:tmpl w:val="0526E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5">
    <w:nsid w:val="6C233DCE"/>
    <w:multiLevelType w:val="hybridMultilevel"/>
    <w:tmpl w:val="BF9EB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6">
    <w:nsid w:val="6E271413"/>
    <w:multiLevelType w:val="hybridMultilevel"/>
    <w:tmpl w:val="7506FA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7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8">
    <w:nsid w:val="7FF36459"/>
    <w:multiLevelType w:val="hybridMultilevel"/>
    <w:tmpl w:val="B6F2F8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2"/>
  </w:num>
  <w:num w:numId="2">
    <w:abstractNumId w:val="2"/>
  </w:num>
  <w:num w:numId="3">
    <w:abstractNumId w:val="2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7"/>
  </w:num>
  <w:num w:numId="7">
    <w:abstractNumId w:val="12"/>
  </w:num>
  <w:num w:numId="8">
    <w:abstractNumId w:val="7"/>
  </w:num>
  <w:num w:numId="9">
    <w:abstractNumId w:val="18"/>
  </w:num>
  <w:num w:numId="10">
    <w:abstractNumId w:val="0"/>
  </w:num>
  <w:num w:numId="11">
    <w:abstractNumId w:val="9"/>
  </w:num>
  <w:num w:numId="12">
    <w:abstractNumId w:val="5"/>
  </w:num>
  <w:num w:numId="13">
    <w:abstractNumId w:val="4"/>
  </w:num>
  <w:num w:numId="14">
    <w:abstractNumId w:val="29"/>
  </w:num>
  <w:num w:numId="15">
    <w:abstractNumId w:val="26"/>
  </w:num>
  <w:num w:numId="16">
    <w:abstractNumId w:val="25"/>
  </w:num>
  <w:num w:numId="17">
    <w:abstractNumId w:val="20"/>
  </w:num>
  <w:num w:numId="18">
    <w:abstractNumId w:val="22"/>
  </w:num>
  <w:num w:numId="19">
    <w:abstractNumId w:val="34"/>
  </w:num>
  <w:num w:numId="20">
    <w:abstractNumId w:val="23"/>
  </w:num>
  <w:num w:numId="21">
    <w:abstractNumId w:val="24"/>
  </w:num>
  <w:num w:numId="22">
    <w:abstractNumId w:val="37"/>
  </w:num>
  <w:num w:numId="23">
    <w:abstractNumId w:val="3"/>
  </w:num>
  <w:num w:numId="24">
    <w:abstractNumId w:val="30"/>
  </w:num>
  <w:num w:numId="25">
    <w:abstractNumId w:val="8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15"/>
  </w:num>
  <w:num w:numId="30">
    <w:abstractNumId w:val="16"/>
  </w:num>
  <w:num w:numId="31">
    <w:abstractNumId w:val="36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6"/>
  </w:num>
  <w:num w:numId="35">
    <w:abstractNumId w:val="1"/>
  </w:num>
  <w:num w:numId="36">
    <w:abstractNumId w:val="21"/>
  </w:num>
  <w:num w:numId="37">
    <w:abstractNumId w:val="32"/>
  </w:num>
  <w:num w:numId="38">
    <w:abstractNumId w:val="19"/>
  </w:num>
  <w:num w:numId="39">
    <w:abstractNumId w:val="38"/>
  </w:num>
  <w:num w:numId="40">
    <w:abstractNumId w:val="27"/>
  </w:num>
  <w:num w:numId="41">
    <w:abstractNumId w:val="10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207</TotalTime>
  <Pages>4</Pages>
  <Words>1125</Words>
  <Characters>6413</Characters>
  <Application>Microsoft Office Word</Application>
  <DocSecurity>0</DocSecurity>
  <Lines>0</Lines>
  <Paragraphs>0</Paragraphs>
  <ScaleCrop>false</ScaleCrop>
  <Company>Kancelaria NRSR</Company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Puzderová, Barbora, Ing.</cp:lastModifiedBy>
  <cp:revision>137</cp:revision>
  <cp:lastPrinted>2022-11-24T16:48:00Z</cp:lastPrinted>
  <dcterms:created xsi:type="dcterms:W3CDTF">2017-11-07T09:36:00Z</dcterms:created>
  <dcterms:modified xsi:type="dcterms:W3CDTF">2023-03-14T14:18:00Z</dcterms:modified>
</cp:coreProperties>
</file>