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</w:t>
      </w:r>
    </w:p>
    <w:p w:rsidR="00397798" w:rsidRDefault="00397798" w:rsidP="0039779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VIII. volebné obdobie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397798" w:rsidRDefault="00397798" w:rsidP="0039779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397798" w:rsidRDefault="00397798" w:rsidP="0039779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ind w:left="5664" w:righ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CRD- 191/2023/OKV VS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Materiál na rokovanie                                                               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Slovenskej republiky                                                              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1425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Správa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Osobitného kontrolného výboru Národnej rady Slovenskej republiky na kontrolu činnosti Vojenského spravodajstva o stave použitia informačno-technických prostriedkov za rok 2022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______________________________________________________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tabs>
          <w:tab w:val="left" w:pos="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Návrh na uznesenie: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sa predkladá podľa § 9 ods. 1                          Národná rada Slovenskej republiky</w:t>
      </w: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Národnej  rady Slovenskej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 e r i e  n a  v e d o m i e  </w:t>
      </w:r>
      <w:r>
        <w:rPr>
          <w:rFonts w:ascii="Times New Roman" w:eastAsia="Times New Roman" w:hAnsi="Times New Roman" w:cs="Times New Roman"/>
          <w:sz w:val="24"/>
        </w:rPr>
        <w:t>Správu</w:t>
      </w: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republiky č. 166/2003 Z. z. o ochrane                         Osobitného kontrolného výboru </w:t>
      </w:r>
    </w:p>
    <w:p w:rsidR="00397798" w:rsidRDefault="00397798" w:rsidP="00397798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použitím informačno-technických                               Národnej rady SR na kontrolu činnosti</w:t>
      </w: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prostriedkov a o zmene a doplnení                              Vojenského spravodajstva o stave </w:t>
      </w: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zákonov                                                      použitia informačno-technických   </w:t>
      </w:r>
    </w:p>
    <w:p w:rsidR="00397798" w:rsidRDefault="00397798" w:rsidP="0039779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(zákon o ochrane pred odpočúvaním)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prostriedkov za rok 2022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Predkladá:</w:t>
      </w: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97798" w:rsidRDefault="00397798" w:rsidP="003977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Zuzana ŠEBOVÁ </w:t>
      </w:r>
    </w:p>
    <w:p w:rsidR="00397798" w:rsidRDefault="00397798" w:rsidP="00397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podpredsedníčka</w:t>
      </w:r>
    </w:p>
    <w:p w:rsidR="00397798" w:rsidRDefault="00397798" w:rsidP="0039779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Osobitného kontrolného výboru NR SR</w:t>
      </w:r>
    </w:p>
    <w:p w:rsidR="00397798" w:rsidRDefault="00397798" w:rsidP="0039779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na kontrolu činnosti Vojenského spravodajstva</w:t>
      </w:r>
    </w:p>
    <w:p w:rsidR="00397798" w:rsidRDefault="00397798" w:rsidP="00397798">
      <w:pPr>
        <w:spacing w:after="12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február 202</w:t>
      </w:r>
      <w:r w:rsidR="00660A62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397798" w:rsidRDefault="00397798" w:rsidP="0039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Správa výboru</w:t>
      </w:r>
    </w:p>
    <w:p w:rsidR="00397798" w:rsidRDefault="00397798" w:rsidP="00397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Osobitný kontrolný výbor Národnej rady Slovenskej republiky na kontrolu činnosti Vojenského spravodajstva na základe § 9 ods. 1 zákona č. 166/2003 Z. z. o ochrane súkromia pred neoprávneným použitím informačno-technických prostriedkov a o zmene a doplnení niektorých zákonov (zákon o ochrane pred odpočúvaním) v znení neskorších predpisov, pripravuje na schôdzu Národnej rady Slovenskej republiky správu o použití informačno-technických prostriedkov (ITP) za rok 2022.</w:t>
      </w:r>
    </w:p>
    <w:p w:rsidR="00397798" w:rsidRDefault="00397798" w:rsidP="003977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7798" w:rsidRDefault="00397798" w:rsidP="0039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súlade s § 9  zákona č. 166/2003 Z. z. o ochrane súkromia pred neoprávneným použitím informačno-technických prostriedkov a o zmene a doplnení niektorých zákonov výbor požiadal Ministerstvo obrany SR v mesiaci december 2022 o zaslanie správy o použití informačno-technických prostriedkov za rok 2022. </w:t>
      </w:r>
    </w:p>
    <w:p w:rsidR="00397798" w:rsidRDefault="00397798" w:rsidP="0039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</w:p>
    <w:p w:rsidR="00397798" w:rsidRDefault="00397798" w:rsidP="003977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a)  </w:t>
      </w:r>
      <w:r>
        <w:rPr>
          <w:rFonts w:ascii="Times New Roman" w:eastAsia="Times New Roman" w:hAnsi="Times New Roman" w:cs="Times New Roman"/>
          <w:sz w:val="24"/>
          <w:u w:val="single"/>
        </w:rPr>
        <w:t>počet žiadostí na použitie ITP – § 4 ods.1, z toho: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počet zákonným sudcom písomne povolených súhlasov/prípadov použitia ITP – vydané súhlasy (§ 6 ods.3 zákona);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počet zákonným sudcom písomne nepovolených súhlasov/ prípadov použitia ITP – odmietnuté žiadosti (§ 6, ods.3 zákona);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počet zákonným sudcom písomne povolených súhlasov/prípadov použitia ITP – vydané súhlasy (§ 6 ods. 3 zákona);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počet zákonným sudcom písomne nepovolených súhlasov/ prípadov použitia ITP – odmietnuté žiadosti (§ 6 ods. 3 zákona);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u w:val="single"/>
        </w:rPr>
        <w:t>počty prípadov použitia ITP v zmysle § 5 ods. 1 a 2 zákona NR SR č. 166/2003 Z. z., z toho: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 počet žiadostí o dodatočný súhlas, v ktorých zákonný sudca vydal súhlas;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počet zákonným sudcom odmietnutých žiadostí o dodatočný súhlas; 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trestnej činnosti alebo na ochranu práv a slobôd iných, teda zistili sa skutočnosti významné na dosiahnutie zákonom ustanoveného účelu použitia ITP; 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 počty prípadov, v ktorých informácie získané použitím ITP boli použité ako dôkaz v trestnom konaní;</w:t>
      </w:r>
    </w:p>
    <w:p w:rsidR="00397798" w:rsidRDefault="00397798" w:rsidP="003977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 počet zákonným sudcom zistených  prípadov nezákonného použitia ITP.</w:t>
      </w:r>
    </w:p>
    <w:p w:rsidR="00397798" w:rsidRDefault="00397798" w:rsidP="003977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o použití informačno-technických prostriedkov za rok 202</w:t>
      </w:r>
      <w:r w:rsidR="00FA736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predložená v neutajovanej verzii, vrátane verzie na elektronickom nosiči (CD). </w:t>
      </w:r>
    </w:p>
    <w:p w:rsidR="00397798" w:rsidRDefault="00397798" w:rsidP="003977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o použití informačno-technických prostriedkov, tak ako boli predložené sú uvedené v nasledujúcej časti správy.</w:t>
      </w: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Default="00397798" w:rsidP="0039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397798" w:rsidRPr="00692DC0" w:rsidRDefault="00397798" w:rsidP="00692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92DC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Použitie informačno-technických prostriedkov v pôsobnosti  Vojenského spravodajstva za rok 2022</w:t>
      </w:r>
    </w:p>
    <w:p w:rsidR="00397798" w:rsidRDefault="00397798" w:rsidP="00397798">
      <w:pPr>
        <w:pStyle w:val="Zarkazkladnhotextu"/>
        <w:tabs>
          <w:tab w:val="clear" w:pos="368"/>
          <w:tab w:val="left" w:pos="708"/>
        </w:tabs>
        <w:spacing w:before="120" w:after="120"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92DC0" w:rsidRDefault="00397798" w:rsidP="00692DC0">
      <w:pPr>
        <w:pStyle w:val="Zarkazkladnhotextu"/>
        <w:tabs>
          <w:tab w:val="clear" w:pos="368"/>
          <w:tab w:val="left" w:pos="708"/>
        </w:tabs>
        <w:spacing w:after="120"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„zákon o ochrane pred odpočúvaním“), zákon Národnej rady Slovenskej republiky č. 198/1994 Z. z. o Vojenskom spravodajstve v znení neskorších predpisov (ďalej len „zákon o Vojenskom spravodajstve“), Vyhláška Ministerstva spravodlivosti Slovenskej republiky č. 543/2005 Z. z. o Spravovacom a kancelárskom poriadku pre okresné súdy, krajské súdy, Špeciálny súd a vojenské súdy v znení neskorších predpisov a interné normatívne akty Vojenského spravodajstva.</w:t>
      </w:r>
    </w:p>
    <w:p w:rsidR="00692DC0" w:rsidRDefault="00397798" w:rsidP="00692DC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Vojenské spravodajstvo využívalo v roku 2022 ITP v súlade s ustanoveniami zákona o ochrane pred odpočúvaním a zákona o Vojenskom spravodajstve, pričom použitie ITP bolo realizované vo všetkých prípadoch v súlade s ustanovením § 4 zákona o ochrane pred odpočúvaním na základe predchádzajúceho písomného súhlasu zákonného sudcu. Ani v jednom prípade </w:t>
      </w:r>
      <w:r>
        <w:rPr>
          <w:rFonts w:ascii="Times New Roman" w:hAnsi="Times New Roman" w:cs="Times New Roman"/>
          <w:b/>
          <w:sz w:val="24"/>
          <w:szCs w:val="24"/>
        </w:rPr>
        <w:t>nedošlo k nezákonnému použitiu ITP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364" w:rsidRPr="00FA7364" w:rsidRDefault="00FA7364" w:rsidP="00692DC0">
      <w:pPr>
        <w:pStyle w:val="Bodytext10"/>
        <w:numPr>
          <w:ilvl w:val="0"/>
          <w:numId w:val="1"/>
        </w:numPr>
        <w:tabs>
          <w:tab w:val="left" w:pos="1128"/>
        </w:tabs>
        <w:spacing w:after="100" w:line="28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Vojenské spravodajstvo za obdobie roku 2022 podalo celkom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žiadostí na použitie ITP v súlade s ustanovením § 4 ods. 1 zákona o ochrane pred odpočúvaním. Z tohto počtu bolo zákonným sudcom vydaných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>písomných súhlasov na použitie ITP a v 1 prípade súhlas udelený nebol.</w:t>
      </w:r>
    </w:p>
    <w:p w:rsidR="00FA7364" w:rsidRPr="00FA7364" w:rsidRDefault="00FA7364" w:rsidP="00692DC0">
      <w:pPr>
        <w:pStyle w:val="Bodytext10"/>
        <w:numPr>
          <w:ilvl w:val="0"/>
          <w:numId w:val="1"/>
        </w:numPr>
        <w:tabs>
          <w:tab w:val="left" w:pos="1128"/>
        </w:tabs>
        <w:spacing w:after="100" w:line="28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2"/>
      <w:bookmarkEnd w:id="0"/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Vojenské spravodajstvo predložilo zákonnému sudcovi celkom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žiadostí na predĺženie doby použitia ITP v tom istom prípade v súlade s ustanovením § 4 ods. 2 zákona o ochrane pred odpočúvaním. Z tohto počtu bolo zákonným sudcom vydaných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>písomných súhlasov na použitie ITP.</w:t>
      </w:r>
    </w:p>
    <w:p w:rsidR="00FA7364" w:rsidRPr="00FA7364" w:rsidRDefault="00FA7364" w:rsidP="00692DC0">
      <w:pPr>
        <w:pStyle w:val="Bodytext10"/>
        <w:numPr>
          <w:ilvl w:val="0"/>
          <w:numId w:val="1"/>
        </w:numPr>
        <w:tabs>
          <w:tab w:val="left" w:pos="1128"/>
        </w:tabs>
        <w:spacing w:after="10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3"/>
      <w:bookmarkEnd w:id="1"/>
      <w:r w:rsidRPr="00FA7364">
        <w:rPr>
          <w:rFonts w:ascii="Times New Roman" w:hAnsi="Times New Roman" w:cs="Times New Roman"/>
          <w:color w:val="000000"/>
          <w:sz w:val="24"/>
          <w:szCs w:val="24"/>
        </w:rPr>
        <w:t>Vojenské spravodajstvo nemá zákonné oprávnenie na uplatňovanie ustanovenia § 5 zákona o ochrane pred odpočúvaním a v žiadnom zo zrealizovaných prípadov ITP nedošlo k ich použitiu bez predchádzajúceho súhlasu zákonného sudcu.</w:t>
      </w:r>
    </w:p>
    <w:p w:rsidR="00692DC0" w:rsidRDefault="00FA7364" w:rsidP="00692DC0">
      <w:pPr>
        <w:pStyle w:val="Bodytext1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>Všetky ITP boli použité v súlade s ustanovením § 3 zákona o ochrane pred odpočúvaním, kedy ich použitie bolo nevyhnutné na zabezpečenie bezpečnosti štátu, obrany štátu, predchádzanie a objasňovanie trestnej činnosti alebo na ochranu práv a slobôd iných a boli použité len v nevyhnutnom rozsahu.</w:t>
      </w:r>
    </w:p>
    <w:p w:rsidR="00692DC0" w:rsidRDefault="00FA7364" w:rsidP="00692DC0">
      <w:pPr>
        <w:pStyle w:val="Bodytext1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Z realizovaných použití ITP v roku 2022 bolo v termíne predloženia správy z hľadiska dosiahnutia uznaného účelu a cieľa, na ktorý slúži, vyhodnotených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53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prípadov použitia ITP. Zákonom uznaný účel a cieľ bol dosiahnutý vo všetkých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53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prípadoch použitia ITP. Z celkového počtu vyhodnotených prípadov použitia ITP bol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 zahájený v roku 2019,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prípady zahájené v roku 2020,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prípadov zahájených v roku 2021 a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prípadov bolo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zahájených v roku 2022. K termínu predloženia správy nebolo možné vyhodnotiť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>prípadov použitia ITP.</w:t>
      </w:r>
      <w:r w:rsidR="00692DC0">
        <w:rPr>
          <w:rStyle w:val="Odkaznapoznmkupodiarou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6A2C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7364" w:rsidRPr="00692DC0" w:rsidRDefault="00FA7364" w:rsidP="00692DC0">
      <w:pPr>
        <w:pStyle w:val="Bodytext1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Informácie získané použitím ITP v rámci Vojenského spravodajstva boli v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>prípadoch odstúpené orgánom činným v trestnom konaní za účelom ďalšieho využitia.</w:t>
      </w:r>
    </w:p>
    <w:p w:rsidR="00FA7364" w:rsidRPr="00FA7364" w:rsidRDefault="00FA7364" w:rsidP="00692DC0">
      <w:pPr>
        <w:pStyle w:val="Bodytext1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>Vojenské spravodajstvo nedisponuje žiadnym zistením sudcu o prípadoch nezákonného použitia ITP.</w:t>
      </w:r>
    </w:p>
    <w:p w:rsidR="00692DC0" w:rsidRPr="00692DC0" w:rsidRDefault="00FA7364" w:rsidP="00FA7364">
      <w:pPr>
        <w:pStyle w:val="Bodytext10"/>
        <w:spacing w:after="420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Na základe dosiahnutých reálnych výsledkov je možné konštatovať, že celý mechanizmus prípravy, realizácie, vyhodnocovania a využitia výsledkov dosiahnutých nasadením ITP v podmienkach Vojenského spravodajstva prebiehal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striktne v súlade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 xml:space="preserve">s príslušnými ustanoveniami zákona o ochrane pred odpočúvaním, ako aj zákona o Vojenskom spravodajstve. Odrazom tejto skutočnosti je fakt, že zákonný sudca </w:t>
      </w:r>
      <w:r w:rsidRPr="00FA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žiadnom z požadovaných prípadov </w:t>
      </w:r>
      <w:r w:rsidRPr="00FA7364">
        <w:rPr>
          <w:rFonts w:ascii="Times New Roman" w:hAnsi="Times New Roman" w:cs="Times New Roman"/>
          <w:color w:val="000000"/>
          <w:sz w:val="24"/>
          <w:szCs w:val="24"/>
        </w:rPr>
        <w:t>nasadenia ITP nekonštatoval jeho nezákonné použitie.</w:t>
      </w:r>
    </w:p>
    <w:p w:rsidR="00FA7364" w:rsidRDefault="00FA7364" w:rsidP="00397798">
      <w:pPr>
        <w:spacing w:before="120"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364" w:rsidRDefault="00FA7364" w:rsidP="00397798">
      <w:pPr>
        <w:spacing w:before="120"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798" w:rsidRDefault="00397798" w:rsidP="00397798">
      <w:pPr>
        <w:pageBreakBefore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r>
        <w:rPr>
          <w:rFonts w:ascii="Times New Roman" w:hAnsi="Times New Roman" w:cs="Times New Roman"/>
          <w:b/>
          <w:sz w:val="20"/>
          <w:szCs w:val="20"/>
        </w:rPr>
        <w:lastRenderedPageBreak/>
        <w:t>Vojenské spravodajstvo – tabuľková časť</w:t>
      </w:r>
    </w:p>
    <w:bookmarkEnd w:id="2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666"/>
        <w:gridCol w:w="994"/>
        <w:gridCol w:w="998"/>
        <w:gridCol w:w="994"/>
        <w:gridCol w:w="974"/>
      </w:tblGrid>
      <w:tr w:rsidR="00677874" w:rsidTr="00677874">
        <w:trPr>
          <w:trHeight w:hRule="exact" w:val="26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874" w:rsidRDefault="00677874">
            <w:pPr>
              <w:pStyle w:val="Other1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77874" w:rsidRPr="00677874" w:rsidTr="00677874">
        <w:trPr>
          <w:trHeight w:hRule="exact" w:val="643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7874" w:rsidRPr="00677874" w:rsidRDefault="00677874">
            <w:pPr>
              <w:rPr>
                <w:rFonts w:ascii="Times New Roman" w:hAnsi="Times New Roman" w:cs="Times New Roman"/>
                <w:sz w:val="24"/>
                <w:szCs w:val="24"/>
                <w:lang w:bidi="sk-SK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Obsahový počet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6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 </w:t>
            </w:r>
            <w:proofErr w:type="spellStart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ods.l</w:t>
            </w:r>
            <w:proofErr w:type="spellEnd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písm. 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 </w:t>
            </w:r>
            <w:proofErr w:type="spellStart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ods.l</w:t>
            </w:r>
            <w:proofErr w:type="spellEnd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písm. b)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 </w:t>
            </w:r>
            <w:proofErr w:type="spellStart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ods.l</w:t>
            </w:r>
            <w:proofErr w:type="spellEnd"/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písm. c)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</w:t>
            </w:r>
          </w:p>
        </w:tc>
      </w:tr>
      <w:tr w:rsidR="00677874" w:rsidRPr="00677874" w:rsidTr="00677874"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l./a)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žiadostí na použitie ITP - § 4 ods. 1, z toho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77874" w:rsidRPr="00677874" w:rsidTr="00677874">
        <w:trPr>
          <w:trHeight w:hRule="exact" w:val="43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Vydané súhlasy (§ 6 ods.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77874" w:rsidRPr="00677874" w:rsidTr="00677874">
        <w:trPr>
          <w:trHeight w:hRule="exact" w:val="42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Odmietnuté žiadosti (§ 6 ods.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874" w:rsidRPr="00677874" w:rsidTr="00677874">
        <w:trPr>
          <w:trHeight w:hRule="exact" w:val="11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4./b)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7874" w:rsidRPr="00677874" w:rsidRDefault="00677874">
            <w:pPr>
              <w:pStyle w:val="Other10"/>
              <w:spacing w:after="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prípadov, v ktorých sa predložila opakovaná žiadosť na predĺženie doby použitia ITP v tom istom prípade - § 4 ods. 2 , z toho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77874" w:rsidRPr="00677874" w:rsidTr="00677874">
        <w:trPr>
          <w:trHeight w:hRule="exact" w:val="41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Vydané súhlasy (§ 6 ods.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77874" w:rsidRPr="00677874" w:rsidTr="00677874">
        <w:trPr>
          <w:trHeight w:hRule="exact" w:val="41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Odmietnuté žiadosti (§ 6 ods.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874" w:rsidRPr="00677874" w:rsidTr="00677874">
        <w:trPr>
          <w:trHeight w:hRule="exact" w:val="7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7./c)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prípadov použitia ITP v zmysle § 5 ods. 1 a 2 - dodatočné súhlasy,* z toho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7874" w:rsidRPr="00677874" w:rsidTr="00677874">
        <w:trPr>
          <w:trHeight w:hRule="exact" w:val="57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žiadostí o dodatočný súhlas, v ktorých sudca vydal súhlas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7874" w:rsidRPr="00677874" w:rsidTr="00677874">
        <w:trPr>
          <w:trHeight w:hRule="exact" w:val="5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zákonným sudcom odmietnutých žiadostí o dodatočný súhlas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7874" w:rsidRPr="00677874" w:rsidTr="00677874">
        <w:trPr>
          <w:trHeight w:hRule="exact" w:val="70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7874" w:rsidRPr="00677874" w:rsidRDefault="00677874">
            <w:pPr>
              <w:pStyle w:val="Other10"/>
              <w:spacing w:after="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ITP, u ktorých bol dosiahnutý zákonom uznaný účel a cieľ (k § 3 a §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77874" w:rsidRPr="00677874" w:rsidTr="00677874">
        <w:trPr>
          <w:trHeight w:hRule="exact" w:val="7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ITP, u ktorých nebol dosiahnutý zákonom uznaný účel a cieľ (k § 3 a §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874" w:rsidRPr="00677874" w:rsidTr="00677874">
        <w:trPr>
          <w:trHeight w:hRule="exact" w:val="8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7874" w:rsidRPr="00677874" w:rsidRDefault="00677874">
            <w:pPr>
              <w:pStyle w:val="Other10"/>
              <w:spacing w:after="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Počty prípadov použitia ITP, z ktorých boli informácie použité ako dôkaz v trestnom konaní**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7874" w:rsidRPr="00677874" w:rsidTr="00677874">
        <w:trPr>
          <w:trHeight w:hRule="exact" w:val="5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zákonným sudcom zistených prípadov nezákonného použitia ITP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874" w:rsidRPr="00677874" w:rsidTr="00677874">
        <w:trPr>
          <w:trHeight w:hRule="exact" w:val="5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 žiadostí o použitie ITP</w:t>
            </w:r>
          </w:p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Súčet r. 1+4+7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677874" w:rsidRPr="00677874" w:rsidTr="00677874">
        <w:trPr>
          <w:trHeight w:hRule="exact" w:val="8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7874" w:rsidRPr="00677874" w:rsidRDefault="00677874">
            <w:pPr>
              <w:pStyle w:val="Other10"/>
              <w:spacing w:after="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 vydaných súhlasov na použitie ITP</w:t>
            </w:r>
          </w:p>
          <w:p w:rsidR="00677874" w:rsidRPr="00677874" w:rsidRDefault="00677874">
            <w:pPr>
              <w:pStyle w:val="Other10"/>
              <w:spacing w:after="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Súčet r. 2+5+8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77874" w:rsidRPr="00677874" w:rsidTr="00677874"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 odmietnutých žiadostí o použitie ITP</w:t>
            </w:r>
          </w:p>
          <w:p w:rsidR="00677874" w:rsidRPr="00677874" w:rsidRDefault="00677874">
            <w:pPr>
              <w:pStyle w:val="Other10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Súčet r. 3+6+9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874" w:rsidRPr="00677874" w:rsidRDefault="0067787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77874" w:rsidRPr="00677874" w:rsidRDefault="00677874" w:rsidP="00677874">
      <w:pPr>
        <w:spacing w:after="239" w:line="1" w:lineRule="exact"/>
        <w:rPr>
          <w:rFonts w:ascii="Times New Roman" w:hAnsi="Times New Roman" w:cs="Times New Roman"/>
          <w:color w:val="000000"/>
          <w:sz w:val="24"/>
          <w:szCs w:val="24"/>
          <w:lang w:bidi="sk-SK"/>
        </w:rPr>
      </w:pPr>
    </w:p>
    <w:p w:rsidR="00677874" w:rsidRPr="00677874" w:rsidRDefault="00677874" w:rsidP="00677874">
      <w:pPr>
        <w:pStyle w:val="Bodytext2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000000"/>
          <w:sz w:val="24"/>
          <w:szCs w:val="24"/>
        </w:rPr>
        <w:t>Vysvetlivky:</w:t>
      </w:r>
    </w:p>
    <w:p w:rsidR="00677874" w:rsidRPr="00677874" w:rsidRDefault="00677874" w:rsidP="00677874">
      <w:pPr>
        <w:pStyle w:val="Bodytext20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000000"/>
          <w:sz w:val="24"/>
          <w:szCs w:val="24"/>
        </w:rPr>
        <w:t>* VS nemá oprávnenie použiť ITP bez predchádzajúceho súhlasu sudcu, touto kompetenciou disponuje iba Policajný zbor.</w:t>
      </w:r>
    </w:p>
    <w:p w:rsidR="00677874" w:rsidRPr="00677874" w:rsidRDefault="00677874" w:rsidP="00677874">
      <w:pPr>
        <w:pStyle w:val="Bodytext20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000000"/>
          <w:sz w:val="24"/>
          <w:szCs w:val="24"/>
        </w:rPr>
        <w:t>** VS podľa právneho poriadku Slovenskej republiky nie je orgánom činným v trestnom konaní. V odôvodnených prípadoch sú výsledky použitia ITP odstúpené orgánom činným v trestnom konaní za účelom ďalšieho využitia.</w:t>
      </w:r>
    </w:p>
    <w:p w:rsidR="00397798" w:rsidRDefault="00397798" w:rsidP="00397798">
      <w:pPr>
        <w:tabs>
          <w:tab w:val="left" w:pos="851"/>
          <w:tab w:val="right" w:leader="dot" w:pos="3969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tabs>
          <w:tab w:val="left" w:pos="851"/>
          <w:tab w:val="right" w:leader="dot" w:pos="3969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Pr="00692DC0" w:rsidRDefault="00397798" w:rsidP="00692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92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Správa Ministerstva spravodlivosti  SR</w:t>
      </w:r>
    </w:p>
    <w:p w:rsidR="00397798" w:rsidRPr="00677874" w:rsidRDefault="00397798" w:rsidP="0039779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 xml:space="preserve">Správa vychádza z podkladov, ktoré predložili Krajský súd v Bratislave, Krajský súd v Trnave, Krajský súd v Trenčíne, Krajský súd v Nitre, Krajský súd v Žiline, Krajský súd v Banskej Bystrici, Krajský súd v Košiciach, Krajský súd v </w:t>
      </w:r>
      <w:r w:rsidRPr="00152A03">
        <w:rPr>
          <w:rFonts w:ascii="Times New Roman" w:hAnsi="Times New Roman" w:cs="Times New Roman"/>
          <w:sz w:val="24"/>
          <w:szCs w:val="24"/>
          <w:lang w:val="cs-CZ" w:eastAsia="cs-CZ" w:bidi="cs-CZ"/>
        </w:rPr>
        <w:t xml:space="preserve">Prešove </w:t>
      </w:r>
      <w:r w:rsidRPr="00152A03">
        <w:rPr>
          <w:rFonts w:ascii="Times New Roman" w:hAnsi="Times New Roman" w:cs="Times New Roman"/>
          <w:sz w:val="24"/>
          <w:szCs w:val="24"/>
        </w:rPr>
        <w:t>a Špecializovaný trestný súd, ktoré sú podľa zákona č. 166/2003 Z. z. vecne príslušné na konanie o žiadostiach na použitie ITP.</w:t>
      </w:r>
      <w:r w:rsidRPr="00152A03">
        <w:rPr>
          <w:rFonts w:ascii="Times New Roman" w:hAnsi="Times New Roman" w:cs="Times New Roman"/>
          <w:sz w:val="24"/>
          <w:szCs w:val="24"/>
        </w:rPr>
        <w:tab/>
        <w:t>Žiadosti o vydanie súhlasu na použitie ITP predkladali príslušným súdom štátne orgány oprávnené v zmysle § 2 ods. 2 zák. č. 166/2003 Z. z., t. j. Policajný zbor Slovenskej republiky, Kriminálny úrad Finančnej správy, Slovenská informačná služba, Vojenské spravodajstvo a Zbor väzenskej a justičnej stráže.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>Na všetky krajské súdy a Špecializovaný trestný súd bolo v roku 202</w:t>
      </w:r>
      <w:r w:rsidR="00152A03" w:rsidRPr="00152A03">
        <w:rPr>
          <w:rFonts w:ascii="Times New Roman" w:hAnsi="Times New Roman" w:cs="Times New Roman"/>
          <w:sz w:val="24"/>
          <w:szCs w:val="24"/>
        </w:rPr>
        <w:t>2</w:t>
      </w:r>
      <w:r w:rsidRPr="00152A03">
        <w:rPr>
          <w:rFonts w:ascii="Times New Roman" w:hAnsi="Times New Roman" w:cs="Times New Roman"/>
          <w:sz w:val="24"/>
          <w:szCs w:val="24"/>
        </w:rPr>
        <w:t xml:space="preserve"> podaných spolu </w:t>
      </w:r>
      <w:r w:rsidRPr="00152A03">
        <w:rPr>
          <w:rFonts w:ascii="Times New Roman" w:hAnsi="Times New Roman" w:cs="Times New Roman"/>
          <w:b/>
          <w:sz w:val="24"/>
          <w:szCs w:val="24"/>
        </w:rPr>
        <w:t>1</w:t>
      </w:r>
      <w:r w:rsidR="00152A03" w:rsidRPr="00152A03">
        <w:rPr>
          <w:rFonts w:ascii="Times New Roman" w:hAnsi="Times New Roman" w:cs="Times New Roman"/>
          <w:b/>
          <w:sz w:val="24"/>
          <w:szCs w:val="24"/>
        </w:rPr>
        <w:t>787</w:t>
      </w:r>
      <w:r w:rsidRPr="0015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žiadostí o vydanie súhlasu na použitie ITP podľa </w:t>
      </w:r>
      <w:proofErr w:type="spellStart"/>
      <w:r w:rsidRPr="00152A0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52A03">
        <w:rPr>
          <w:rFonts w:ascii="Times New Roman" w:hAnsi="Times New Roman" w:cs="Times New Roman"/>
          <w:sz w:val="24"/>
          <w:szCs w:val="24"/>
        </w:rPr>
        <w:t>.</w:t>
      </w:r>
      <w:r w:rsidRPr="00152A03">
        <w:rPr>
          <w:rFonts w:ascii="Times New Roman" w:hAnsi="Times New Roman" w:cs="Times New Roman"/>
          <w:b/>
          <w:sz w:val="24"/>
          <w:szCs w:val="24"/>
        </w:rPr>
        <w:t xml:space="preserve"> §</w:t>
      </w:r>
      <w:r w:rsidRPr="00152A03">
        <w:rPr>
          <w:rFonts w:ascii="Times New Roman" w:hAnsi="Times New Roman" w:cs="Times New Roman"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4 ods. 1, ods. 2 a § 5 ods. 1, ods. 2 </w:t>
      </w:r>
      <w:r w:rsidRPr="00152A03">
        <w:rPr>
          <w:rFonts w:ascii="Times New Roman" w:hAnsi="Times New Roman" w:cs="Times New Roman"/>
          <w:sz w:val="24"/>
          <w:szCs w:val="24"/>
        </w:rPr>
        <w:t>zák. č. 166/2003 Z. z.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 xml:space="preserve">Súdy vyhoveli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719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žiadostiam a vydali súhlas na použitie ITP (§ 4 ods. 1), súhlas na predĺženie lehoty na použitie ITP (§ 4 ods. 2) a dodatočný súhlas na použitie ITP (§ 5 ods. 1). Súdy 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>žiadostí zamietli.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 w:rsidRPr="00152A0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52A03">
        <w:rPr>
          <w:rFonts w:ascii="Times New Roman" w:hAnsi="Times New Roman" w:cs="Times New Roman"/>
          <w:sz w:val="24"/>
          <w:szCs w:val="24"/>
        </w:rPr>
        <w:t xml:space="preserve">.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§ 4 ods. 1 </w:t>
      </w:r>
      <w:r w:rsidRPr="00152A03">
        <w:rPr>
          <w:rFonts w:ascii="Times New Roman" w:hAnsi="Times New Roman" w:cs="Times New Roman"/>
          <w:sz w:val="24"/>
          <w:szCs w:val="24"/>
        </w:rPr>
        <w:t xml:space="preserve">zák. č. 166/2003 Z. z. bolo podaných celkovo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418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žiadostí. Súdy vyhoveli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žiadostiam a súhlas na použitie ITP vydali. Súdy 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152A03">
        <w:rPr>
          <w:rFonts w:ascii="Times New Roman" w:hAnsi="Times New Roman" w:cs="Times New Roman"/>
          <w:sz w:val="24"/>
          <w:szCs w:val="24"/>
        </w:rPr>
        <w:t>žiadostí na vydanie súhlasu na použitie ITP zamietli.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 w:rsidRPr="00152A0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52A03">
        <w:rPr>
          <w:rFonts w:ascii="Times New Roman" w:hAnsi="Times New Roman" w:cs="Times New Roman"/>
          <w:sz w:val="24"/>
          <w:szCs w:val="24"/>
        </w:rPr>
        <w:t xml:space="preserve">.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§ 4 ods. 2 </w:t>
      </w:r>
      <w:r w:rsidRPr="00152A03">
        <w:rPr>
          <w:rFonts w:ascii="Times New Roman" w:hAnsi="Times New Roman" w:cs="Times New Roman"/>
          <w:sz w:val="24"/>
          <w:szCs w:val="24"/>
        </w:rPr>
        <w:t xml:space="preserve">zák. č. 166/2003 Z. z. bolo podaných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žiadostí. Súdy vyhoveli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žiadostiam a súhlas na predĺženie lehoty na použitie ITP vydali. Súdy </w:t>
      </w:r>
      <w:r w:rsidR="00152A03" w:rsidRPr="00152A03">
        <w:rPr>
          <w:rFonts w:ascii="Times New Roman" w:hAnsi="Times New Roman" w:cs="Times New Roman"/>
          <w:b/>
          <w:sz w:val="24"/>
          <w:szCs w:val="24"/>
        </w:rPr>
        <w:t>22</w:t>
      </w:r>
      <w:r w:rsidRPr="00152A03">
        <w:rPr>
          <w:rFonts w:ascii="Times New Roman" w:hAnsi="Times New Roman" w:cs="Times New Roman"/>
          <w:sz w:val="24"/>
          <w:szCs w:val="24"/>
        </w:rPr>
        <w:t xml:space="preserve"> žiadostí na vydanie súhlasu na predĺženie lehoty na použitie ITP zamietli.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sz w:val="24"/>
          <w:szCs w:val="24"/>
        </w:rPr>
        <w:t xml:space="preserve">V sledovanom období súdy nezaznamenali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žiaden </w:t>
      </w:r>
      <w:r w:rsidRPr="00152A03">
        <w:rPr>
          <w:rFonts w:ascii="Times New Roman" w:hAnsi="Times New Roman" w:cs="Times New Roman"/>
          <w:sz w:val="24"/>
          <w:szCs w:val="24"/>
        </w:rPr>
        <w:t xml:space="preserve">prípad v zmysle </w:t>
      </w:r>
      <w:proofErr w:type="spellStart"/>
      <w:r w:rsidRPr="00152A0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52A03">
        <w:rPr>
          <w:rFonts w:ascii="Times New Roman" w:hAnsi="Times New Roman" w:cs="Times New Roman"/>
          <w:sz w:val="24"/>
          <w:szCs w:val="24"/>
        </w:rPr>
        <w:t xml:space="preserve">. </w:t>
      </w:r>
      <w:r w:rsidRPr="00152A03">
        <w:rPr>
          <w:rFonts w:ascii="Times New Roman" w:hAnsi="Times New Roman" w:cs="Times New Roman"/>
          <w:b/>
          <w:sz w:val="24"/>
          <w:szCs w:val="24"/>
        </w:rPr>
        <w:t>§</w:t>
      </w:r>
      <w:r w:rsidRPr="00152A03">
        <w:rPr>
          <w:rFonts w:ascii="Times New Roman" w:hAnsi="Times New Roman" w:cs="Times New Roman"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5 ods. 1 a ods. 2 </w:t>
      </w:r>
      <w:r w:rsidRPr="00152A03">
        <w:rPr>
          <w:rFonts w:ascii="Times New Roman" w:hAnsi="Times New Roman" w:cs="Times New Roman"/>
          <w:sz w:val="24"/>
          <w:szCs w:val="24"/>
        </w:rPr>
        <w:t>zák. č. 166/2003 Z. z.</w:t>
      </w:r>
    </w:p>
    <w:p w:rsidR="00397798" w:rsidRPr="00152A03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Vojenské spravodajstvo </w:t>
      </w:r>
      <w:r w:rsidRPr="00152A03">
        <w:rPr>
          <w:rFonts w:ascii="Times New Roman" w:hAnsi="Times New Roman" w:cs="Times New Roman"/>
          <w:sz w:val="24"/>
          <w:szCs w:val="24"/>
        </w:rPr>
        <w:t xml:space="preserve">(VS) podalo celkovo </w:t>
      </w:r>
      <w:r w:rsidR="00152A03" w:rsidRPr="00152A03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Pr="0015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žiadostí o vydanie súhlasu na použitie ITP podľa </w:t>
      </w:r>
      <w:r w:rsidRPr="00152A03">
        <w:rPr>
          <w:rFonts w:ascii="Times New Roman" w:hAnsi="Times New Roman" w:cs="Times New Roman"/>
          <w:b/>
          <w:sz w:val="24"/>
          <w:szCs w:val="24"/>
        </w:rPr>
        <w:t xml:space="preserve">§ 4 ods. 1 </w:t>
      </w:r>
      <w:r w:rsidRPr="00152A03">
        <w:rPr>
          <w:rFonts w:ascii="Times New Roman" w:hAnsi="Times New Roman" w:cs="Times New Roman"/>
          <w:sz w:val="24"/>
          <w:szCs w:val="24"/>
        </w:rPr>
        <w:t xml:space="preserve">a </w:t>
      </w:r>
      <w:r w:rsidRPr="00152A03">
        <w:rPr>
          <w:rFonts w:ascii="Times New Roman" w:hAnsi="Times New Roman" w:cs="Times New Roman"/>
          <w:b/>
          <w:sz w:val="24"/>
          <w:szCs w:val="24"/>
        </w:rPr>
        <w:t>§ 4 ods. 2</w:t>
      </w:r>
      <w:r w:rsidRPr="00152A03">
        <w:rPr>
          <w:rFonts w:ascii="Times New Roman" w:hAnsi="Times New Roman" w:cs="Times New Roman"/>
          <w:sz w:val="24"/>
          <w:szCs w:val="24"/>
        </w:rPr>
        <w:t xml:space="preserve"> zák. č. 166/2003 Z. z. Príslušný súd vyhovel </w:t>
      </w:r>
      <w:r w:rsidRPr="00152A03">
        <w:rPr>
          <w:rFonts w:ascii="Times New Roman" w:hAnsi="Times New Roman" w:cs="Times New Roman"/>
          <w:b/>
          <w:sz w:val="24"/>
          <w:szCs w:val="24"/>
        </w:rPr>
        <w:t>7</w:t>
      </w:r>
      <w:r w:rsidR="00152A03" w:rsidRPr="00152A03">
        <w:rPr>
          <w:rFonts w:ascii="Times New Roman" w:hAnsi="Times New Roman" w:cs="Times New Roman"/>
          <w:b/>
          <w:sz w:val="24"/>
          <w:szCs w:val="24"/>
        </w:rPr>
        <w:t>5</w:t>
      </w:r>
      <w:r w:rsidRPr="0015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A03">
        <w:rPr>
          <w:rFonts w:ascii="Times New Roman" w:hAnsi="Times New Roman" w:cs="Times New Roman"/>
          <w:sz w:val="24"/>
          <w:szCs w:val="24"/>
        </w:rPr>
        <w:t xml:space="preserve">žiadostiam a súhlas vydal. </w:t>
      </w:r>
      <w:r w:rsidR="00152A03" w:rsidRPr="00152A03">
        <w:rPr>
          <w:rFonts w:ascii="Times New Roman" w:hAnsi="Times New Roman" w:cs="Times New Roman"/>
          <w:sz w:val="24"/>
          <w:szCs w:val="24"/>
        </w:rPr>
        <w:t>S</w:t>
      </w:r>
      <w:r w:rsidRPr="00152A03">
        <w:rPr>
          <w:rFonts w:ascii="Times New Roman" w:hAnsi="Times New Roman" w:cs="Times New Roman"/>
          <w:sz w:val="24"/>
          <w:szCs w:val="24"/>
        </w:rPr>
        <w:t>úd</w:t>
      </w:r>
      <w:r w:rsidR="00152A03" w:rsidRPr="00152A03">
        <w:rPr>
          <w:rFonts w:ascii="Times New Roman" w:hAnsi="Times New Roman" w:cs="Times New Roman"/>
          <w:sz w:val="24"/>
          <w:szCs w:val="24"/>
        </w:rPr>
        <w:t xml:space="preserve"> </w:t>
      </w:r>
      <w:r w:rsidR="00152A03" w:rsidRPr="00152A03">
        <w:rPr>
          <w:rFonts w:ascii="Times New Roman" w:hAnsi="Times New Roman" w:cs="Times New Roman"/>
          <w:b/>
          <w:sz w:val="24"/>
          <w:szCs w:val="24"/>
        </w:rPr>
        <w:t>1</w:t>
      </w:r>
      <w:r w:rsidR="00152A03" w:rsidRPr="00152A03">
        <w:rPr>
          <w:rFonts w:ascii="Times New Roman" w:hAnsi="Times New Roman" w:cs="Times New Roman"/>
          <w:sz w:val="24"/>
          <w:szCs w:val="24"/>
        </w:rPr>
        <w:t xml:space="preserve"> žiadosť </w:t>
      </w:r>
      <w:r w:rsidRPr="00152A03">
        <w:rPr>
          <w:rFonts w:ascii="Times New Roman" w:hAnsi="Times New Roman" w:cs="Times New Roman"/>
          <w:sz w:val="24"/>
          <w:szCs w:val="24"/>
        </w:rPr>
        <w:t>zamietol.</w:t>
      </w:r>
    </w:p>
    <w:p w:rsidR="00397798" w:rsidRPr="0031328C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1328C"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 w:rsidRPr="0031328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1328C">
        <w:rPr>
          <w:rFonts w:ascii="Times New Roman" w:hAnsi="Times New Roman" w:cs="Times New Roman"/>
          <w:sz w:val="24"/>
          <w:szCs w:val="24"/>
        </w:rPr>
        <w:t xml:space="preserve">. </w:t>
      </w:r>
      <w:r w:rsidRPr="003132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4 ods. 1 </w:t>
      </w:r>
      <w:r w:rsidRPr="0031328C">
        <w:rPr>
          <w:rFonts w:ascii="Times New Roman" w:hAnsi="Times New Roman" w:cs="Times New Roman"/>
          <w:sz w:val="24"/>
          <w:szCs w:val="24"/>
        </w:rPr>
        <w:t xml:space="preserve">zák. č. 166/2003 Z. z. podalo VS </w:t>
      </w:r>
      <w:r w:rsidR="00152A03" w:rsidRPr="0031328C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28C">
        <w:rPr>
          <w:rFonts w:ascii="Times New Roman" w:hAnsi="Times New Roman" w:cs="Times New Roman"/>
          <w:sz w:val="24"/>
          <w:szCs w:val="24"/>
        </w:rPr>
        <w:t xml:space="preserve">žiadostí. Súd vyhovel 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64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28C">
        <w:rPr>
          <w:rFonts w:ascii="Times New Roman" w:hAnsi="Times New Roman" w:cs="Times New Roman"/>
          <w:sz w:val="24"/>
          <w:szCs w:val="24"/>
        </w:rPr>
        <w:t xml:space="preserve">žiadostiam a súhlas na použitie ITP vydal. </w:t>
      </w:r>
      <w:r w:rsidR="00B264D7">
        <w:rPr>
          <w:rFonts w:ascii="Times New Roman" w:hAnsi="Times New Roman" w:cs="Times New Roman"/>
          <w:sz w:val="24"/>
          <w:szCs w:val="24"/>
        </w:rPr>
        <w:t>S</w:t>
      </w:r>
      <w:r w:rsidRPr="0031328C">
        <w:rPr>
          <w:rFonts w:ascii="Times New Roman" w:hAnsi="Times New Roman" w:cs="Times New Roman"/>
          <w:sz w:val="24"/>
          <w:szCs w:val="24"/>
        </w:rPr>
        <w:t>úd</w:t>
      </w:r>
      <w:r w:rsidR="00B264D7">
        <w:rPr>
          <w:rFonts w:ascii="Times New Roman" w:hAnsi="Times New Roman" w:cs="Times New Roman"/>
          <w:sz w:val="24"/>
          <w:szCs w:val="24"/>
        </w:rPr>
        <w:t xml:space="preserve"> </w:t>
      </w:r>
      <w:r w:rsidR="00B264D7" w:rsidRPr="00B264D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64D7">
        <w:rPr>
          <w:rFonts w:ascii="Times New Roman" w:hAnsi="Times New Roman" w:cs="Times New Roman"/>
          <w:sz w:val="24"/>
          <w:szCs w:val="24"/>
        </w:rPr>
        <w:t>žiadosť</w:t>
      </w:r>
      <w:r w:rsidRPr="0031328C">
        <w:rPr>
          <w:rFonts w:ascii="Times New Roman" w:hAnsi="Times New Roman" w:cs="Times New Roman"/>
          <w:sz w:val="24"/>
          <w:szCs w:val="24"/>
        </w:rPr>
        <w:t xml:space="preserve"> zamietol.</w:t>
      </w:r>
    </w:p>
    <w:p w:rsidR="00397798" w:rsidRPr="0031328C" w:rsidRDefault="00397798" w:rsidP="00397798">
      <w:pPr>
        <w:pStyle w:val="Bodytext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28C">
        <w:rPr>
          <w:rFonts w:ascii="Times New Roman" w:hAnsi="Times New Roman" w:cs="Times New Roman"/>
          <w:sz w:val="24"/>
          <w:szCs w:val="24"/>
        </w:rPr>
        <w:tab/>
        <w:t xml:space="preserve">Podľa </w:t>
      </w:r>
      <w:proofErr w:type="spellStart"/>
      <w:r w:rsidRPr="0031328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1328C">
        <w:rPr>
          <w:rFonts w:ascii="Times New Roman" w:hAnsi="Times New Roman" w:cs="Times New Roman"/>
          <w:sz w:val="24"/>
          <w:szCs w:val="24"/>
        </w:rPr>
        <w:t xml:space="preserve">. </w:t>
      </w:r>
      <w:r w:rsidRPr="0031328C">
        <w:rPr>
          <w:rFonts w:ascii="Times New Roman" w:hAnsi="Times New Roman" w:cs="Times New Roman"/>
          <w:b/>
          <w:sz w:val="24"/>
          <w:szCs w:val="24"/>
        </w:rPr>
        <w:t>§</w:t>
      </w:r>
      <w:r w:rsidRPr="0031328C">
        <w:rPr>
          <w:rFonts w:ascii="Times New Roman" w:hAnsi="Times New Roman" w:cs="Times New Roman"/>
          <w:sz w:val="24"/>
          <w:szCs w:val="24"/>
        </w:rPr>
        <w:t xml:space="preserve"> 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4 ods. 2 </w:t>
      </w:r>
      <w:r w:rsidRPr="0031328C">
        <w:rPr>
          <w:rFonts w:ascii="Times New Roman" w:hAnsi="Times New Roman" w:cs="Times New Roman"/>
          <w:sz w:val="24"/>
          <w:szCs w:val="24"/>
        </w:rPr>
        <w:t xml:space="preserve">zák. č. 166/2003 Z. z. podalo VS </w:t>
      </w:r>
      <w:r w:rsidR="0031328C" w:rsidRPr="0031328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28C">
        <w:rPr>
          <w:rFonts w:ascii="Times New Roman" w:hAnsi="Times New Roman" w:cs="Times New Roman"/>
          <w:sz w:val="24"/>
          <w:szCs w:val="24"/>
        </w:rPr>
        <w:t xml:space="preserve">žiadostí. Súd vyhovel </w:t>
      </w:r>
      <w:r w:rsidR="0031328C" w:rsidRPr="0031328C">
        <w:rPr>
          <w:rFonts w:ascii="Times New Roman" w:hAnsi="Times New Roman" w:cs="Times New Roman"/>
          <w:sz w:val="24"/>
          <w:szCs w:val="24"/>
        </w:rPr>
        <w:t xml:space="preserve">všetkým </w:t>
      </w:r>
      <w:r w:rsidR="0031328C" w:rsidRPr="0031328C">
        <w:rPr>
          <w:rFonts w:ascii="Times New Roman" w:hAnsi="Times New Roman" w:cs="Times New Roman"/>
          <w:b/>
          <w:sz w:val="24"/>
          <w:szCs w:val="24"/>
        </w:rPr>
        <w:t>29</w:t>
      </w:r>
      <w:r w:rsidRPr="0031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28C">
        <w:rPr>
          <w:rFonts w:ascii="Times New Roman" w:hAnsi="Times New Roman" w:cs="Times New Roman"/>
          <w:sz w:val="24"/>
          <w:szCs w:val="24"/>
        </w:rPr>
        <w:t xml:space="preserve">žiadostiam a súhlas na použitie ITP vydal. </w:t>
      </w:r>
      <w:r w:rsidR="0031328C" w:rsidRPr="0031328C">
        <w:rPr>
          <w:rFonts w:ascii="Times New Roman" w:hAnsi="Times New Roman" w:cs="Times New Roman"/>
          <w:sz w:val="24"/>
          <w:szCs w:val="24"/>
        </w:rPr>
        <w:t>Ani jednu žiadosť súd ne</w:t>
      </w:r>
      <w:r w:rsidRPr="0031328C">
        <w:rPr>
          <w:rFonts w:ascii="Times New Roman" w:hAnsi="Times New Roman" w:cs="Times New Roman"/>
          <w:sz w:val="24"/>
          <w:szCs w:val="24"/>
        </w:rPr>
        <w:t>zamietol.</w:t>
      </w:r>
    </w:p>
    <w:p w:rsidR="00397798" w:rsidRPr="0031328C" w:rsidRDefault="00397798" w:rsidP="00397798">
      <w:pPr>
        <w:pStyle w:val="Bodytext10"/>
        <w:spacing w:after="3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1328C">
        <w:rPr>
          <w:rFonts w:ascii="Times New Roman" w:hAnsi="Times New Roman" w:cs="Times New Roman"/>
          <w:sz w:val="24"/>
          <w:szCs w:val="24"/>
        </w:rPr>
        <w:t>K dosiahnutiu zákonom uznaného účelu a cieľa súdy informácie poskytnúť nevedeli.</w:t>
      </w:r>
    </w:p>
    <w:p w:rsidR="0031328C" w:rsidRPr="00692DC0" w:rsidRDefault="00397798" w:rsidP="00397798">
      <w:pPr>
        <w:pStyle w:val="Bodytext10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1328C">
        <w:rPr>
          <w:rFonts w:ascii="Times New Roman" w:hAnsi="Times New Roman" w:cs="Times New Roman"/>
          <w:sz w:val="24"/>
          <w:szCs w:val="24"/>
        </w:rPr>
        <w:t xml:space="preserve">Nakoľko podľa </w:t>
      </w:r>
      <w:r w:rsidRPr="0031328C">
        <w:rPr>
          <w:rFonts w:ascii="Times New Roman" w:hAnsi="Times New Roman" w:cs="Times New Roman"/>
          <w:b/>
          <w:sz w:val="24"/>
          <w:szCs w:val="24"/>
        </w:rPr>
        <w:t>§ 6 ods. 2</w:t>
      </w:r>
      <w:r w:rsidRPr="0031328C">
        <w:rPr>
          <w:rFonts w:ascii="Times New Roman" w:hAnsi="Times New Roman" w:cs="Times New Roman"/>
          <w:sz w:val="24"/>
          <w:szCs w:val="24"/>
        </w:rPr>
        <w:t xml:space="preserve"> zák. č. 166/2003 Z. z. je orgán štátu povinný informovať zákonného sudcu len o skončení použitia ITP, príslušné súdy vo svojich podkladoch zhodne uviedli, že nemajú vedomosť o dosiahnutí zákonom uznaného účelu a cieľa.</w:t>
      </w: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97798" w:rsidRPr="0031328C" w:rsidRDefault="00397798" w:rsidP="00397798">
      <w:pPr>
        <w:pStyle w:val="Bodytext10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28C">
        <w:rPr>
          <w:rFonts w:ascii="Times New Roman" w:hAnsi="Times New Roman" w:cs="Times New Roman"/>
          <w:sz w:val="24"/>
          <w:szCs w:val="24"/>
        </w:rPr>
        <w:lastRenderedPageBreak/>
        <w:t>Súčasne všetky súdy nemajú ani poznatky o tom, či informácie získané použitím ITP boli použité ako dôkaz v trestnom konaní.</w:t>
      </w:r>
    </w:p>
    <w:p w:rsidR="00397798" w:rsidRPr="0031328C" w:rsidRDefault="00397798" w:rsidP="00397798">
      <w:pPr>
        <w:pStyle w:val="Bodytext10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7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1328C">
        <w:rPr>
          <w:rFonts w:ascii="Times New Roman" w:hAnsi="Times New Roman" w:cs="Times New Roman"/>
          <w:sz w:val="24"/>
          <w:szCs w:val="24"/>
        </w:rPr>
        <w:t xml:space="preserve">Spätná väzba od orgánov štátu oprávnených podávať žiadosti v zmysle </w:t>
      </w:r>
      <w:r w:rsidRPr="0031328C">
        <w:rPr>
          <w:rFonts w:ascii="Times New Roman" w:hAnsi="Times New Roman" w:cs="Times New Roman"/>
          <w:b/>
          <w:sz w:val="24"/>
          <w:szCs w:val="24"/>
        </w:rPr>
        <w:t>§ 2 ods. 2</w:t>
      </w:r>
      <w:r w:rsidRPr="0031328C">
        <w:rPr>
          <w:rFonts w:ascii="Times New Roman" w:hAnsi="Times New Roman" w:cs="Times New Roman"/>
          <w:sz w:val="24"/>
          <w:szCs w:val="24"/>
        </w:rPr>
        <w:t xml:space="preserve"> zák. č. 166/2003 Z. z. v tomto smere neexistuje, súdy preto takúto evidenciu nevedú. Takáto evidencia by nebola ani spoľahlivá, nakoľko dochádza aj k prípadom, kedy prokurátor podá obžalobu na súd mimo obvodu krajského súdu, ktorý vydal súhlas na použitie ITP.</w:t>
      </w:r>
    </w:p>
    <w:p w:rsidR="00397798" w:rsidRPr="0031328C" w:rsidRDefault="00397798" w:rsidP="00397798">
      <w:pPr>
        <w:pStyle w:val="Bodytext1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28C">
        <w:rPr>
          <w:rFonts w:ascii="Times New Roman" w:hAnsi="Times New Roman" w:cs="Times New Roman"/>
          <w:sz w:val="24"/>
          <w:szCs w:val="24"/>
        </w:rPr>
        <w:tab/>
        <w:t xml:space="preserve">Súdy príslušné na rozhodovanie o žiadostiach na použitie ITP </w:t>
      </w:r>
      <w:r w:rsidRPr="0031328C">
        <w:rPr>
          <w:rFonts w:ascii="Times New Roman" w:hAnsi="Times New Roman" w:cs="Times New Roman"/>
          <w:b/>
          <w:sz w:val="24"/>
          <w:szCs w:val="24"/>
        </w:rPr>
        <w:t>nezistili</w:t>
      </w:r>
      <w:r w:rsidRPr="0031328C">
        <w:rPr>
          <w:rFonts w:ascii="Times New Roman" w:hAnsi="Times New Roman" w:cs="Times New Roman"/>
          <w:sz w:val="24"/>
          <w:szCs w:val="24"/>
        </w:rPr>
        <w:t xml:space="preserve"> v roku 202</w:t>
      </w:r>
      <w:r w:rsidR="0031328C">
        <w:rPr>
          <w:rFonts w:ascii="Times New Roman" w:hAnsi="Times New Roman" w:cs="Times New Roman"/>
          <w:sz w:val="24"/>
          <w:szCs w:val="24"/>
        </w:rPr>
        <w:t>2</w:t>
      </w:r>
      <w:r w:rsidRPr="0031328C">
        <w:rPr>
          <w:rFonts w:ascii="Times New Roman" w:hAnsi="Times New Roman" w:cs="Times New Roman"/>
          <w:sz w:val="24"/>
          <w:szCs w:val="24"/>
        </w:rPr>
        <w:t xml:space="preserve"> nezákonné použitie ITP.</w:t>
      </w:r>
    </w:p>
    <w:p w:rsidR="00397798" w:rsidRPr="0031328C" w:rsidRDefault="00397798" w:rsidP="0039779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798" w:rsidRPr="00677874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ind w:firstLine="360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  <w:color w:val="FF0000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Georgia" w:eastAsia="Times New Roman" w:hAnsi="Georgia" w:cs="Times New Roman"/>
        </w:rPr>
      </w:pPr>
    </w:p>
    <w:p w:rsidR="00397798" w:rsidRDefault="00397798" w:rsidP="003977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798" w:rsidRDefault="00397798" w:rsidP="00397798">
      <w:pPr>
        <w:keepNext/>
        <w:spacing w:before="40" w:after="40" w:line="240" w:lineRule="auto"/>
        <w:jc w:val="center"/>
        <w:outlineLvl w:val="3"/>
        <w:rPr>
          <w:rFonts w:ascii="Arial" w:eastAsia="Times New Roman" w:hAnsi="Arial" w:cs="Times New Roman"/>
          <w:b/>
          <w:color w:val="FF0000"/>
          <w:sz w:val="24"/>
          <w:szCs w:val="20"/>
          <w:lang w:eastAsia="sk-SK"/>
        </w:rPr>
      </w:pPr>
    </w:p>
    <w:p w:rsidR="00397798" w:rsidRDefault="00397798" w:rsidP="00397798">
      <w:pPr>
        <w:keepNext/>
        <w:spacing w:before="40" w:after="40" w:line="240" w:lineRule="auto"/>
        <w:jc w:val="center"/>
        <w:outlineLvl w:val="3"/>
        <w:rPr>
          <w:rFonts w:ascii="Arial" w:eastAsia="Times New Roman" w:hAnsi="Arial" w:cs="Times New Roman"/>
          <w:b/>
          <w:color w:val="FF0000"/>
          <w:sz w:val="24"/>
          <w:szCs w:val="20"/>
          <w:lang w:eastAsia="sk-SK"/>
        </w:rPr>
      </w:pPr>
    </w:p>
    <w:p w:rsidR="00397798" w:rsidRDefault="00397798" w:rsidP="00397798">
      <w:pPr>
        <w:keepNext/>
        <w:spacing w:before="40" w:after="4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rPr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hAnsi="Times New Roman" w:cs="Times New Roman"/>
          <w:b/>
          <w:sz w:val="36"/>
          <w:szCs w:val="36"/>
          <w:lang w:eastAsia="sk-SK"/>
        </w:rPr>
        <w:t>Návrh</w:t>
      </w: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sk-SK"/>
        </w:rPr>
        <w:t>UZNESENIE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  <w:lang w:eastAsia="sk-SK"/>
        </w:rPr>
        <w:t>NÁRODNEJ RADY SLOVENSKEJ REPUBLIKY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  <w:lang w:eastAsia="sk-SK"/>
        </w:rPr>
        <w:t>z .......... 202</w:t>
      </w:r>
      <w:r w:rsidR="00677874">
        <w:rPr>
          <w:rFonts w:ascii="Times New Roman" w:hAnsi="Times New Roman" w:cs="Times New Roman"/>
          <w:sz w:val="28"/>
          <w:szCs w:val="28"/>
          <w:lang w:eastAsia="sk-SK"/>
        </w:rPr>
        <w:t>3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>k S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práve Osobitného kontrolného výboru Národnej rady Slovenskej republiky na kontrolu činnosti Vojenského spravodajstva o stave použitia informačno-technických prostriedkov za rok 202</w:t>
      </w:r>
      <w:r w:rsidR="00677874">
        <w:rPr>
          <w:rFonts w:ascii="Times New Roman" w:hAnsi="Times New Roman" w:cs="Times New Roman"/>
          <w:bCs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(tlač </w:t>
      </w:r>
      <w:r w:rsidR="0067787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1425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)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Národná rada Slovenskej republiky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eastAsia="sk-SK"/>
        </w:rPr>
        <w:t>berie  na vedomie</w:t>
      </w: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>Spr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ávu Osobitného kontrolného výboru Národnej rady Slovenskej republiky na kontrolu činnosti Vojenského spravodajstva o stave použitia informačno-technických prostriedkov za rok 202</w:t>
      </w:r>
      <w:r w:rsidR="00677874">
        <w:rPr>
          <w:rFonts w:ascii="Times New Roman" w:hAnsi="Times New Roman" w:cs="Times New Roman"/>
          <w:bCs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(tlač </w:t>
      </w:r>
      <w:r w:rsidR="0067787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1425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)</w:t>
      </w: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397798" w:rsidRDefault="00397798" w:rsidP="0039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7798" w:rsidRDefault="00397798" w:rsidP="00397798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:rsidR="00397798" w:rsidRDefault="00397798" w:rsidP="00397798"/>
    <w:p w:rsidR="00DF7F37" w:rsidRDefault="00DF7F37"/>
    <w:sectPr w:rsidR="00DF7F37" w:rsidSect="00692DC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98" w:rsidRDefault="00397798" w:rsidP="00397798">
      <w:pPr>
        <w:spacing w:after="0" w:line="240" w:lineRule="auto"/>
      </w:pPr>
      <w:r>
        <w:separator/>
      </w:r>
    </w:p>
  </w:endnote>
  <w:endnote w:type="continuationSeparator" w:id="0">
    <w:p w:rsidR="00397798" w:rsidRDefault="00397798" w:rsidP="0039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98" w:rsidRDefault="00397798" w:rsidP="00397798">
      <w:pPr>
        <w:spacing w:after="0" w:line="240" w:lineRule="auto"/>
      </w:pPr>
      <w:r>
        <w:separator/>
      </w:r>
    </w:p>
  </w:footnote>
  <w:footnote w:type="continuationSeparator" w:id="0">
    <w:p w:rsidR="00397798" w:rsidRDefault="00397798" w:rsidP="00397798">
      <w:pPr>
        <w:spacing w:after="0" w:line="240" w:lineRule="auto"/>
      </w:pPr>
      <w:r>
        <w:continuationSeparator/>
      </w:r>
    </w:p>
  </w:footnote>
  <w:footnote w:id="1">
    <w:p w:rsidR="00692DC0" w:rsidRPr="00692DC0" w:rsidRDefault="00692DC0" w:rsidP="00692DC0">
      <w:pPr>
        <w:pStyle w:val="Bodytext1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92DC0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692DC0">
        <w:rPr>
          <w:rFonts w:ascii="Times New Roman" w:hAnsi="Times New Roman" w:cs="Times New Roman"/>
          <w:sz w:val="20"/>
          <w:szCs w:val="20"/>
        </w:rPr>
        <w:t xml:space="preserve"> </w:t>
      </w:r>
      <w:r w:rsidRPr="00692DC0">
        <w:rPr>
          <w:rFonts w:ascii="Times New Roman" w:hAnsi="Times New Roman" w:cs="Times New Roman"/>
          <w:sz w:val="20"/>
          <w:szCs w:val="20"/>
        </w:rPr>
        <w:t>Sú stále aktuálne alebo im plynie 30-dňová lehota na ich vyhodnotenie po ukončení.</w:t>
      </w:r>
    </w:p>
    <w:p w:rsidR="00692DC0" w:rsidRDefault="00692DC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EE4"/>
    <w:multiLevelType w:val="multilevel"/>
    <w:tmpl w:val="889C56A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F5"/>
    <w:rsid w:val="00152A03"/>
    <w:rsid w:val="0031328C"/>
    <w:rsid w:val="00397798"/>
    <w:rsid w:val="00660A62"/>
    <w:rsid w:val="00677874"/>
    <w:rsid w:val="00692DC0"/>
    <w:rsid w:val="006A2CC4"/>
    <w:rsid w:val="00B264D7"/>
    <w:rsid w:val="00DF7F37"/>
    <w:rsid w:val="00F348F5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F743"/>
  <w15:chartTrackingRefBased/>
  <w15:docId w15:val="{6A3C235A-7546-4CDB-9287-0ECDAA5D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79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77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97798"/>
    <w:pPr>
      <w:tabs>
        <w:tab w:val="left" w:pos="368"/>
      </w:tabs>
      <w:spacing w:after="0" w:line="240" w:lineRule="auto"/>
      <w:ind w:left="368" w:hanging="368"/>
      <w:jc w:val="both"/>
    </w:pPr>
    <w:rPr>
      <w:rFonts w:ascii="Garamond" w:eastAsia="Times New Roman" w:hAnsi="Garamond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97798"/>
    <w:rPr>
      <w:rFonts w:ascii="Garamond" w:eastAsia="Times New Roman" w:hAnsi="Garamond" w:cs="Times New Roman"/>
      <w:sz w:val="28"/>
      <w:szCs w:val="20"/>
      <w:lang w:eastAsia="cs-CZ"/>
    </w:rPr>
  </w:style>
  <w:style w:type="paragraph" w:styleId="Bezriadkovania">
    <w:name w:val="No Spacing"/>
    <w:uiPriority w:val="1"/>
    <w:qFormat/>
    <w:rsid w:val="00397798"/>
    <w:pPr>
      <w:spacing w:after="0" w:line="240" w:lineRule="auto"/>
    </w:pPr>
  </w:style>
  <w:style w:type="character" w:customStyle="1" w:styleId="Bodytext1">
    <w:name w:val="Body text|1_"/>
    <w:basedOn w:val="Predvolenpsmoodseku"/>
    <w:link w:val="Bodytext10"/>
    <w:locked/>
    <w:rsid w:val="00397798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y"/>
    <w:link w:val="Bodytext1"/>
    <w:rsid w:val="00397798"/>
    <w:pPr>
      <w:widowControl w:val="0"/>
      <w:spacing w:after="280" w:line="338" w:lineRule="auto"/>
    </w:pPr>
    <w:rPr>
      <w:rFonts w:ascii="Arial" w:eastAsia="Arial" w:hAnsi="Arial" w:cs="Arial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7798"/>
    <w:rPr>
      <w:vertAlign w:val="superscript"/>
    </w:rPr>
  </w:style>
  <w:style w:type="character" w:customStyle="1" w:styleId="Bodytext2">
    <w:name w:val="Body text|2_"/>
    <w:basedOn w:val="Predvolenpsmoodseku"/>
    <w:link w:val="Bodytext20"/>
    <w:locked/>
    <w:rsid w:val="00677874"/>
  </w:style>
  <w:style w:type="paragraph" w:customStyle="1" w:styleId="Bodytext20">
    <w:name w:val="Body text|2"/>
    <w:basedOn w:val="Normlny"/>
    <w:link w:val="Bodytext2"/>
    <w:rsid w:val="00677874"/>
    <w:pPr>
      <w:widowControl w:val="0"/>
      <w:spacing w:after="0"/>
      <w:ind w:left="420" w:hanging="420"/>
    </w:pPr>
  </w:style>
  <w:style w:type="character" w:customStyle="1" w:styleId="Other1">
    <w:name w:val="Other|1_"/>
    <w:basedOn w:val="Predvolenpsmoodseku"/>
    <w:link w:val="Other10"/>
    <w:locked/>
    <w:rsid w:val="00677874"/>
    <w:rPr>
      <w:sz w:val="26"/>
      <w:szCs w:val="26"/>
    </w:rPr>
  </w:style>
  <w:style w:type="paragraph" w:customStyle="1" w:styleId="Other10">
    <w:name w:val="Other|1"/>
    <w:basedOn w:val="Normlny"/>
    <w:link w:val="Other1"/>
    <w:rsid w:val="00677874"/>
    <w:pPr>
      <w:widowControl w:val="0"/>
      <w:spacing w:after="100" w:line="288" w:lineRule="auto"/>
      <w:ind w:firstLine="400"/>
    </w:pPr>
    <w:rPr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87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9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DC0"/>
  </w:style>
  <w:style w:type="paragraph" w:styleId="Pta">
    <w:name w:val="footer"/>
    <w:basedOn w:val="Normlny"/>
    <w:link w:val="PtaChar"/>
    <w:uiPriority w:val="99"/>
    <w:unhideWhenUsed/>
    <w:rsid w:val="0069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6C27-C038-40BA-9B04-6CB19F78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8</cp:revision>
  <cp:lastPrinted>2023-01-26T10:11:00Z</cp:lastPrinted>
  <dcterms:created xsi:type="dcterms:W3CDTF">2023-01-26T10:03:00Z</dcterms:created>
  <dcterms:modified xsi:type="dcterms:W3CDTF">2023-02-07T12:38:00Z</dcterms:modified>
</cp:coreProperties>
</file>