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8F7C9" w14:textId="77777777" w:rsidR="00953E2A" w:rsidRPr="004E1E66" w:rsidRDefault="00953E2A" w:rsidP="00953E2A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0086A2A1" w14:textId="77777777" w:rsidR="00953E2A" w:rsidRDefault="00953E2A" w:rsidP="00953E2A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A.  Všeobecná časť</w:t>
      </w:r>
    </w:p>
    <w:p w14:paraId="4819AE57" w14:textId="77777777" w:rsidR="00953E2A" w:rsidRDefault="00953E2A" w:rsidP="00953E2A">
      <w:pPr>
        <w:widowControl/>
        <w:autoSpaceDE/>
        <w:autoSpaceDN/>
        <w:spacing w:after="200" w:line="276" w:lineRule="auto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</w:p>
    <w:p w14:paraId="0BA2425B" w14:textId="1580BCC2" w:rsidR="00025132" w:rsidRPr="00025132" w:rsidRDefault="0002513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2513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Návrh zákona, ktorým sa mení a dopĺňa zákon Národnej rady Slovenskej republiky </w:t>
      </w:r>
      <w:r w:rsidR="000B17EA" w:rsidRPr="000B17E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č.  595/2003 Z. z. o dani z príjmov a o zmene a doplnení niektorých zákonov</w:t>
      </w:r>
      <w:r w:rsidRPr="0002513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(ďalej len „návrh zákona“) predkladá do legislatívneho procesu skupina poslancov Národnej rady Slovenskej republiky. </w:t>
      </w:r>
      <w:r w:rsidRPr="00071C8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Cieľom navrhovateľov </w:t>
      </w:r>
      <w:r w:rsidR="00071C8E" w:rsidRPr="00071C8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 ochrana ekonomických a sociálnych záujmov </w:t>
      </w:r>
      <w:r w:rsidR="00360E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rodičov</w:t>
      </w:r>
      <w:r w:rsidR="00071C8E" w:rsidRPr="00071C8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starajúcich sa o neplnoleté deti</w:t>
      </w:r>
      <w:r w:rsidRPr="00071C8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 w:rsidR="000B17EA" w:rsidRPr="000B17EA">
        <w:rPr>
          <w:rFonts w:ascii="Book Antiqua" w:hAnsi="Book Antiqua" w:cs="Arial"/>
          <w:color w:val="000000"/>
          <w:kern w:val="0"/>
          <w:sz w:val="22"/>
          <w:szCs w:val="22"/>
          <w:highlight w:val="yellow"/>
          <w:lang w:bidi="ar-SA"/>
        </w:rPr>
        <w:t xml:space="preserve"> </w:t>
      </w:r>
    </w:p>
    <w:p w14:paraId="2CF3622F" w14:textId="77777777" w:rsidR="00025132" w:rsidRPr="00025132" w:rsidRDefault="0002513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3EDBB1C8" w14:textId="023944F7" w:rsidR="00071C8E" w:rsidRDefault="00071C8E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Národná rada Slovenskej republiky schválila dňa 6.12.2022 zákon č. 496/2022 Z. z. ktorým sa mení a dopĺňa zákon č. 595/2003 Z. z. o dani z</w:t>
      </w:r>
      <w:r w:rsidR="006D1E0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príjmov</w:t>
      </w:r>
      <w:r w:rsidR="006D1E0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(ďalej len „zákon o dani z príjmov)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 znení neskorších predpisov a ktorým sa menia a dopĺňajú niektoré zákony.  </w:t>
      </w:r>
      <w:r w:rsidR="006D1E0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Uvedeným zákonom sa doplnilo do zákona o dani z príjmov ustanovenie § 52zzp, ktorým sa na prechodné obdobie, t.j. od 1.1.2023 do 31.12.2024</w:t>
      </w:r>
      <w:r w:rsidR="00360E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="006D1E0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zvýšila suma daňového bonusu na sumu 140EUR, a to za každé vyživované dieťa, ktoré nedovŕšilo 18 rokov veku</w:t>
      </w:r>
      <w:r w:rsidR="00360E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života</w:t>
      </w:r>
      <w:r w:rsidR="006D1E0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 </w:t>
      </w:r>
    </w:p>
    <w:p w14:paraId="0DF2950D" w14:textId="1E206803" w:rsidR="00071C8E" w:rsidRDefault="00071C8E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5C42F874" w14:textId="47B7A2FA" w:rsidR="006D1E02" w:rsidRDefault="006D1E0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Ohraničenie doby, počas ktorej si rodičia neplnoletých detí, ktoré nedovŕšili 18ty rok veku života, môžu uplatniť zvýšený daňový bonus, bolo z dôvodu posunu účinnosti zákona č. 232/2022 Z. z. o financovaní voľného času dieťaťa a o zmene a doplnení niektorých zákonov a ktorým sa menia a dopĺňajú niektoré zákony. </w:t>
      </w:r>
    </w:p>
    <w:p w14:paraId="6AF421D1" w14:textId="32C23654" w:rsidR="006D1E02" w:rsidRDefault="006D1E0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5FAB0177" w14:textId="1DC92B28" w:rsidR="006D1E02" w:rsidRDefault="006D1E0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súčasnosti s</w:t>
      </w:r>
      <w:r w:rsidR="00337CB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občania Slovenskej republiky </w:t>
      </w:r>
      <w:r w:rsidR="00337CB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musia vysporiadať s množstvom ekonomických problémov, ktoré vyplývajú z vysokej miery inflácie, ktorej výška v decembri 2022 bola nad 15% ako aj vysokému nárastu cien energií. Najvýraznejšie sa zdražovanie premietlo do cien potravín, ktoré v porovnaní s decembrom 2022  zdraželi o viac ako 28%.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14:paraId="2251DC22" w14:textId="3976B881" w:rsidR="006D1E02" w:rsidRDefault="006D1E0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46874491" w14:textId="15A86B3D" w:rsidR="006D1E02" w:rsidRDefault="00337CBB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Nakoľko na vysokú infláciu, ktorá dosahuje dvojcifernú úroveň</w:t>
      </w:r>
      <w:r w:rsidR="00360E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vplývajú vysoké ceny energií</w:t>
      </w:r>
      <w:r w:rsidR="00360E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ako aj vývoj vojny na Ukrajine, nízka úroveň inflácie v eurozóne vo výške okolo 2% je v nedohľadne. Z uvedeného dôvodu sa očakáva nárast cien aj počas nasledujúcich rokov. Zníženie čistého príjmu rodičom s deťmi by tak mohlo spôsobiť, že mnohé rodiny by sa tak mohli ocitnúť na hranici chudoby a mohli by mať existenčné problémy. </w:t>
      </w:r>
    </w:p>
    <w:p w14:paraId="7926CED6" w14:textId="60D9EA1E" w:rsidR="00360E69" w:rsidRDefault="00360E69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22F75CD6" w14:textId="79291293" w:rsidR="00360E69" w:rsidRDefault="00360E69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Zachovaním súčasnej výšky daňového bonusu zachováme ekonomickú a sociálnu istotu rodičov a zároveň odstránime budúcu neistotu plynúcu zo zníženého príjmu v kontraste s neustále sa zvyšujúcimi cenami </w:t>
      </w:r>
      <w:r w:rsidR="00BC262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najmä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energií a potravín. </w:t>
      </w:r>
    </w:p>
    <w:p w14:paraId="043A38F3" w14:textId="248422E3" w:rsidR="006D1E02" w:rsidRDefault="006D1E0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7C3B1D07" w14:textId="5C3243F2" w:rsidR="00BC262F" w:rsidRDefault="00BC262F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Zachovanie daňového bonusu vo výške 140EUR na neplnoleté deti, ktoré nedovŕšili 18ty rok veku života zároveň navrhujeme súčasne so zrušením tzv. „krúžkovného“. Máme za to, že v súčasnej dobe </w:t>
      </w:r>
      <w:r w:rsidR="0075675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 dôležitejšie zachovať vyššie príjmy niektorým skupinám obyvateľov na zabezpečenie ich základných životných potrieb 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nie je správne znižovať </w:t>
      </w:r>
      <w:r w:rsidR="0075675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ich čistý príjem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úkor tzv. krúžkovného. </w:t>
      </w:r>
    </w:p>
    <w:p w14:paraId="66DD04A0" w14:textId="77777777" w:rsidR="00BC262F" w:rsidRDefault="00BC262F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477D6387" w14:textId="6FC77362" w:rsidR="00025132" w:rsidRPr="00025132" w:rsidRDefault="0002513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2513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Návrh zákona je v súlade s Ústavou Slovenskej republiky, s inými zákonmi, medzinárodnými zmluvami a s právom Európskej únie. </w:t>
      </w:r>
    </w:p>
    <w:p w14:paraId="5C9AEFBC" w14:textId="77777777" w:rsidR="00025132" w:rsidRPr="00025132" w:rsidRDefault="0002513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3060012B" w14:textId="602A94CA" w:rsidR="00025132" w:rsidRPr="00025132" w:rsidRDefault="00025132" w:rsidP="00025132">
      <w:pPr>
        <w:widowControl/>
        <w:suppressAutoHyphens w:val="0"/>
        <w:autoSpaceDE/>
        <w:autoSpaceDN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2513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Návrh zákona nebude mať vplyv na rozpočet verejnej správy. </w:t>
      </w:r>
    </w:p>
    <w:p w14:paraId="17DDB9B1" w14:textId="77777777" w:rsidR="00953E2A" w:rsidRPr="00025132" w:rsidRDefault="00953E2A" w:rsidP="00953E2A">
      <w:pPr>
        <w:widowControl/>
        <w:autoSpaceDE/>
        <w:autoSpaceDN/>
        <w:spacing w:after="200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30296A22" w14:textId="77777777" w:rsidR="00953E2A" w:rsidRDefault="00953E2A" w:rsidP="00953E2A">
      <w:pPr>
        <w:widowControl/>
        <w:autoSpaceDE/>
        <w:autoSpaceDN/>
        <w:spacing w:after="200"/>
        <w:ind w:firstLine="270"/>
        <w:jc w:val="both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</w:p>
    <w:p w14:paraId="3FD961FC" w14:textId="77777777" w:rsidR="00953E2A" w:rsidRDefault="00953E2A" w:rsidP="00953E2A">
      <w:pPr>
        <w:widowControl/>
        <w:autoSpaceDE/>
        <w:autoSpaceDN/>
        <w:spacing w:after="200"/>
        <w:ind w:firstLine="270"/>
        <w:jc w:val="both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</w:p>
    <w:p w14:paraId="40016F8B" w14:textId="77777777" w:rsidR="00953E2A" w:rsidRDefault="00953E2A" w:rsidP="00953E2A">
      <w:pPr>
        <w:pStyle w:val="Odsekzoznamu"/>
        <w:widowControl/>
        <w:autoSpaceDE/>
        <w:autoSpaceDN/>
        <w:spacing w:after="200" w:line="276" w:lineRule="auto"/>
        <w:ind w:left="284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 xml:space="preserve">B. </w:t>
      </w:r>
      <w:r w:rsidRPr="000F7591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14:paraId="1220FB7E" w14:textId="77777777" w:rsidR="00953E2A" w:rsidRDefault="00953E2A" w:rsidP="00953E2A">
      <w:pPr>
        <w:pStyle w:val="Odsekzoznamu"/>
        <w:widowControl/>
        <w:autoSpaceDE/>
        <w:autoSpaceDN/>
        <w:spacing w:after="200" w:line="276" w:lineRule="auto"/>
        <w:ind w:left="284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14:paraId="165CDC01" w14:textId="77777777" w:rsidR="00953E2A" w:rsidRDefault="00953E2A" w:rsidP="00953E2A">
      <w:pPr>
        <w:pStyle w:val="Odsekzoznamu"/>
        <w:widowControl/>
        <w:autoSpaceDE/>
        <w:autoSpaceDN/>
        <w:spacing w:after="200" w:line="276" w:lineRule="auto"/>
        <w:ind w:left="284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14:paraId="0370D3EE" w14:textId="77777777" w:rsidR="00953E2A" w:rsidRPr="00416D2B" w:rsidRDefault="00953E2A" w:rsidP="0075675F">
      <w:pPr>
        <w:widowControl/>
        <w:autoSpaceDE/>
        <w:autoSpaceDN/>
        <w:spacing w:after="200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16D2B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K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článku 1</w:t>
      </w:r>
    </w:p>
    <w:p w14:paraId="6CC2C157" w14:textId="77777777" w:rsidR="0075675F" w:rsidRPr="0075675F" w:rsidRDefault="0075675F" w:rsidP="00953E2A">
      <w:pPr>
        <w:pStyle w:val="Odsekzoznamu"/>
        <w:widowControl/>
        <w:autoSpaceDE/>
        <w:autoSpaceDN/>
        <w:spacing w:after="200" w:line="276" w:lineRule="auto"/>
        <w:ind w:left="284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75675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Bod. 1 </w:t>
      </w:r>
    </w:p>
    <w:p w14:paraId="14FCC3A1" w14:textId="77777777" w:rsidR="0075675F" w:rsidRDefault="0075675F" w:rsidP="00953E2A">
      <w:pPr>
        <w:pStyle w:val="Odsekzoznamu"/>
        <w:widowControl/>
        <w:autoSpaceDE/>
        <w:autoSpaceDN/>
        <w:spacing w:after="200" w:line="276" w:lineRule="auto"/>
        <w:ind w:left="284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7B7D7D98" w14:textId="25393BF0" w:rsidR="00953E2A" w:rsidRPr="009F6924" w:rsidRDefault="0075675F" w:rsidP="00953E2A">
      <w:pPr>
        <w:pStyle w:val="Odsekzoznamu"/>
        <w:widowControl/>
        <w:autoSpaceDE/>
        <w:autoSpaceDN/>
        <w:spacing w:after="200" w:line="276" w:lineRule="auto"/>
        <w:ind w:left="284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Zvyšuje sa výška veku života vyživovaného dieťaťa z 15r. na 18r, na ktoré je daňovník oprávnený uplatniť si nižšiu sumu daňového bonusu vo výške 50EUR mesačne. </w:t>
      </w:r>
    </w:p>
    <w:p w14:paraId="56AD49F4" w14:textId="70F00B23" w:rsidR="0075675F" w:rsidRDefault="0075675F" w:rsidP="00953E2A">
      <w:pPr>
        <w:widowControl/>
        <w:autoSpaceDE/>
        <w:autoSpaceDN/>
        <w:spacing w:after="200"/>
        <w:ind w:firstLine="284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14:paraId="43E82DA8" w14:textId="2A129594" w:rsidR="0075675F" w:rsidRDefault="0075675F" w:rsidP="00953E2A">
      <w:pPr>
        <w:widowControl/>
        <w:autoSpaceDE/>
        <w:autoSpaceDN/>
        <w:spacing w:after="200"/>
        <w:ind w:firstLine="284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Bod. 2.</w:t>
      </w:r>
    </w:p>
    <w:p w14:paraId="26011487" w14:textId="7793822E" w:rsidR="0075675F" w:rsidRPr="0075675F" w:rsidRDefault="0075675F" w:rsidP="00734FCB">
      <w:pPr>
        <w:widowControl/>
        <w:autoSpaceDE/>
        <w:autoSpaceDN/>
        <w:spacing w:after="200"/>
        <w:ind w:left="284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75675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Zvyšuje sa výška daňového bonusu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zo sumy 100EUR mesačne na sumu 140EUR mesačne a zároveň sa zvyšuje vek vyživovaného dieťaťa, na ktoré je daňovník oprávnený uplatniť si vyššiu sumu daňového bonusu vo výške 140EUR z 15teho roku života vyživovaného dieťaťa na 18ty rok veku dieťaťa.  </w:t>
      </w:r>
    </w:p>
    <w:p w14:paraId="1AF61FDD" w14:textId="77777777" w:rsidR="0075675F" w:rsidRDefault="0075675F" w:rsidP="00953E2A">
      <w:pPr>
        <w:widowControl/>
        <w:autoSpaceDE/>
        <w:autoSpaceDN/>
        <w:spacing w:after="200"/>
        <w:ind w:firstLine="284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14:paraId="18482376" w14:textId="4AB19D8E" w:rsidR="00953E2A" w:rsidRPr="00383911" w:rsidRDefault="00953E2A" w:rsidP="00091C0B">
      <w:pPr>
        <w:widowControl/>
        <w:autoSpaceDE/>
        <w:autoSpaceDN/>
        <w:spacing w:after="200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K článku 2</w:t>
      </w:r>
    </w:p>
    <w:p w14:paraId="652823E2" w14:textId="6E2C1CFD" w:rsidR="00091C0B" w:rsidRPr="00091C0B" w:rsidRDefault="00091C0B" w:rsidP="00953E2A">
      <w:pPr>
        <w:widowControl/>
        <w:autoSpaceDE/>
        <w:autoSpaceDN/>
        <w:spacing w:after="200"/>
        <w:ind w:firstLine="284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091C0B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Bod. 1</w:t>
      </w:r>
    </w:p>
    <w:p w14:paraId="0202D15C" w14:textId="30AF0EDD" w:rsidR="001467F8" w:rsidRPr="001467F8" w:rsidRDefault="001467F8" w:rsidP="00091C0B">
      <w:pPr>
        <w:widowControl/>
        <w:autoSpaceDE/>
        <w:autoSpaceDN/>
        <w:spacing w:after="200"/>
        <w:ind w:left="284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1467F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nadväznosti na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zachovanie výšky daňového bonusu sa navrhuje vypustenie niektorých článkov zákona č. 232/2022 Z. z. o </w:t>
      </w:r>
      <w:r w:rsidRPr="001467F8">
        <w:rPr>
          <w:rFonts w:ascii="Book Antiqua" w:hAnsi="Book Antiqua" w:cs="Arial"/>
          <w:i/>
          <w:color w:val="000000"/>
          <w:kern w:val="0"/>
          <w:sz w:val="22"/>
          <w:szCs w:val="22"/>
          <w:lang w:bidi="ar-SA"/>
        </w:rPr>
        <w:t>financovaní voľného času dieťaťa</w:t>
      </w:r>
      <w:r w:rsidR="00091C0B">
        <w:rPr>
          <w:rFonts w:ascii="Book Antiqua" w:hAnsi="Book Antiqua" w:cs="Arial"/>
          <w:i/>
          <w:color w:val="000000"/>
          <w:kern w:val="0"/>
          <w:sz w:val="22"/>
          <w:szCs w:val="22"/>
          <w:lang w:bidi="ar-SA"/>
        </w:rPr>
        <w:t xml:space="preserve"> </w:t>
      </w:r>
      <w:r w:rsidR="00091C0B" w:rsidRPr="00091C0B">
        <w:rPr>
          <w:rFonts w:ascii="Book Antiqua" w:hAnsi="Book Antiqua" w:cs="Arial"/>
          <w:i/>
          <w:color w:val="000000"/>
          <w:kern w:val="0"/>
          <w:sz w:val="22"/>
          <w:szCs w:val="22"/>
          <w:lang w:bidi="ar-SA"/>
        </w:rPr>
        <w:t>a o zmene a doplnení niektorých zákonov</w:t>
      </w:r>
      <w:r>
        <w:rPr>
          <w:rFonts w:ascii="Book Antiqua" w:hAnsi="Book Antiqua" w:cs="Arial"/>
          <w:i/>
          <w:color w:val="000000"/>
          <w:kern w:val="0"/>
          <w:sz w:val="22"/>
          <w:szCs w:val="22"/>
          <w:lang w:bidi="ar-SA"/>
        </w:rPr>
        <w:t xml:space="preserve">,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súvisiacich s vyplácaním </w:t>
      </w:r>
      <w:r w:rsidR="00091C0B" w:rsidRPr="00091C0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sumy, </w:t>
      </w:r>
      <w:r w:rsidR="00091C0B" w:rsidRPr="00091C0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 </w:t>
      </w:r>
      <w:r w:rsidR="00091C0B" w:rsidRPr="00091C0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úhradu voľnočasových aktivít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 </w:t>
      </w:r>
      <w:r w:rsidRPr="001467F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091C0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14:paraId="181FBB42" w14:textId="6D450B77" w:rsidR="001467F8" w:rsidRDefault="00091C0B" w:rsidP="00953E2A">
      <w:pPr>
        <w:widowControl/>
        <w:autoSpaceDE/>
        <w:autoSpaceDN/>
        <w:spacing w:after="200"/>
        <w:ind w:firstLine="284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Bod. 2.</w:t>
      </w:r>
    </w:p>
    <w:p w14:paraId="0CD5D410" w14:textId="1A10529A" w:rsidR="00091C0B" w:rsidRPr="00091C0B" w:rsidRDefault="00091C0B" w:rsidP="00734FCB">
      <w:pPr>
        <w:widowControl/>
        <w:autoSpaceDE/>
        <w:autoSpaceDN/>
        <w:spacing w:after="200"/>
        <w:ind w:left="284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91C0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Legislatívno-technická úprava vyplývajúca z vypustenia niektorých článkov predmetného zákona. </w:t>
      </w:r>
    </w:p>
    <w:p w14:paraId="4258B630" w14:textId="77777777" w:rsidR="001467F8" w:rsidRDefault="001467F8" w:rsidP="00953E2A">
      <w:pPr>
        <w:widowControl/>
        <w:autoSpaceDE/>
        <w:autoSpaceDN/>
        <w:spacing w:after="200"/>
        <w:ind w:firstLine="284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14:paraId="5D61FEBF" w14:textId="5FF12D03" w:rsidR="00953E2A" w:rsidRPr="00416D2B" w:rsidRDefault="00953E2A" w:rsidP="00091C0B">
      <w:pPr>
        <w:widowControl/>
        <w:autoSpaceDE/>
        <w:autoSpaceDN/>
        <w:spacing w:after="200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16D2B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K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 článku 3</w:t>
      </w:r>
    </w:p>
    <w:p w14:paraId="6775B61C" w14:textId="1A739DA5" w:rsidR="00091C0B" w:rsidRDefault="00091C0B" w:rsidP="00953E2A">
      <w:pPr>
        <w:widowControl/>
        <w:autoSpaceDE/>
        <w:autoSpaceDN/>
        <w:spacing w:after="200"/>
        <w:ind w:firstLine="360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  <w:bookmarkStart w:id="0" w:name="_GoBack"/>
      <w:bookmarkEnd w:id="0"/>
      <w:r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>K bodom 1 a 2</w:t>
      </w:r>
    </w:p>
    <w:p w14:paraId="7A4BFAC8" w14:textId="77777777" w:rsidR="00091C0B" w:rsidRDefault="00091C0B" w:rsidP="00091C0B">
      <w:pPr>
        <w:widowControl/>
        <w:autoSpaceDE/>
        <w:autoSpaceDN/>
        <w:spacing w:after="200"/>
        <w:ind w:firstLine="284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91C0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Legislatívno-technická úprava vyplývajúca z vypustenia niektorých článkov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zákona č. 232/2022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   </w:t>
      </w:r>
    </w:p>
    <w:p w14:paraId="5A72C22F" w14:textId="6C4CF3EC" w:rsidR="00091C0B" w:rsidRDefault="00091C0B" w:rsidP="00091C0B">
      <w:pPr>
        <w:widowControl/>
        <w:autoSpaceDE/>
        <w:autoSpaceDN/>
        <w:spacing w:after="200"/>
        <w:ind w:firstLine="284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Z. z. o </w:t>
      </w:r>
      <w:r w:rsidRPr="001467F8">
        <w:rPr>
          <w:rFonts w:ascii="Book Antiqua" w:hAnsi="Book Antiqua" w:cs="Arial"/>
          <w:i/>
          <w:color w:val="000000"/>
          <w:kern w:val="0"/>
          <w:sz w:val="22"/>
          <w:szCs w:val="22"/>
          <w:lang w:bidi="ar-SA"/>
        </w:rPr>
        <w:t>financovaní voľného času dieťaťa</w:t>
      </w:r>
      <w:r>
        <w:rPr>
          <w:rFonts w:ascii="Book Antiqua" w:hAnsi="Book Antiqua" w:cs="Arial"/>
          <w:i/>
          <w:color w:val="000000"/>
          <w:kern w:val="0"/>
          <w:sz w:val="22"/>
          <w:szCs w:val="22"/>
          <w:lang w:bidi="ar-SA"/>
        </w:rPr>
        <w:t xml:space="preserve"> </w:t>
      </w:r>
      <w:r w:rsidRPr="00091C0B">
        <w:rPr>
          <w:rFonts w:ascii="Book Antiqua" w:hAnsi="Book Antiqua" w:cs="Arial"/>
          <w:i/>
          <w:color w:val="000000"/>
          <w:kern w:val="0"/>
          <w:sz w:val="22"/>
          <w:szCs w:val="22"/>
          <w:lang w:bidi="ar-SA"/>
        </w:rPr>
        <w:t>a o zmene a doplnení niektorých zákonov</w:t>
      </w:r>
      <w:r w:rsidR="00734FCB">
        <w:rPr>
          <w:rFonts w:ascii="Book Antiqua" w:hAnsi="Book Antiqua" w:cs="Arial"/>
          <w:i/>
          <w:color w:val="000000"/>
          <w:kern w:val="0"/>
          <w:sz w:val="22"/>
          <w:szCs w:val="22"/>
          <w:lang w:bidi="ar-SA"/>
        </w:rPr>
        <w:t>.</w:t>
      </w:r>
    </w:p>
    <w:p w14:paraId="7BB47E9D" w14:textId="77777777" w:rsidR="00091C0B" w:rsidRDefault="00091C0B" w:rsidP="00953E2A">
      <w:pPr>
        <w:widowControl/>
        <w:autoSpaceDE/>
        <w:autoSpaceDN/>
        <w:spacing w:after="200"/>
        <w:ind w:firstLine="360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</w:p>
    <w:p w14:paraId="67FDE5C5" w14:textId="77777777" w:rsidR="00091C0B" w:rsidRDefault="00091C0B" w:rsidP="00953E2A">
      <w:pPr>
        <w:widowControl/>
        <w:autoSpaceDE/>
        <w:autoSpaceDN/>
        <w:spacing w:after="200"/>
        <w:ind w:firstLine="360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</w:p>
    <w:p w14:paraId="15A7BA18" w14:textId="022FE243" w:rsidR="00953E2A" w:rsidRPr="00383911" w:rsidRDefault="00953E2A" w:rsidP="00091C0B">
      <w:pPr>
        <w:widowControl/>
        <w:autoSpaceDE/>
        <w:autoSpaceDN/>
        <w:spacing w:after="200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 xml:space="preserve">K článku </w:t>
      </w:r>
      <w:r w:rsidR="00091C0B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>IV</w:t>
      </w:r>
    </w:p>
    <w:p w14:paraId="5E9AD799" w14:textId="77777777" w:rsidR="00953E2A" w:rsidRPr="00854AEA" w:rsidRDefault="00953E2A" w:rsidP="00953E2A">
      <w:pPr>
        <w:widowControl/>
        <w:autoSpaceDE/>
        <w:autoSpaceDN/>
        <w:spacing w:after="200"/>
        <w:ind w:firstLine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38391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Navrhuje sa účinnosť</w:t>
      </w:r>
      <w:r w:rsidRPr="00720C1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pätnástym dňom po jeho vyhlásení v zbierke zákonov</w:t>
      </w:r>
    </w:p>
    <w:p w14:paraId="754E0137" w14:textId="77777777" w:rsidR="00783817" w:rsidRPr="00953E2A" w:rsidRDefault="00783817" w:rsidP="00953E2A"/>
    <w:sectPr w:rsidR="00783817" w:rsidRPr="00953E2A" w:rsidSect="00953E2A">
      <w:pgSz w:w="11906" w:h="16838"/>
      <w:pgMar w:top="1134" w:right="1134" w:bottom="1134" w:left="1134" w:header="709" w:footer="709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BB"/>
    <w:rsid w:val="00025132"/>
    <w:rsid w:val="00071C8E"/>
    <w:rsid w:val="00091C0B"/>
    <w:rsid w:val="000B17EA"/>
    <w:rsid w:val="001467F8"/>
    <w:rsid w:val="002B7DC3"/>
    <w:rsid w:val="00337CBB"/>
    <w:rsid w:val="00360E69"/>
    <w:rsid w:val="003E42A5"/>
    <w:rsid w:val="005A33BB"/>
    <w:rsid w:val="006D1E02"/>
    <w:rsid w:val="00734FCB"/>
    <w:rsid w:val="0075675F"/>
    <w:rsid w:val="00783817"/>
    <w:rsid w:val="00953E2A"/>
    <w:rsid w:val="00B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06C2"/>
  <w15:chartTrackingRefBased/>
  <w15:docId w15:val="{C697C5F9-EF94-455E-8B94-25E57CE1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3E2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3E2A"/>
    <w:pPr>
      <w:ind w:left="720"/>
      <w:contextualSpacing/>
    </w:pPr>
    <w:rPr>
      <w:rFonts w:cs="Mangal"/>
      <w:szCs w:val="21"/>
    </w:rPr>
  </w:style>
  <w:style w:type="character" w:customStyle="1" w:styleId="awspan">
    <w:name w:val="awspan"/>
    <w:basedOn w:val="Predvolenpsmoodseku"/>
    <w:rsid w:val="0002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8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6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2157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825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3</cp:revision>
  <dcterms:created xsi:type="dcterms:W3CDTF">2023-02-24T09:27:00Z</dcterms:created>
  <dcterms:modified xsi:type="dcterms:W3CDTF">2023-02-24T09:29:00Z</dcterms:modified>
</cp:coreProperties>
</file>