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421E" w14:textId="67EBE6E8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(N</w:t>
      </w:r>
      <w:r w:rsidR="00EB4A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EB4A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 r</w:t>
      </w:r>
      <w:r w:rsidR="00EB4A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h)</w:t>
      </w:r>
    </w:p>
    <w:p w14:paraId="12C54BDA" w14:textId="3446331E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423DB65" w14:textId="082E768F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ZÁKON</w:t>
      </w:r>
    </w:p>
    <w:p w14:paraId="7986FCB9" w14:textId="6D789587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60D423F" w14:textId="6192A262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 ........ 2023, </w:t>
      </w:r>
    </w:p>
    <w:p w14:paraId="516C6FF4" w14:textId="1C911938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5812BED" w14:textId="49F78373" w:rsidR="00EB51EC" w:rsidRDefault="00EB51EC" w:rsidP="0018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ktorým sa mení a dopĺňa zákon č. 250/2012 Z. z. </w:t>
      </w:r>
      <w:r w:rsidRPr="00EB51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 regulácii v sieťových odvetviach</w:t>
      </w:r>
      <w:r w:rsidR="001845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7C8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v znení neskorších predpisov a ktorým sa mení a dopĺňa </w:t>
      </w:r>
      <w:r w:rsidR="000D7C89" w:rsidRPr="000D7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zákon č. 251/2012 Z. z. o energetike a o zmene a doplnení niektorých zákonov v znení neskorších predpisov</w:t>
      </w:r>
    </w:p>
    <w:p w14:paraId="12D2D729" w14:textId="77777777" w:rsidR="00525E9A" w:rsidRDefault="00525E9A" w:rsidP="0018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7F94013" w14:textId="2825B4B5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992422B" w14:textId="2F80125C" w:rsidR="00EB51EC" w:rsidRPr="00525E9A" w:rsidRDefault="00EB51EC" w:rsidP="00EB51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5F4D27DD" w14:textId="6E1B3282" w:rsidR="00EB51EC" w:rsidRDefault="00EB51EC" w:rsidP="00EB51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46DA223" w14:textId="0216C4E5" w:rsidR="00EB51EC" w:rsidRDefault="00EB51EC" w:rsidP="00EB51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Čl. I</w:t>
      </w:r>
    </w:p>
    <w:p w14:paraId="3E8C2988" w14:textId="77777777" w:rsidR="00EB51EC" w:rsidRDefault="00EB51EC" w:rsidP="00AC4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3AAA3AF" w14:textId="236F4119" w:rsidR="00332D40" w:rsidRDefault="00332D40" w:rsidP="000D7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Zákon č. 250/2012 Z. z. o regulácii v sieťových odvetviach v znení zákona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435/2013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Z. 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z.,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zákona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321/2014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Z. z.,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zákona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 391/2015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Z. 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z., zákona</w:t>
      </w:r>
      <w:r w:rsidR="004008E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 164/2017 Z.</w:t>
      </w:r>
      <w:r w:rsidR="00525E9A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D175E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z.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zákona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177/2018 Z. z., zákona č. 309/2018 Z. z., zákona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č. 221/2019 Z. z., zákona č. 297/2019</w:t>
      </w:r>
      <w:r w:rsid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Z. z., zákona č. 198/2020 Z. z., zákona č. 276/2020 Z. z., zákona č. 419/2020 Z. z., zákona č. 516/2021 Z. z., zákona č. 85/2022 Z. z., zákona č. 256/2022 Z. z., zákona č. 324/2022 Z. z., zákona č. 363/2022 Z. z. a zákona č. 433/2022 Z. z. sa </w:t>
      </w:r>
      <w:r w:rsidR="00DF32B5"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mení a </w:t>
      </w:r>
      <w:r w:rsidRPr="00525E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dopĺňa takto:</w:t>
      </w:r>
    </w:p>
    <w:p w14:paraId="78C1A8FD" w14:textId="77777777" w:rsidR="000D7C89" w:rsidRPr="000D7C89" w:rsidRDefault="000D7C89" w:rsidP="000D7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219374" w14:textId="715B0C4D" w:rsidR="00547CFE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3010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 § 9</w:t>
      </w:r>
      <w:r w:rsidR="0036724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odsek 1 dopĺňa písmeno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6724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p), ktoré znie:</w:t>
      </w:r>
    </w:p>
    <w:p w14:paraId="34ECD3AE" w14:textId="17D96165" w:rsidR="00367249" w:rsidRPr="00890DF6" w:rsidRDefault="0036724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„p) vypracúva a zverejňuje na svojom webovom sídle metodiku hodnotenia dodávateľov elektriny a dodávateľov plynu pri plnení povinností podľa osobitného predpisu.</w:t>
      </w:r>
      <w:r w:rsidR="00C22E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B21B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)“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52389E" w14:textId="097A20F5" w:rsidR="00547CFE" w:rsidRPr="00890DF6" w:rsidRDefault="0036724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 odkazu </w:t>
      </w:r>
      <w:r w:rsidR="00C22E2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B21B6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znie:</w:t>
      </w:r>
    </w:p>
    <w:p w14:paraId="1DFC1A18" w14:textId="2D4F1280" w:rsidR="00C22E2B" w:rsidRPr="00890DF6" w:rsidRDefault="0036724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22E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C534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 § 34 ods. 11 a § 69 ods. 7 zákona č. 251/2012 Z. z.</w:t>
      </w:r>
      <w:r w:rsidR="0005463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znení zákona č. 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05463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/2023 Z. z.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3EFDE4BB" w14:textId="3BF98EB6" w:rsidR="0083569A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3569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 § 10 sa písmeno b) dopĺňa tretím bodom, ktorý znie:</w:t>
      </w:r>
    </w:p>
    <w:p w14:paraId="35A500AA" w14:textId="4D857484" w:rsidR="00C22E2B" w:rsidRPr="00890DF6" w:rsidRDefault="0083569A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„3. plnenie povinností dodávateľov elektriny a dodávateľov plynu podľa osobitného predpisu,</w:t>
      </w:r>
      <w:r w:rsidR="00C22E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C534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)“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3DB115" w14:textId="7EC6ABBA" w:rsidR="00367249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6724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10 sa písmeno f) dopĺňa </w:t>
      </w:r>
      <w:r w:rsidR="005B2F02">
        <w:rPr>
          <w:rFonts w:ascii="Times New Roman" w:hAnsi="Times New Roman" w:cs="Times New Roman"/>
          <w:color w:val="000000" w:themeColor="text1"/>
          <w:sz w:val="24"/>
          <w:szCs w:val="24"/>
        </w:rPr>
        <w:t>bodom 22</w:t>
      </w:r>
      <w:r w:rsidR="0036724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 ktorý znie:</w:t>
      </w:r>
    </w:p>
    <w:p w14:paraId="75E8DE15" w14:textId="13D3D8C1" w:rsidR="008E3198" w:rsidRPr="00890DF6" w:rsidRDefault="0036724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„22. výsledky 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vy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hodnotenia plnen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povinností</w:t>
      </w:r>
      <w:r w:rsidR="00402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2C2F" w:rsidRPr="0053725D">
        <w:rPr>
          <w:rFonts w:ascii="Times New Roman" w:hAnsi="Times New Roman" w:cs="Times New Roman"/>
          <w:color w:val="000000" w:themeColor="text1"/>
          <w:sz w:val="24"/>
          <w:szCs w:val="24"/>
        </w:rPr>
        <w:t>dodávateľov elektriny a dodávateľov 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</w:t>
      </w:r>
      <w:r w:rsidR="007568A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2F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6C00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="007568A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)“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084797" w14:textId="768BE922" w:rsidR="00912509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 § 13 sa odsek 4 dopĺňa písmenom c), ktoré znie:</w:t>
      </w:r>
    </w:p>
    <w:p w14:paraId="54628F50" w14:textId="6B56F19A" w:rsidR="00DF32B5" w:rsidRPr="00890DF6" w:rsidRDefault="0091250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 uložen</w:t>
      </w:r>
      <w:r w:rsidR="003A386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povinnosti 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BC49EF" w:rsidRPr="0053725D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="00C654D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C49EF" w:rsidRPr="0053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elektriny a</w:t>
      </w:r>
      <w:r w:rsidR="00FD29AF">
        <w:rPr>
          <w:rFonts w:ascii="Times New Roman" w:hAnsi="Times New Roman" w:cs="Times New Roman"/>
          <w:color w:val="000000" w:themeColor="text1"/>
          <w:sz w:val="24"/>
          <w:szCs w:val="24"/>
        </w:rPr>
        <w:t>lebo</w:t>
      </w:r>
      <w:r w:rsidR="00BC49EF" w:rsidRPr="0053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dodávateľ</w:t>
      </w:r>
      <w:r w:rsidR="00C654D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C49EF" w:rsidRPr="00537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plynu</w:t>
      </w:r>
      <w:r w:rsidR="00BC49E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zabezpečiť množstvo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elektriny alebo množstv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plynu </w:t>
      </w:r>
      <w:bookmarkStart w:id="1" w:name="_Hlk127893265"/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podľa osobitného predpisu</w:t>
      </w:r>
      <w:r w:rsidR="005B2F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8244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1"/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to v rozsahu minimálne 80 % voči časti, v ktorej dodávateľ elektriny alebo dodávateľ plynu nesplnil povinnosť podľa osobitného predpisu</w:t>
      </w:r>
      <w:r w:rsidR="004638A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8244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), pričom uloženú povinnosť je dodávateľ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elektriny alebo dodávateľ plynu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povinný splniť najneskôr 20. kalendárneho dňa v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mesiaci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ktorý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predchádza kalendárnemu mesiacu, v ktorom sa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>ovať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dodávka elektriny a</w:t>
      </w:r>
      <w:r w:rsidR="00BC49EF">
        <w:rPr>
          <w:rFonts w:ascii="Times New Roman" w:hAnsi="Times New Roman" w:cs="Times New Roman"/>
          <w:color w:val="000000" w:themeColor="text1"/>
          <w:sz w:val="24"/>
          <w:szCs w:val="24"/>
        </w:rPr>
        <w:t>lebo dodávka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6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792247" w14:textId="09E65D13" w:rsidR="00547CFE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§ 15 sa dop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ĺňa odsekmi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10, ktoré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ejú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18ADC7" w14:textId="365C560C" w:rsidR="00390933" w:rsidRPr="00890DF6" w:rsidRDefault="0091250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(9) 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Konanie o vecnej regulácii vo veci rozhodnutia o</w:t>
      </w:r>
      <w:r w:rsidR="00B13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uložení 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povinnosti 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zabezpeč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iť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množstv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elektriny dodávateľom elektriny alebo množstv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plynu dodávateľom plynu podľa § 13 ods. 4 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písm. c)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začína 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podnet</w:t>
      </w:r>
      <w:r w:rsidR="0039093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úradu.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dodávateľ elektriny alebo dodávateľ plynu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nezabezpečí množstvo elektriny alebo množstvo plynu podľa osobitného predpisu</w:t>
      </w:r>
      <w:r w:rsidR="00B139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17d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 </w:t>
      </w:r>
      <w:r w:rsidR="0087572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vydá predbežné opatrenie, ktorým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uloží</w:t>
      </w:r>
      <w:r w:rsidR="00ED637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povinnosť dodávateľovi elektriny zabezpečiť úradom určené množstvá elektriny alebo dodávateľovi plynu 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zabezpečiť úradom určené množstvá </w:t>
      </w:r>
      <w:r w:rsidR="00ED637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 na účely dodávky elektriny alebo</w:t>
      </w:r>
      <w:r w:rsidR="00B13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dodávky</w:t>
      </w:r>
      <w:r w:rsidR="00ED637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plynu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 to v </w:t>
      </w:r>
      <w:r w:rsidR="00B13988">
        <w:rPr>
          <w:rFonts w:ascii="Times New Roman" w:hAnsi="Times New Roman" w:cs="Times New Roman"/>
          <w:color w:val="000000" w:themeColor="text1"/>
          <w:sz w:val="24"/>
          <w:szCs w:val="24"/>
        </w:rPr>
        <w:t>lehote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určen</w:t>
      </w:r>
      <w:r w:rsidR="00B1398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úradom.</w:t>
      </w:r>
      <w:r w:rsidR="00ED637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Úrad konanie o vecnej regulácii zastaví, ak dodávateľ elektriny alebo dodávateľ plynu v konaní preukáže, že splnil podmienky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uložené predbežným opatrením. Úrad v konaní o vecnej regulácii vydá rozhodnutie, ktorým rozhodne o nesplnení povinnosti dodávateľa elektriny zabezpečiť určené množstvo elektriny alebo nesplnení povinnosti dodávateľom plynu zabezpečiť určené množstvo, ak dodávateľ </w:t>
      </w:r>
      <w:r w:rsidR="00817D3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elektriny alebo dodávateľ plynu 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plnom rozsahu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nesplní podmienky uložené predbežným opatrením.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Rozhodnutie podľa predchádzajúcej vety sa doručuje dodávateľovi elektriny alebo dodávateľovi plynu a dodávateľovi poslednej inštancie.</w:t>
      </w:r>
    </w:p>
    <w:p w14:paraId="08A50709" w14:textId="4A0322B6" w:rsidR="00DF32B5" w:rsidRPr="00890DF6" w:rsidRDefault="00390933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(10) Za splnenie</w:t>
      </w:r>
      <w:r w:rsidR="00D2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povinností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uložen</w:t>
      </w:r>
      <w:r w:rsidR="00D25E60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predbežn</w:t>
      </w:r>
      <w:r w:rsidR="00D25E60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opatren</w:t>
      </w:r>
      <w:r w:rsidR="00D25E60">
        <w:rPr>
          <w:rFonts w:ascii="Times New Roman" w:hAnsi="Times New Roman" w:cs="Times New Roman"/>
          <w:color w:val="000000" w:themeColor="text1"/>
          <w:sz w:val="24"/>
          <w:szCs w:val="24"/>
        </w:rPr>
        <w:t>ím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odseku 9 na zabezpečenie množstva elektriny alebo množstva plynu sa považuje okrem zabezpečenia množstva elektriny alebo množstva plynu aj suma finančných prostriedkov</w:t>
      </w:r>
      <w:r w:rsidR="00905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zabezpečujúca nákup potrebného množstva elektriny alebo 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zodpovedajúca </w:t>
      </w:r>
      <w:r w:rsidR="002675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predpokladanej trhovej hodnote množstva 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elektriny alebo množstvo plynu</w:t>
      </w:r>
      <w:r w:rsidR="008C67E8" w:rsidRPr="008C6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67E8">
        <w:rPr>
          <w:rFonts w:ascii="Times New Roman" w:hAnsi="Times New Roman" w:cs="Times New Roman"/>
          <w:color w:val="000000" w:themeColor="text1"/>
          <w:sz w:val="24"/>
          <w:szCs w:val="24"/>
        </w:rPr>
        <w:t>na zabezpečenie dodávky elektriny alebo dodávky 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ktoré sa opatrenie vzťahuje. Výpočet sumy finančných prostriedkov podľa predchádzajúcej vety úrad určí podľa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metodiky úradu vypracovanej podľa § 9 písm. p).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1242FD2" w14:textId="2F48F0AE" w:rsidR="003B3DD8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18 odsek 4 znie: </w:t>
      </w:r>
    </w:p>
    <w:p w14:paraId="6D52584E" w14:textId="53F3965A" w:rsidR="00547CFE" w:rsidRPr="00890DF6" w:rsidRDefault="00912509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Odvolanie v cenovom konaní, v konaní o mimoriadnej regulácii a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B3DD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konaní o vecnej regulácii podľa 15 ods. 9 </w:t>
      </w:r>
      <w:r w:rsidR="00632173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nemá odkladný účinok.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42C96CDA" w14:textId="389A9750" w:rsidR="007A2B0E" w:rsidRPr="00890DF6" w:rsidRDefault="007A2B0E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7. V 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odsek 2 dopĺňa písmen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x) a y)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ktoré znejú:</w:t>
      </w:r>
    </w:p>
    <w:p w14:paraId="00C86F88" w14:textId="26EB7EE1" w:rsidR="007A2B0E" w:rsidRPr="00890DF6" w:rsidRDefault="0057323B" w:rsidP="000F15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x) poskytovania informácií o meraniach v distribučnej sústave prevádzkovateľom distribučnej sústavy dodávateľovi elektriny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alebo organizátorovi krátkodobého trhu s elektrinou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 účely fakturácie dodávky elektriny koncovým odberateľom elektriny a poskytovania informácií o meraniach v distribučnej sieti prevádzkovateľom distribučnej siete dodávateľovi plynu pre účely fakturácie dodávky plynu koncovým odberateľom plynu,</w:t>
      </w:r>
    </w:p>
    <w:p w14:paraId="25345A24" w14:textId="661169DD" w:rsidR="007A2B0E" w:rsidRPr="00890DF6" w:rsidRDefault="007A2B0E" w:rsidP="000F15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y) postupu pri predkladaní žiadostí o pripájanie zariadení na výrobu elektriny a zariadení na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uskladňovanie elektriny do distribučnej sústavy, vrátane postupu spracovania a vyhodnocovania týchto žiadostí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323B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F28DCB3" w14:textId="1746E70B" w:rsidR="008E3198" w:rsidRDefault="007A2B0E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3198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. V § 29 ods. 1 písm. b) sa slová „rozhodnutím alebo potvrdením“ nahrádzajú slovami „rozhodnutím, opatrením alebo potvrdením“.</w:t>
      </w:r>
    </w:p>
    <w:p w14:paraId="73808AC6" w14:textId="56C83D88" w:rsidR="003E090E" w:rsidRPr="00890DF6" w:rsidRDefault="003E090E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V § 29 ods. 1 písm. o) v treťom bode sa na konci vkladá čiarka a slová „vrátane vyčíslenia skutočných nákladov na zabezpečenie dodávky elektriny a plynu podľa jednotlivých kategórií odberateľov“.</w:t>
      </w:r>
    </w:p>
    <w:p w14:paraId="15826940" w14:textId="7B7305D6" w:rsidR="00627872" w:rsidRPr="00890DF6" w:rsidRDefault="003E090E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 § 40 odseku 4 písmeno </w:t>
      </w:r>
      <w:proofErr w:type="spellStart"/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 znie:</w:t>
      </w:r>
    </w:p>
    <w:p w14:paraId="4BF7A4DB" w14:textId="075302CE" w:rsidR="00627872" w:rsidRPr="00890DF6" w:rsidRDefault="0057323B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 zabezpečenia množstva elektriny a plynu pre dodávku elektriny koncovým odberateľom elektriny a dodávku plynu koncovým odberateľom plynu a termíny a rozsah predkladania údajov o rozsahu zabezpečeného množstva elektriny a plynu a spôsobe tohto zabezpečenia, vrátane spôsobu a rozsahu predkladania údajov o obstarávacích náklado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iných finančných </w:t>
      </w:r>
      <w:r w:rsidR="00DC5B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parametroch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spojených so zabezpečením množstva elektriny a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dodávku elektriny koncovým odberateľom elektriny a dodávku plynu koncovým odberateľom plynu,“.</w:t>
      </w:r>
    </w:p>
    <w:p w14:paraId="145A9C3F" w14:textId="239622F0" w:rsidR="007A2B0E" w:rsidRPr="00890DF6" w:rsidRDefault="00627872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E09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. V 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 4 dopĺňa písmen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 a </w:t>
      </w:r>
      <w:proofErr w:type="spellStart"/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proofErr w:type="spellEnd"/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19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2B0E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ktoré znejú</w:t>
      </w:r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878D26" w14:textId="667BD968" w:rsidR="003C03A5" w:rsidRPr="00890DF6" w:rsidRDefault="0057323B" w:rsidP="000F15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</w:t>
      </w:r>
      <w:proofErr w:type="spellEnd"/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rozsahu a spôsob</w:t>
      </w:r>
      <w:r w:rsidR="008D2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poskytovania informácií prevádzkovateľom distribučnej sústavy dodávateľovi elektriny 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alebo organizátorovi krátkodobého trhu s elektrinou </w:t>
      </w:r>
      <w:r w:rsidR="008D2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8D2FF7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účel fakturácie dodávky elektriny koncovým odberateľom elektriny a rozsahu a spôsob</w:t>
      </w:r>
      <w:r w:rsidR="008D2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poskytovania informácií prevádzkovateľom distribučnej siete dodávateľovi plynu </w:t>
      </w:r>
      <w:r w:rsidR="008D2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3C03A5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účel fakturácie dodávky plynu koncovým odberateľom plynu,</w:t>
      </w:r>
    </w:p>
    <w:p w14:paraId="413ED461" w14:textId="199D21F6" w:rsidR="003C03A5" w:rsidRPr="00890DF6" w:rsidRDefault="003C03A5" w:rsidP="000F15F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</w:t>
      </w:r>
      <w:proofErr w:type="spellEnd"/>
      <w:r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predkladania žiadostí o pripojenie zariadení na výrobu elektriny a zariadení na uskladňovanie elektriny do distribučnej sústavy, vrátane podmienok spracovania a vyhodnocovania týchto žiadostí</w:t>
      </w:r>
      <w:r w:rsidR="00627872" w:rsidRPr="00890D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7323B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2BA0199" w14:textId="04DC075A" w:rsidR="005E69A8" w:rsidRDefault="005E69A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2C717" w14:textId="020146C7" w:rsidR="005E69A8" w:rsidRPr="00AC4698" w:rsidRDefault="008E6E9F" w:rsidP="00AC469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</w:t>
      </w:r>
    </w:p>
    <w:p w14:paraId="15DE4C6C" w14:textId="7CE2946D" w:rsidR="00547CFE" w:rsidRPr="000D7C89" w:rsidRDefault="00547CFE" w:rsidP="00AC4698">
      <w:pPr>
        <w:pStyle w:val="Obyajntex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>Zákon č. 251/2012 Z. z. o energetike a o zmene a doplnení niektorých zákonov v znení zákona č. 391/2012 Z. z., zákona č. 352/2013 Z. z., zákona č. 382/2013 Z. z., zákona č. 102/2014</w:t>
      </w:r>
      <w:r w:rsidR="00EF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>Z. z., zákona č. 321/2014 Z. z., zákona č. 91/2016 Z. z., zákona č. 315/2016 Z. z., zákona č. 162/2018 Z. z., zákona č. 177/2018 Z. z., zákona</w:t>
      </w:r>
      <w:r w:rsidR="008E6E9F"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>č. 309/2018 Z. z., zákona č. 419/2020 Z. z., zákona č. 85/2022 Z. z., zákona č. 256/2022 Z. z., zákona č. 324/2022 Z. z.</w:t>
      </w:r>
      <w:r w:rsidR="00EF60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393/2022 Z. z. </w:t>
      </w:r>
      <w:r w:rsidRP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zákona č. 433/2022 Z. z. sa</w:t>
      </w:r>
      <w:r w:rsidR="00DF32B5" w:rsidRP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mení a </w:t>
      </w:r>
      <w:r w:rsidRPr="000D7C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dopĺňa takto</w:t>
      </w:r>
      <w:r w:rsidRPr="000D7C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55786F" w14:textId="529488F8" w:rsidR="00547CFE" w:rsidRPr="00890DF6" w:rsidRDefault="00547CFE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7858F" w14:textId="57869EBA" w:rsidR="00D958ED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958ED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§ 10 sa dopĺňa odsekom 7, ktorý znie:</w:t>
      </w:r>
    </w:p>
    <w:p w14:paraId="32B3E1F9" w14:textId="487E99D1" w:rsidR="00D958ED" w:rsidRPr="00890DF6" w:rsidRDefault="00D958ED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„(7) Povolenie na dodávku elektriny úrad zruší aj vtedy, ak držiteľ povolenia </w:t>
      </w:r>
      <w:r w:rsidR="008E6E9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nepredložil úradu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 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nasledujúce</w:t>
      </w:r>
      <w:r w:rsidR="008E6E9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mesiace údaje o zabezpečenom množstve elektriny podľa § 34 ods. 11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Povolenie na dodávku plynu úrad zruší aj vtedy, ak držiteľ povolenia </w:t>
      </w:r>
      <w:r w:rsidR="008E6E9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nepredložil úradu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 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E6E9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seb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nasledujúce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mesiace údaje o zabezpečenom množstve </w:t>
      </w:r>
      <w:r w:rsidR="008E6E9F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="008E6E9F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2B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podľa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69 ods. 7</w:t>
      </w:r>
      <w:r w:rsidR="000F15F1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323B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A6F1EDA" w14:textId="7172263A" w:rsidR="00201B7B" w:rsidRPr="00890DF6" w:rsidRDefault="008E3198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01B7B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V § 18 sa odsek 6 dopĺňa písmenom d), ktoré znie:</w:t>
      </w:r>
    </w:p>
    <w:p w14:paraId="593DFF73" w14:textId="187F068A" w:rsidR="00547CFE" w:rsidRPr="00890DF6" w:rsidRDefault="00201B7B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„d) </w:t>
      </w:r>
      <w:r w:rsidR="00B61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opakovane </w:t>
      </w:r>
      <w:r w:rsidR="0029201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nezabezpečil množstvo elekt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riny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34 ods. 11</w:t>
      </w:r>
      <w:r w:rsidR="00912509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množstvo plynu podľa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69 ods. 7</w:t>
      </w:r>
      <w:r w:rsidR="0005463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zároveň úrad </w:t>
      </w:r>
      <w:r w:rsidR="007E6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posledných 12 mesiacoch 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vydal</w:t>
      </w:r>
      <w:r w:rsidR="007E6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rozhodnuti</w:t>
      </w:r>
      <w:r w:rsidR="007E616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5463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39a</w:t>
      </w:r>
      <w:r w:rsidR="0005463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292012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0D61584B" w14:textId="240C2EE9" w:rsidR="0005463C" w:rsidRPr="00890DF6" w:rsidRDefault="0005463C" w:rsidP="00054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 odkazu 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39a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6A84F6E2" w14:textId="7EC8C8DA" w:rsidR="0005463C" w:rsidRPr="00890DF6" w:rsidRDefault="0005463C" w:rsidP="00054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39a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§ 15 ods. 9 zákona č. 250/2012 Z. z. v znení zákona č. 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/2023 Z. z.“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647B74" w14:textId="79A0EB4E" w:rsidR="0057323B" w:rsidRPr="00890DF6" w:rsidRDefault="0057323B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3. V § 34 odsek 11 znie:</w:t>
      </w:r>
    </w:p>
    <w:p w14:paraId="6FBC2610" w14:textId="09B3FFC5" w:rsidR="0057323B" w:rsidRPr="00890DF6" w:rsidRDefault="0057323B" w:rsidP="002250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„(11) Dodávateľ elektriny je povinný </w:t>
      </w:r>
    </w:p>
    <w:p w14:paraId="337F07B9" w14:textId="0EB14092" w:rsidR="0057323B" w:rsidRPr="00890DF6" w:rsidRDefault="0057323B" w:rsidP="005732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zabezpečiť množstvo elektriny pre dodávku elektriny koncovým odberateľom elektriny, s ktorými uzatvoril zmluv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dodávke elektriny alebo zmluv</w:t>
      </w:r>
      <w:r w:rsidR="00DA6A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združenej dodávke elektriny,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pričom za splnenie povinnosti podľa predošlej časti vety sa považuje, ak dodávateľ elektriny preukáže, že k 1. pracovnému dňu kalendárneho mesiaca „m-2“ má zabezpečený nákup elektriny na veľkoobchodnom trhu s fyzickou dodávkou v mesiaci „m“ v objeme zodpovedajúcom najmenej </w:t>
      </w:r>
      <w:r w:rsidR="005E704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A50C9C">
        <w:rPr>
          <w:rFonts w:ascii="Times New Roman" w:hAnsi="Times New Roman" w:cs="Times New Roman"/>
          <w:color w:val="000000" w:themeColor="text1"/>
          <w:sz w:val="24"/>
          <w:szCs w:val="24"/>
        </w:rPr>
        <w:t>objemu</w:t>
      </w:r>
      <w:r w:rsidR="00A50C9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dodávky v mesiaci „m“, ktorú možno realisticky očakávať na základe parametrov zmlúv o dodávke elektriny a zmlúv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 združenej dodávke elektriny uzatvorených s koncovými odberateľmi elektriny, 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súčasne preukáže spôsobilosť </w:t>
      </w:r>
      <w:r w:rsidR="00A50C9C">
        <w:rPr>
          <w:rFonts w:ascii="Times New Roman" w:hAnsi="Times New Roman" w:cs="Times New Roman"/>
          <w:color w:val="000000" w:themeColor="text1"/>
          <w:sz w:val="24"/>
          <w:szCs w:val="24"/>
        </w:rPr>
        <w:t>množstvo</w:t>
      </w:r>
      <w:r w:rsidR="00A50C9C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elektriny nakúpen</w:t>
      </w:r>
      <w:r w:rsidR="00A50C9C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mimo vymedzeného územia dodať koncovým odberateľom na vymedzenom území,</w:t>
      </w:r>
    </w:p>
    <w:p w14:paraId="7AD8FE6B" w14:textId="77777777" w:rsidR="0057323B" w:rsidRPr="00890DF6" w:rsidRDefault="0057323B" w:rsidP="005732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predkladať úradu údaje o zabezpečenom množstve elektriny,</w:t>
      </w:r>
    </w:p>
    <w:p w14:paraId="7E3FA12E" w14:textId="09C6C37E" w:rsidR="0057323B" w:rsidRPr="00890DF6" w:rsidRDefault="0057323B" w:rsidP="005732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predkladať úradu údaje o obstarávacích nákladoch a iných finančných </w:t>
      </w:r>
      <w:r w:rsidR="00B61464">
        <w:rPr>
          <w:rFonts w:ascii="Times New Roman" w:hAnsi="Times New Roman" w:cs="Times New Roman"/>
          <w:color w:val="000000" w:themeColor="text1"/>
          <w:sz w:val="24"/>
          <w:szCs w:val="24"/>
        </w:rPr>
        <w:t>parametroch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spojených so zabezpečením množstva elektriny,</w:t>
      </w:r>
    </w:p>
    <w:p w14:paraId="2D6FFF48" w14:textId="7C354617" w:rsidR="0057323B" w:rsidRPr="00890DF6" w:rsidRDefault="0057323B" w:rsidP="005732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poskytovať úradu súčinnosť pri dodatočnom preskúmavaní alebo pri kontrole správnosti údajov poskytovaných podľa písmen b) a c).“.</w:t>
      </w:r>
    </w:p>
    <w:p w14:paraId="3A3C2ADA" w14:textId="2335A86D" w:rsidR="0057323B" w:rsidRPr="00890DF6" w:rsidRDefault="0057323B" w:rsidP="005732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V § 69 odsek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3144CBD5" w14:textId="02B77D18" w:rsidR="0057323B" w:rsidRPr="00890DF6" w:rsidRDefault="0057323B" w:rsidP="005732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Dodávateľ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povinný </w:t>
      </w:r>
    </w:p>
    <w:p w14:paraId="374C6DAA" w14:textId="64196EDD" w:rsidR="0057323B" w:rsidRPr="00890DF6" w:rsidRDefault="0057323B" w:rsidP="005732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zabezpečiť množstvo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dodávku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koncovým odberateľom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ktorými uzatvoril zmluv</w:t>
      </w:r>
      <w:r w:rsidR="0088028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dodávke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zmluv</w:t>
      </w:r>
      <w:r w:rsidR="0088028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združenej dodávke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pričom za splnenie povinnosti podľa predošlej časti vety sa považuje, ak dodávateľ plynu preukáže, že k 1. pracovnému dňu kalendárneho mesiaca „m-2“ má zabezpečený nákup plynu na veľkoobchodnom trhu s fyzickou dodávkou v mesiaci „m“ v objeme zodpovedajúcom najmenej </w:t>
      </w:r>
      <w:r w:rsidR="005E7045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F66DF8" w:rsidRPr="00E05D32">
        <w:rPr>
          <w:rFonts w:ascii="Times New Roman" w:hAnsi="Times New Roman" w:cs="Times New Roman"/>
          <w:color w:val="000000" w:themeColor="text1"/>
          <w:sz w:val="24"/>
          <w:szCs w:val="24"/>
        </w:rPr>
        <w:t>objemu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dodávky v mesiaci „m“, ktorú možno realisticky očakávať na základe zmluvných parametrov zmlúv o dodávke plynu a zmlúv o združenej dodávke plynu uzatvorených s koncovými odberateľmi plynu, a súčasne </w:t>
      </w:r>
      <w:r w:rsidR="00F66DF8" w:rsidRPr="00E05D32">
        <w:rPr>
          <w:rFonts w:ascii="Times New Roman" w:hAnsi="Times New Roman" w:cs="Times New Roman"/>
          <w:color w:val="000000" w:themeColor="text1"/>
          <w:sz w:val="24"/>
          <w:szCs w:val="24"/>
        </w:rPr>
        <w:t>preukáže spôsobilosť množstvo plynu nakúpené mimo vymedzeného územia dodať koncovým odberateľom na vymedzenom území,</w:t>
      </w:r>
      <w:r w:rsidR="00F6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to aj prostredníctvom zabezpečenej 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cezhraničn</w:t>
      </w:r>
      <w:r w:rsidR="00F66DF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prepravn</w:t>
      </w:r>
      <w:r w:rsidR="00F66DF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kapacit</w:t>
      </w:r>
      <w:r w:rsidR="00F66DF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53EBA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zabezpečenie prepravy plynu na vymedzené územie, ak plyn zabezpečil mimo vymedzeného územia,</w:t>
      </w:r>
    </w:p>
    <w:p w14:paraId="0A17F0F2" w14:textId="518BA7DB" w:rsidR="0057323B" w:rsidRPr="00890DF6" w:rsidRDefault="0057323B" w:rsidP="005732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predkladať úradu údaje o zabezpečenom množstve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38333C1" w14:textId="78567E36" w:rsidR="0057323B" w:rsidRPr="00890DF6" w:rsidRDefault="0057323B" w:rsidP="005732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predkladať úradu údaje o obstarávacích nákladoch a iných finančných </w:t>
      </w:r>
      <w:r w:rsidR="00B61464">
        <w:rPr>
          <w:rFonts w:ascii="Times New Roman" w:hAnsi="Times New Roman" w:cs="Times New Roman"/>
          <w:color w:val="000000" w:themeColor="text1"/>
          <w:sz w:val="24"/>
          <w:szCs w:val="24"/>
        </w:rPr>
        <w:t>parametroch</w:t>
      </w:r>
      <w:r w:rsidR="00B61464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spojených so zabezpečením množstva </w:t>
      </w:r>
      <w:r w:rsidR="00C40690"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6543A9" w14:textId="5EE10D80" w:rsidR="0057323B" w:rsidRDefault="0057323B" w:rsidP="005732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F6">
        <w:rPr>
          <w:rFonts w:ascii="Times New Roman" w:hAnsi="Times New Roman" w:cs="Times New Roman"/>
          <w:color w:val="000000" w:themeColor="text1"/>
          <w:sz w:val="24"/>
          <w:szCs w:val="24"/>
        </w:rPr>
        <w:t>poskytovať úradu súčinnosť pri dodatočnom preskúmavaní alebo pri kontrole správnosti údajov poskytovaných podľa písmen b) a c).“.</w:t>
      </w:r>
    </w:p>
    <w:p w14:paraId="7ACFD172" w14:textId="77777777" w:rsidR="00880286" w:rsidRPr="00890DF6" w:rsidRDefault="00880286" w:rsidP="00AC469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4FE58" w14:textId="6274789F" w:rsidR="00880286" w:rsidRPr="00AC4698" w:rsidRDefault="00880286" w:rsidP="008802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III</w:t>
      </w:r>
    </w:p>
    <w:p w14:paraId="04DDA045" w14:textId="37BCAF33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286">
        <w:rPr>
          <w:rFonts w:ascii="Times New Roman" w:hAnsi="Times New Roman" w:cs="Times New Roman"/>
          <w:color w:val="000000" w:themeColor="text1"/>
          <w:sz w:val="24"/>
          <w:szCs w:val="24"/>
        </w:rPr>
        <w:t>Tento zákon nadobúda účinnosť dňom vyhlásenia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5DA98D" w14:textId="67AE447D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6699F" w14:textId="621D9259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715A8" w14:textId="5245D3C3" w:rsidR="00880286" w:rsidRDefault="00880286" w:rsidP="00AC46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9BCE6" w14:textId="60666325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65E3A" w14:textId="6ED92898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731AD" w14:textId="3C6EF20A" w:rsidR="00880286" w:rsidRDefault="00880286" w:rsidP="0088028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39CDE" w14:textId="6A392465" w:rsidR="00DD721A" w:rsidRPr="005E69A8" w:rsidRDefault="00DD721A" w:rsidP="00510CC9"/>
    <w:sectPr w:rsidR="00DD721A" w:rsidRPr="005E69A8" w:rsidSect="005E69A8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21DB" w14:textId="77777777" w:rsidR="00E62938" w:rsidRDefault="00E62938" w:rsidP="005E69A8">
      <w:pPr>
        <w:spacing w:after="0" w:line="240" w:lineRule="auto"/>
      </w:pPr>
      <w:r>
        <w:separator/>
      </w:r>
    </w:p>
  </w:endnote>
  <w:endnote w:type="continuationSeparator" w:id="0">
    <w:p w14:paraId="3CCD506B" w14:textId="77777777" w:rsidR="00E62938" w:rsidRDefault="00E62938" w:rsidP="005E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12028"/>
      <w:docPartObj>
        <w:docPartGallery w:val="Page Numbers (Bottom of Page)"/>
        <w:docPartUnique/>
      </w:docPartObj>
    </w:sdtPr>
    <w:sdtEndPr/>
    <w:sdtContent>
      <w:p w14:paraId="580B52F1" w14:textId="7C0A020D" w:rsidR="005E69A8" w:rsidRDefault="005E69A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5E">
          <w:rPr>
            <w:noProof/>
          </w:rPr>
          <w:t>2</w:t>
        </w:r>
        <w:r>
          <w:fldChar w:fldCharType="end"/>
        </w:r>
      </w:p>
    </w:sdtContent>
  </w:sdt>
  <w:p w14:paraId="29C22AFC" w14:textId="77777777" w:rsidR="005E69A8" w:rsidRDefault="005E69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D21A" w14:textId="77777777" w:rsidR="00E62938" w:rsidRDefault="00E62938" w:rsidP="005E69A8">
      <w:pPr>
        <w:spacing w:after="0" w:line="240" w:lineRule="auto"/>
      </w:pPr>
      <w:r>
        <w:separator/>
      </w:r>
    </w:p>
  </w:footnote>
  <w:footnote w:type="continuationSeparator" w:id="0">
    <w:p w14:paraId="2896ABDD" w14:textId="77777777" w:rsidR="00E62938" w:rsidRDefault="00E62938" w:rsidP="005E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907DD"/>
    <w:multiLevelType w:val="hybridMultilevel"/>
    <w:tmpl w:val="E242A2B0"/>
    <w:lvl w:ilvl="0" w:tplc="01A09C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1F5"/>
    <w:multiLevelType w:val="hybridMultilevel"/>
    <w:tmpl w:val="D702EF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200B3"/>
    <w:multiLevelType w:val="hybridMultilevel"/>
    <w:tmpl w:val="D702EF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40"/>
    <w:rsid w:val="00006CFA"/>
    <w:rsid w:val="0005463C"/>
    <w:rsid w:val="000D7C89"/>
    <w:rsid w:val="000F15F1"/>
    <w:rsid w:val="00162DF2"/>
    <w:rsid w:val="00167096"/>
    <w:rsid w:val="00184518"/>
    <w:rsid w:val="001D175E"/>
    <w:rsid w:val="00201B7B"/>
    <w:rsid w:val="002250D4"/>
    <w:rsid w:val="00253EBA"/>
    <w:rsid w:val="00267564"/>
    <w:rsid w:val="00292012"/>
    <w:rsid w:val="002B2745"/>
    <w:rsid w:val="002D26C5"/>
    <w:rsid w:val="003329E2"/>
    <w:rsid w:val="00332D40"/>
    <w:rsid w:val="00367249"/>
    <w:rsid w:val="00390933"/>
    <w:rsid w:val="003A386F"/>
    <w:rsid w:val="003B3DD8"/>
    <w:rsid w:val="003B475C"/>
    <w:rsid w:val="003C03A5"/>
    <w:rsid w:val="003E090E"/>
    <w:rsid w:val="004008E5"/>
    <w:rsid w:val="00402C2F"/>
    <w:rsid w:val="004638AE"/>
    <w:rsid w:val="0046425E"/>
    <w:rsid w:val="004A606D"/>
    <w:rsid w:val="00510CC9"/>
    <w:rsid w:val="00525E9A"/>
    <w:rsid w:val="0053010C"/>
    <w:rsid w:val="00547CFE"/>
    <w:rsid w:val="0057323B"/>
    <w:rsid w:val="00574C94"/>
    <w:rsid w:val="005B2F02"/>
    <w:rsid w:val="005E69A8"/>
    <w:rsid w:val="005E7045"/>
    <w:rsid w:val="00627872"/>
    <w:rsid w:val="00630971"/>
    <w:rsid w:val="00632173"/>
    <w:rsid w:val="006A10A6"/>
    <w:rsid w:val="006C0039"/>
    <w:rsid w:val="007568AA"/>
    <w:rsid w:val="00782446"/>
    <w:rsid w:val="007A2B0E"/>
    <w:rsid w:val="007A52A8"/>
    <w:rsid w:val="007E32C9"/>
    <w:rsid w:val="007E6165"/>
    <w:rsid w:val="00817D34"/>
    <w:rsid w:val="0083569A"/>
    <w:rsid w:val="00860F38"/>
    <w:rsid w:val="0087572F"/>
    <w:rsid w:val="00880286"/>
    <w:rsid w:val="00890DF6"/>
    <w:rsid w:val="00897976"/>
    <w:rsid w:val="008B0094"/>
    <w:rsid w:val="008C67E8"/>
    <w:rsid w:val="008D0F04"/>
    <w:rsid w:val="008D2FF7"/>
    <w:rsid w:val="008E3198"/>
    <w:rsid w:val="008E6E9F"/>
    <w:rsid w:val="008F4419"/>
    <w:rsid w:val="008F6B3C"/>
    <w:rsid w:val="009052B7"/>
    <w:rsid w:val="00912509"/>
    <w:rsid w:val="009511C3"/>
    <w:rsid w:val="00A50C9C"/>
    <w:rsid w:val="00A67AAE"/>
    <w:rsid w:val="00AC4698"/>
    <w:rsid w:val="00B13988"/>
    <w:rsid w:val="00B21B6D"/>
    <w:rsid w:val="00B33BEB"/>
    <w:rsid w:val="00B61464"/>
    <w:rsid w:val="00B91955"/>
    <w:rsid w:val="00BA3F78"/>
    <w:rsid w:val="00BC1FC7"/>
    <w:rsid w:val="00BC49EF"/>
    <w:rsid w:val="00C22E2B"/>
    <w:rsid w:val="00C40690"/>
    <w:rsid w:val="00C534E0"/>
    <w:rsid w:val="00C654DE"/>
    <w:rsid w:val="00D2009A"/>
    <w:rsid w:val="00D25E60"/>
    <w:rsid w:val="00D655F5"/>
    <w:rsid w:val="00D9333E"/>
    <w:rsid w:val="00D958ED"/>
    <w:rsid w:val="00DA6A04"/>
    <w:rsid w:val="00DC5BB7"/>
    <w:rsid w:val="00DD721A"/>
    <w:rsid w:val="00DF32B5"/>
    <w:rsid w:val="00E0784E"/>
    <w:rsid w:val="00E172FC"/>
    <w:rsid w:val="00E62938"/>
    <w:rsid w:val="00E64C95"/>
    <w:rsid w:val="00E901CE"/>
    <w:rsid w:val="00EB4AE1"/>
    <w:rsid w:val="00EB51EC"/>
    <w:rsid w:val="00EC0AFB"/>
    <w:rsid w:val="00ED2D3F"/>
    <w:rsid w:val="00ED637E"/>
    <w:rsid w:val="00EF6037"/>
    <w:rsid w:val="00F3797D"/>
    <w:rsid w:val="00F515F2"/>
    <w:rsid w:val="00F655A5"/>
    <w:rsid w:val="00F66DF8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D145"/>
  <w15:chartTrackingRefBased/>
  <w15:docId w15:val="{F9086D73-7A09-4371-803C-DCE1F4B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32D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2D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2D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2D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2D40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547C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47CFE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72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F32B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D72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69A8"/>
  </w:style>
  <w:style w:type="paragraph" w:styleId="Pta">
    <w:name w:val="footer"/>
    <w:basedOn w:val="Normlny"/>
    <w:link w:val="PtaChar"/>
    <w:uiPriority w:val="99"/>
    <w:unhideWhenUsed/>
    <w:rsid w:val="005E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5949-DEB8-4978-B54F-80776D9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Fecko, Martin (asistent)</cp:lastModifiedBy>
  <cp:revision>4</cp:revision>
  <cp:lastPrinted>2023-02-23T17:04:00Z</cp:lastPrinted>
  <dcterms:created xsi:type="dcterms:W3CDTF">2023-02-24T13:27:00Z</dcterms:created>
  <dcterms:modified xsi:type="dcterms:W3CDTF">2023-02-24T13:32:00Z</dcterms:modified>
</cp:coreProperties>
</file>