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93C49" w14:textId="77777777" w:rsidR="00332BA4" w:rsidRPr="00116510" w:rsidRDefault="00332BA4" w:rsidP="00332BA4">
      <w:pPr>
        <w:pageBreakBefore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14:paraId="2EF93C4A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</w:p>
    <w:p w14:paraId="2EF93C4B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116510">
        <w:rPr>
          <w:rFonts w:ascii="Book Antiqua" w:hAnsi="Book Antiqua"/>
          <w:sz w:val="22"/>
          <w:szCs w:val="22"/>
        </w:rPr>
        <w:t xml:space="preserve"> skupina poslancov Národnej rady Slovenskej republiky </w:t>
      </w:r>
    </w:p>
    <w:p w14:paraId="2EF93C4C" w14:textId="77777777" w:rsidR="00332BA4" w:rsidRDefault="00332BA4" w:rsidP="00332BA4">
      <w:p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16510">
        <w:rPr>
          <w:rFonts w:ascii="Book Antiqua" w:hAnsi="Book Antiqua"/>
          <w:sz w:val="22"/>
          <w:szCs w:val="22"/>
        </w:rPr>
        <w:t xml:space="preserve"> 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č. </w:t>
      </w:r>
      <w:r w:rsidRPr="00BA276D">
        <w:rPr>
          <w:rFonts w:ascii="Book Antiqua" w:hAnsi="Book Antiqua"/>
          <w:color w:val="000000"/>
          <w:sz w:val="22"/>
          <w:szCs w:val="22"/>
        </w:rPr>
        <w:t>85/2005 Z. z.  o politických stranách a politických hnutiach</w:t>
      </w:r>
    </w:p>
    <w:p w14:paraId="2EF93C4D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4E" w14:textId="77777777" w:rsidR="00332BA4" w:rsidRDefault="00332BA4" w:rsidP="00332BA4">
      <w:pPr>
        <w:rPr>
          <w:b/>
        </w:rPr>
      </w:pPr>
      <w:r w:rsidRPr="00116510">
        <w:rPr>
          <w:rFonts w:ascii="Book Antiqua" w:hAnsi="Book Antiqua"/>
          <w:b/>
          <w:bCs/>
          <w:sz w:val="22"/>
          <w:szCs w:val="22"/>
        </w:rPr>
        <w:t>3. </w:t>
      </w:r>
      <w:r w:rsidRPr="001C495A">
        <w:rPr>
          <w:b/>
        </w:rPr>
        <w:t>Predmet návrhu zákona nie je upravený v práve Európskej únie:</w:t>
      </w:r>
    </w:p>
    <w:p w14:paraId="2EF93C4F" w14:textId="77777777" w:rsidR="00332BA4" w:rsidRDefault="00332BA4" w:rsidP="00332BA4">
      <w:pPr>
        <w:ind w:left="567" w:hanging="283"/>
        <w:jc w:val="both"/>
      </w:pPr>
      <w:r w:rsidRPr="001C495A">
        <w:t>a)</w:t>
      </w:r>
      <w:r>
        <w:t xml:space="preserve"> </w:t>
      </w:r>
      <w:r>
        <w:tab/>
        <w:t xml:space="preserve">nie je </w:t>
      </w:r>
      <w:r w:rsidRPr="001C495A">
        <w:t xml:space="preserve">v primárnom práve </w:t>
      </w:r>
    </w:p>
    <w:p w14:paraId="2EF93C50" w14:textId="77777777" w:rsidR="00332BA4" w:rsidRDefault="00332BA4" w:rsidP="00332BA4">
      <w:pPr>
        <w:ind w:left="567" w:hanging="283"/>
        <w:jc w:val="both"/>
      </w:pPr>
      <w:r w:rsidRPr="001C495A">
        <w:t>b)</w:t>
      </w:r>
      <w:r>
        <w:t xml:space="preserve"> nie je </w:t>
      </w:r>
      <w:r w:rsidRPr="001C495A">
        <w:t xml:space="preserve">v sekundárnom práve </w:t>
      </w:r>
    </w:p>
    <w:p w14:paraId="2EF93C51" w14:textId="77777777" w:rsidR="00332BA4" w:rsidRDefault="00332BA4" w:rsidP="00332BA4">
      <w:pPr>
        <w:ind w:left="567" w:hanging="283"/>
        <w:jc w:val="both"/>
      </w:pPr>
      <w:r w:rsidRPr="001C495A">
        <w:t>c)</w:t>
      </w:r>
      <w:r>
        <w:tab/>
        <w:t xml:space="preserve">nie je </w:t>
      </w:r>
      <w:r w:rsidRPr="001C495A">
        <w:t xml:space="preserve">v  judikatúre  Súdneho  dvora  Európskej  únie  </w:t>
      </w:r>
    </w:p>
    <w:p w14:paraId="2EF93C52" w14:textId="77777777" w:rsidR="00332BA4" w:rsidRDefault="00332BA4" w:rsidP="00332BA4">
      <w:pPr>
        <w:ind w:left="567" w:hanging="283"/>
        <w:jc w:val="both"/>
      </w:pPr>
    </w:p>
    <w:p w14:paraId="2EF93C53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4. Záväzky Slovenskej republiky vo vzťahu k Európskej únii:</w:t>
      </w:r>
    </w:p>
    <w:p w14:paraId="2EF93C54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bezpredmetné,</w:t>
      </w:r>
    </w:p>
    <w:p w14:paraId="2EF93C55" w14:textId="77777777" w:rsidR="00332BA4" w:rsidRDefault="00332BA4" w:rsidP="00332BA4">
      <w:pPr>
        <w:numPr>
          <w:ilvl w:val="0"/>
          <w:numId w:val="1"/>
        </w:numPr>
        <w:suppressAutoHyphens w:val="0"/>
        <w:ind w:left="568" w:hanging="284"/>
        <w:jc w:val="both"/>
        <w:rPr>
          <w:rFonts w:ascii="Book Antiqua" w:hAnsi="Book Antiqua"/>
          <w:sz w:val="22"/>
          <w:szCs w:val="22"/>
        </w:rPr>
      </w:pPr>
      <w:r w:rsidRPr="00D72DE3">
        <w:rPr>
          <w:rFonts w:ascii="Book Antiqua" w:hAnsi="Book Antiqua"/>
          <w:sz w:val="22"/>
          <w:szCs w:val="22"/>
        </w:rPr>
        <w:t>v danej oblasti nebol proti Slovenskej republike začatý postup Európskej komisie a ani konanie Súdneho dvora Európskej únie,</w:t>
      </w:r>
    </w:p>
    <w:p w14:paraId="2EF93C56" w14:textId="77777777" w:rsidR="00332BA4" w:rsidRPr="00550F63" w:rsidRDefault="00332BA4" w:rsidP="00332BA4">
      <w:pPr>
        <w:pStyle w:val="Vchodzie"/>
        <w:numPr>
          <w:ilvl w:val="0"/>
          <w:numId w:val="1"/>
        </w:numPr>
        <w:tabs>
          <w:tab w:val="left" w:pos="284"/>
          <w:tab w:val="left" w:pos="720"/>
        </w:tabs>
        <w:suppressAutoHyphens w:val="0"/>
        <w:autoSpaceDE w:val="0"/>
        <w:autoSpaceDN w:val="0"/>
        <w:adjustRightInd w:val="0"/>
        <w:ind w:left="568" w:hanging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bezpredmetné.</w:t>
      </w:r>
    </w:p>
    <w:p w14:paraId="2EF93C57" w14:textId="77777777" w:rsidR="00332BA4" w:rsidRPr="00550F63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550F63">
        <w:rPr>
          <w:rFonts w:ascii="Book Antiqua" w:hAnsi="Book Antiqua" w:cs="Book Antiqua"/>
          <w:b/>
          <w:bCs/>
          <w:sz w:val="22"/>
          <w:szCs w:val="22"/>
        </w:rPr>
        <w:t>5. </w:t>
      </w:r>
      <w:r w:rsidRPr="00FB3DF8">
        <w:rPr>
          <w:rFonts w:ascii="Book Antiqua" w:hAnsi="Book Antiqua"/>
          <w:b/>
          <w:color w:val="000000"/>
          <w:sz w:val="22"/>
          <w:szCs w:val="22"/>
        </w:rPr>
        <w:t>Stupeň zlučiteľnosti návrhu zákona s právom Európskej únie</w:t>
      </w:r>
      <w:r w:rsidRPr="00550F63">
        <w:rPr>
          <w:rFonts w:ascii="Book Antiqua" w:hAnsi="Book Antiqua" w:cs="Book Antiqua"/>
          <w:b/>
          <w:bCs/>
          <w:sz w:val="22"/>
          <w:szCs w:val="22"/>
        </w:rPr>
        <w:t>:</w:t>
      </w:r>
    </w:p>
    <w:p w14:paraId="2EF93C58" w14:textId="77777777" w:rsidR="00332BA4" w:rsidRDefault="00332BA4" w:rsidP="00332BA4">
      <w:pPr>
        <w:suppressAutoHyphens w:val="0"/>
        <w:jc w:val="both"/>
        <w:rPr>
          <w:rFonts w:ascii="Book Antiqua" w:hAnsi="Book Antiqua"/>
          <w:sz w:val="22"/>
          <w:szCs w:val="22"/>
        </w:rPr>
      </w:pPr>
      <w:r w:rsidRPr="00550F63">
        <w:rPr>
          <w:rFonts w:ascii="Book Antiqua" w:hAnsi="Book Antiqua"/>
          <w:sz w:val="22"/>
          <w:szCs w:val="22"/>
        </w:rPr>
        <w:t xml:space="preserve">- </w:t>
      </w:r>
      <w:r w:rsidRPr="00550F63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>bezpredmetné,</w:t>
      </w:r>
    </w:p>
    <w:p w14:paraId="2EF93C59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14:paraId="2EF93C5A" w14:textId="77777777" w:rsidR="00332BA4" w:rsidRPr="00116510" w:rsidRDefault="00332BA4" w:rsidP="00332BA4">
      <w:pPr>
        <w:pStyle w:val="Normlnywebov"/>
        <w:pageBreakBefore/>
        <w:spacing w:before="120" w:after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14:paraId="2EF93C5B" w14:textId="77777777" w:rsidR="00332BA4" w:rsidRPr="00116510" w:rsidRDefault="00332BA4" w:rsidP="00332BA4">
      <w:pPr>
        <w:pStyle w:val="Normlnywebov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vybraných vplyvov</w:t>
      </w:r>
    </w:p>
    <w:p w14:paraId="2EF93C5C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2EF93C5D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116510">
        <w:rPr>
          <w:rFonts w:ascii="Book Antiqua" w:hAnsi="Book Antiqua"/>
          <w:sz w:val="22"/>
          <w:szCs w:val="22"/>
        </w:rPr>
        <w:t xml:space="preserve">návrh zákona, </w:t>
      </w:r>
      <w:r w:rsidRPr="00116510">
        <w:rPr>
          <w:rFonts w:ascii="Book Antiqua" w:hAnsi="Book Antiqua"/>
          <w:color w:val="000000"/>
          <w:sz w:val="22"/>
          <w:szCs w:val="22"/>
        </w:rPr>
        <w:t xml:space="preserve">ktorým sa mení a dopĺňa zákon Slovenskej národnej rady č. </w:t>
      </w:r>
      <w:r w:rsidRPr="00BA276D">
        <w:rPr>
          <w:rFonts w:ascii="Book Antiqua" w:hAnsi="Book Antiqua"/>
          <w:color w:val="000000"/>
          <w:sz w:val="22"/>
          <w:szCs w:val="22"/>
        </w:rPr>
        <w:t>85/2005 Z. z.  o politických stranách a politických hnutiach</w:t>
      </w:r>
    </w:p>
    <w:p w14:paraId="2EF93C5E" w14:textId="77777777" w:rsidR="00332BA4" w:rsidRPr="00116510" w:rsidRDefault="00332BA4" w:rsidP="00332BA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EF93C5F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116510">
        <w:rPr>
          <w:rFonts w:ascii="Book Antiqua" w:hAnsi="Book Antiqua"/>
          <w:sz w:val="22"/>
          <w:szCs w:val="22"/>
        </w:rPr>
        <w:t xml:space="preserve"> </w:t>
      </w: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60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61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7"/>
        <w:gridCol w:w="1191"/>
        <w:gridCol w:w="1181"/>
        <w:gridCol w:w="1198"/>
      </w:tblGrid>
      <w:tr w:rsidR="00332BA4" w14:paraId="2EF93C66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332BA4" w14:paraId="2EF93C6B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8" w14:textId="7F335360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9" w14:textId="53C615C0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0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6F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5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2" w14:textId="3CDFCA29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3" w14:textId="0587D912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4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A" w14:textId="77777777" w:rsidTr="00176F5C">
        <w:trPr>
          <w:trHeight w:val="441"/>
        </w:trPr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7" w14:textId="241BA9A4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8" w14:textId="439E9D3B" w:rsidR="00332BA4" w:rsidRPr="00116510" w:rsidRDefault="00AB7A4F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9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7F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7E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332BA4" w14:paraId="2EF93C84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0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1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2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3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2EF93C89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5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6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7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8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332BA4" w14:paraId="2EF93C8E" w14:textId="77777777" w:rsidTr="00176F5C"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A" w14:textId="77777777" w:rsidR="00332BA4" w:rsidRPr="00116510" w:rsidRDefault="00332BA4" w:rsidP="00176F5C">
            <w:pPr>
              <w:pStyle w:val="Normlnywebov"/>
              <w:spacing w:before="120" w:after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B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C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510">
              <w:rPr>
                <w:rFonts w:ascii="Book Antiqua" w:hAnsi="Book Antiqua"/>
                <w:sz w:val="22"/>
                <w:szCs w:val="22"/>
              </w:rPr>
              <w:t> x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93C8D" w14:textId="77777777" w:rsidR="00332BA4" w:rsidRPr="00116510" w:rsidRDefault="00332BA4" w:rsidP="00176F5C">
            <w:pPr>
              <w:pStyle w:val="Normlnywebov"/>
              <w:spacing w:before="120" w:after="0" w:line="276" w:lineRule="auto"/>
              <w:jc w:val="center"/>
            </w:pPr>
            <w:r w:rsidRPr="00116510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14:paraId="2EF93C8F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sz w:val="22"/>
          <w:szCs w:val="22"/>
        </w:rPr>
        <w:t> </w:t>
      </w:r>
    </w:p>
    <w:p w14:paraId="2EF93C90" w14:textId="77777777" w:rsidR="00332BA4" w:rsidRPr="00116510" w:rsidRDefault="00332BA4" w:rsidP="00332BA4">
      <w:pPr>
        <w:pStyle w:val="Normlnywebov"/>
        <w:spacing w:before="120" w:after="0" w:line="276" w:lineRule="auto"/>
        <w:rPr>
          <w:rFonts w:ascii="Book Antiqua" w:hAnsi="Book Antiqua"/>
          <w:i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3EFD1558" w14:textId="77777777" w:rsidR="00AB7A4F" w:rsidRPr="00116510" w:rsidRDefault="00AB7A4F" w:rsidP="00AB7A4F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93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bookmarkStart w:id="0" w:name="_GoBack"/>
      <w:bookmarkEnd w:id="0"/>
    </w:p>
    <w:p w14:paraId="2EF93C94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2EF93C95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510">
        <w:rPr>
          <w:rFonts w:ascii="Book Antiqua" w:hAnsi="Book Antiqua"/>
          <w:i/>
          <w:iCs/>
          <w:sz w:val="22"/>
          <w:szCs w:val="22"/>
        </w:rPr>
        <w:t>bezpredmetné</w:t>
      </w:r>
    </w:p>
    <w:p w14:paraId="2EF93C96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14:paraId="2EF93C97" w14:textId="77777777" w:rsidR="00332BA4" w:rsidRPr="00116510" w:rsidRDefault="00332BA4" w:rsidP="00332BA4">
      <w:pPr>
        <w:pStyle w:val="Normlnywebov"/>
        <w:spacing w:before="120" w:after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116510">
        <w:rPr>
          <w:rFonts w:ascii="Book Antiqua" w:hAnsi="Book Antiqua"/>
          <w:b/>
          <w:bCs/>
          <w:sz w:val="22"/>
          <w:szCs w:val="22"/>
        </w:rPr>
        <w:t>A.5. Stanovisko gestorov</w:t>
      </w:r>
    </w:p>
    <w:p w14:paraId="2EF93C98" w14:textId="77777777" w:rsidR="00332BA4" w:rsidRDefault="00332BA4" w:rsidP="00332BA4">
      <w:pPr>
        <w:pStyle w:val="Normlnywebov"/>
        <w:spacing w:before="120" w:after="0" w:line="276" w:lineRule="auto"/>
        <w:jc w:val="both"/>
      </w:pPr>
      <w:r w:rsidRPr="00116510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</w:t>
      </w:r>
      <w:r>
        <w:rPr>
          <w:rFonts w:ascii="Book Antiqua" w:hAnsi="Book Antiqua"/>
          <w:i/>
          <w:iCs/>
          <w:sz w:val="22"/>
          <w:szCs w:val="22"/>
        </w:rPr>
        <w:t>.</w:t>
      </w:r>
    </w:p>
    <w:p w14:paraId="2EF93C99" w14:textId="77777777" w:rsidR="00813D62" w:rsidRDefault="00813D62"/>
    <w:sectPr w:rsidR="00813D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93CA1" w14:textId="77777777" w:rsidR="00000000" w:rsidRDefault="00AB7A4F">
      <w:r>
        <w:separator/>
      </w:r>
    </w:p>
  </w:endnote>
  <w:endnote w:type="continuationSeparator" w:id="0">
    <w:p w14:paraId="2EF93CA3" w14:textId="77777777" w:rsidR="00000000" w:rsidRDefault="00AB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3C9B" w14:textId="77777777" w:rsidR="00D40371" w:rsidRDefault="00332BA4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2EF93C9D" wp14:editId="2EF93C9E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93C9F" w14:textId="23EFF266" w:rsidR="00D40371" w:rsidRDefault="00332BA4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B7A4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93C9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EF93C9F" w14:textId="23EFF266" w:rsidR="00D40371" w:rsidRDefault="00332BA4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B7A4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2EF93C9C" w14:textId="77777777" w:rsidR="00D40371" w:rsidRDefault="00AB7A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93C9D" w14:textId="77777777" w:rsidR="00000000" w:rsidRDefault="00AB7A4F">
      <w:r>
        <w:separator/>
      </w:r>
    </w:p>
  </w:footnote>
  <w:footnote w:type="continuationSeparator" w:id="0">
    <w:p w14:paraId="2EF93C9F" w14:textId="77777777" w:rsidR="00000000" w:rsidRDefault="00AB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93C9A" w14:textId="77777777" w:rsidR="00D40371" w:rsidRDefault="00AB7A4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57"/>
    <w:rsid w:val="001B3057"/>
    <w:rsid w:val="00332BA4"/>
    <w:rsid w:val="00813D62"/>
    <w:rsid w:val="00A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3C49"/>
  <w15:chartTrackingRefBased/>
  <w15:docId w15:val="{BCEF640D-377E-4266-BDC1-38840C14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2BA4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32BA4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32BA4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332BA4"/>
    <w:pPr>
      <w:spacing w:before="100" w:after="100"/>
    </w:pPr>
  </w:style>
  <w:style w:type="paragraph" w:customStyle="1" w:styleId="Vchodzie">
    <w:name w:val="Vchodzie"/>
    <w:rsid w:val="00332BA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1330</Characters>
  <Application>Microsoft Office Word</Application>
  <DocSecurity>0</DocSecurity>
  <Lines>11</Lines>
  <Paragraphs>3</Paragraphs>
  <ScaleCrop>false</ScaleCrop>
  <Company>ZSR-ZT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3</cp:revision>
  <dcterms:created xsi:type="dcterms:W3CDTF">2020-08-12T23:35:00Z</dcterms:created>
  <dcterms:modified xsi:type="dcterms:W3CDTF">2023-02-24T10:16:00Z</dcterms:modified>
</cp:coreProperties>
</file>