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FD49" w14:textId="77777777" w:rsidR="00C10209" w:rsidRPr="00CE3E71" w:rsidRDefault="00C10209" w:rsidP="00C10209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pacing w:val="20"/>
          <w:sz w:val="22"/>
          <w:szCs w:val="22"/>
        </w:rPr>
        <w:t>NÁRODNÁ  RADA  SLOVENSKEJ  REPUBLIKY</w:t>
      </w:r>
    </w:p>
    <w:p w14:paraId="11E0C711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</w:p>
    <w:p w14:paraId="7741A014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VII</w:t>
      </w:r>
      <w:r>
        <w:rPr>
          <w:rFonts w:ascii="Book Antiqua" w:hAnsi="Book Antiqua"/>
          <w:color w:val="000000" w:themeColor="text1"/>
          <w:spacing w:val="20"/>
          <w:sz w:val="22"/>
          <w:szCs w:val="22"/>
        </w:rPr>
        <w:t>I</w:t>
      </w: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. volebné obdobie</w:t>
      </w:r>
    </w:p>
    <w:p w14:paraId="2BA7155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43EB01B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30"/>
          <w:sz w:val="22"/>
          <w:szCs w:val="22"/>
        </w:rPr>
        <w:t>Návrh</w:t>
      </w:r>
    </w:p>
    <w:p w14:paraId="29AE02D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13B04D93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  <w:t>zákon</w:t>
      </w:r>
    </w:p>
    <w:p w14:paraId="6D9CB4D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2FD2EEBB" w14:textId="7B6CC32C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 ... 20</w:t>
      </w:r>
      <w:r w:rsidR="00AC7A8D">
        <w:rPr>
          <w:rFonts w:ascii="Book Antiqua" w:hAnsi="Book Antiqua"/>
          <w:color w:val="000000" w:themeColor="text1"/>
          <w:sz w:val="22"/>
          <w:szCs w:val="22"/>
        </w:rPr>
        <w:t>2</w:t>
      </w:r>
      <w:r w:rsidR="009546B2">
        <w:rPr>
          <w:rFonts w:ascii="Book Antiqua" w:hAnsi="Book Antiqua"/>
          <w:color w:val="000000" w:themeColor="text1"/>
          <w:sz w:val="22"/>
          <w:szCs w:val="22"/>
        </w:rPr>
        <w:t>3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</w:t>
      </w:r>
    </w:p>
    <w:p w14:paraId="4A1D4630" w14:textId="77777777" w:rsidR="00C10209" w:rsidRPr="00CE3E71" w:rsidRDefault="00C10209" w:rsidP="00C10209">
      <w:p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72B40A13" w14:textId="597D81BC" w:rsidR="00C10209" w:rsidRPr="00CE3E71" w:rsidRDefault="0007107D" w:rsidP="0007107D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7107D">
        <w:rPr>
          <w:rFonts w:ascii="Book Antiqua" w:hAnsi="Book Antiqua"/>
          <w:b/>
          <w:bCs/>
          <w:color w:val="000000" w:themeColor="text1"/>
          <w:sz w:val="22"/>
          <w:szCs w:val="22"/>
        </w:rPr>
        <w:t>ktorým sa mení a dopĺňa zákon Národnej rady Slovenskej republiky č. 474/2013 Z. z. o výbere mýta za užívanie vymedzených úsekov pozemných komunikácií a o zmene a doplnení niektorých zákonov v znení neskorších predpisov</w:t>
      </w:r>
    </w:p>
    <w:p w14:paraId="75E56CAF" w14:textId="77777777" w:rsidR="0007107D" w:rsidRDefault="0007107D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FF36E4A" w14:textId="447C76C6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Národná rada Slovenskej republiky sa uzniesla na tomto zákone:</w:t>
      </w:r>
    </w:p>
    <w:p w14:paraId="38DB0299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50944186" w14:textId="77777777" w:rsidR="0007107D" w:rsidRPr="008759DC" w:rsidRDefault="0007107D" w:rsidP="0007107D">
      <w:pPr>
        <w:widowControl w:val="0"/>
        <w:spacing w:line="276" w:lineRule="auto"/>
        <w:ind w:firstLine="426"/>
        <w:jc w:val="both"/>
        <w:rPr>
          <w:spacing w:val="4"/>
          <w:lang w:eastAsia="sk-SK"/>
        </w:rPr>
      </w:pPr>
      <w:r w:rsidRPr="008759DC">
        <w:rPr>
          <w:spacing w:val="4"/>
          <w:lang w:eastAsia="sk-SK"/>
        </w:rPr>
        <w:t xml:space="preserve">Zákon Národnej rady Slovenskej republiky č. </w:t>
      </w:r>
      <w:r>
        <w:rPr>
          <w:spacing w:val="4"/>
          <w:lang w:eastAsia="sk-SK"/>
        </w:rPr>
        <w:t>474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2013</w:t>
      </w:r>
      <w:r w:rsidRPr="008759DC">
        <w:rPr>
          <w:spacing w:val="4"/>
          <w:lang w:eastAsia="sk-SK"/>
        </w:rPr>
        <w:t xml:space="preserve"> Z. z. o</w:t>
      </w:r>
      <w:r w:rsidRPr="00A201C0">
        <w:rPr>
          <w:spacing w:val="4"/>
          <w:lang w:eastAsia="sk-SK"/>
        </w:rPr>
        <w:t xml:space="preserve"> výbere mýta za užívanie vymedzených úsekov pozemných komunikácií </w:t>
      </w:r>
      <w:r w:rsidRPr="008759DC">
        <w:rPr>
          <w:spacing w:val="4"/>
          <w:lang w:eastAsia="sk-SK"/>
        </w:rPr>
        <w:t xml:space="preserve">v znení zákona č. </w:t>
      </w:r>
      <w:r>
        <w:rPr>
          <w:spacing w:val="4"/>
          <w:lang w:eastAsia="sk-SK"/>
        </w:rPr>
        <w:t>123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2015</w:t>
      </w:r>
      <w:r w:rsidRPr="008759DC">
        <w:rPr>
          <w:spacing w:val="4"/>
          <w:lang w:eastAsia="sk-SK"/>
        </w:rPr>
        <w:t xml:space="preserve"> Z. z., zákona č. </w:t>
      </w:r>
      <w:r>
        <w:rPr>
          <w:spacing w:val="4"/>
          <w:lang w:eastAsia="sk-SK"/>
        </w:rPr>
        <w:t>387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2015</w:t>
      </w:r>
      <w:r w:rsidRPr="008759DC">
        <w:rPr>
          <w:spacing w:val="4"/>
          <w:lang w:eastAsia="sk-SK"/>
        </w:rPr>
        <w:t xml:space="preserve"> Z. z., zákona č. </w:t>
      </w:r>
      <w:r>
        <w:rPr>
          <w:spacing w:val="4"/>
          <w:lang w:eastAsia="sk-SK"/>
        </w:rPr>
        <w:t>91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2016</w:t>
      </w:r>
      <w:r w:rsidRPr="008759DC">
        <w:rPr>
          <w:spacing w:val="4"/>
          <w:lang w:eastAsia="sk-SK"/>
        </w:rPr>
        <w:t xml:space="preserve"> Z. z., zákona č. </w:t>
      </w:r>
      <w:r>
        <w:rPr>
          <w:spacing w:val="4"/>
          <w:lang w:eastAsia="sk-SK"/>
        </w:rPr>
        <w:t>315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2016</w:t>
      </w:r>
      <w:r w:rsidRPr="008759DC">
        <w:rPr>
          <w:spacing w:val="4"/>
          <w:lang w:eastAsia="sk-SK"/>
        </w:rPr>
        <w:t xml:space="preserve"> Z. z., zákona č. </w:t>
      </w:r>
      <w:r>
        <w:rPr>
          <w:spacing w:val="4"/>
          <w:lang w:eastAsia="sk-SK"/>
        </w:rPr>
        <w:t>51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2017</w:t>
      </w:r>
      <w:r w:rsidRPr="008759DC">
        <w:rPr>
          <w:spacing w:val="4"/>
          <w:lang w:eastAsia="sk-SK"/>
        </w:rPr>
        <w:t xml:space="preserve"> Z. z., zákona č. </w:t>
      </w:r>
      <w:r>
        <w:rPr>
          <w:spacing w:val="4"/>
          <w:lang w:eastAsia="sk-SK"/>
        </w:rPr>
        <w:t>56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 xml:space="preserve">2018 Z. z., </w:t>
      </w:r>
      <w:r w:rsidRPr="008759DC">
        <w:rPr>
          <w:spacing w:val="4"/>
          <w:lang w:eastAsia="sk-SK"/>
        </w:rPr>
        <w:t xml:space="preserve">zákona č. </w:t>
      </w:r>
      <w:r>
        <w:rPr>
          <w:spacing w:val="4"/>
          <w:lang w:eastAsia="sk-SK"/>
        </w:rPr>
        <w:t>106</w:t>
      </w:r>
      <w:r w:rsidRPr="008759DC">
        <w:rPr>
          <w:spacing w:val="4"/>
          <w:lang w:eastAsia="sk-SK"/>
        </w:rPr>
        <w:t>/</w:t>
      </w:r>
      <w:r>
        <w:rPr>
          <w:spacing w:val="4"/>
          <w:lang w:eastAsia="sk-SK"/>
        </w:rPr>
        <w:t>2018</w:t>
      </w:r>
      <w:r w:rsidRPr="008759DC">
        <w:rPr>
          <w:spacing w:val="4"/>
          <w:lang w:eastAsia="sk-SK"/>
        </w:rPr>
        <w:t xml:space="preserve"> Z. </w:t>
      </w:r>
      <w:r w:rsidRPr="00ED5B16">
        <w:rPr>
          <w:spacing w:val="4"/>
          <w:lang w:eastAsia="sk-SK"/>
        </w:rPr>
        <w:t xml:space="preserve">z., zákona č. 177/2018 Z. z., zákona č. 149/2019 Z. z., zákona č. 221/2019 Z. z., zákona č. </w:t>
      </w:r>
      <w:r w:rsidRPr="00286A2D">
        <w:rPr>
          <w:color w:val="505050"/>
          <w:shd w:val="clear" w:color="auto" w:fill="FFFFFF"/>
        </w:rPr>
        <w:t> </w:t>
      </w:r>
      <w:r w:rsidRPr="00286A2D">
        <w:t>393/2019 Z. z.</w:t>
      </w:r>
      <w:r w:rsidRPr="00286A2D">
        <w:rPr>
          <w:color w:val="505050"/>
          <w:shd w:val="clear" w:color="auto" w:fill="FFFFFF"/>
        </w:rPr>
        <w:t>,</w:t>
      </w:r>
      <w:r w:rsidRPr="00ED5B16">
        <w:rPr>
          <w:spacing w:val="4"/>
          <w:lang w:eastAsia="sk-SK"/>
        </w:rPr>
        <w:t xml:space="preserve"> zákona č.</w:t>
      </w:r>
      <w:r w:rsidRPr="00286A2D">
        <w:rPr>
          <w:color w:val="505050"/>
          <w:shd w:val="clear" w:color="auto" w:fill="FFFFFF"/>
        </w:rPr>
        <w:t> </w:t>
      </w:r>
      <w:r w:rsidRPr="00286A2D">
        <w:t>198/2020 Z. z.</w:t>
      </w:r>
      <w:r w:rsidRPr="00286A2D">
        <w:rPr>
          <w:color w:val="505050"/>
          <w:shd w:val="clear" w:color="auto" w:fill="FFFFFF"/>
        </w:rPr>
        <w:t>,</w:t>
      </w:r>
      <w:r w:rsidRPr="00ED5B16">
        <w:rPr>
          <w:spacing w:val="4"/>
          <w:lang w:eastAsia="sk-SK"/>
        </w:rPr>
        <w:t xml:space="preserve"> zákona č.</w:t>
      </w:r>
      <w:r w:rsidRPr="00286A2D">
        <w:rPr>
          <w:color w:val="505050"/>
          <w:shd w:val="clear" w:color="auto" w:fill="FFFFFF"/>
        </w:rPr>
        <w:t> </w:t>
      </w:r>
      <w:r w:rsidRPr="00286A2D">
        <w:t>404/2021 Z. z.</w:t>
      </w:r>
      <w:r w:rsidRPr="00286A2D">
        <w:rPr>
          <w:color w:val="505050"/>
          <w:shd w:val="clear" w:color="auto" w:fill="FFFFFF"/>
        </w:rPr>
        <w:t>,</w:t>
      </w:r>
      <w:r w:rsidRPr="00ED5B16">
        <w:rPr>
          <w:spacing w:val="4"/>
          <w:lang w:eastAsia="sk-SK"/>
        </w:rPr>
        <w:t xml:space="preserve"> zákona č.</w:t>
      </w:r>
      <w:r w:rsidRPr="00286A2D">
        <w:rPr>
          <w:color w:val="505050"/>
          <w:shd w:val="clear" w:color="auto" w:fill="FFFFFF"/>
        </w:rPr>
        <w:t> </w:t>
      </w:r>
      <w:r w:rsidRPr="00286A2D">
        <w:t>92/2022 Z. z.</w:t>
      </w:r>
      <w:r w:rsidRPr="00ED5B16">
        <w:rPr>
          <w:spacing w:val="4"/>
          <w:lang w:eastAsia="sk-SK"/>
        </w:rPr>
        <w:t xml:space="preserve"> sa mení a dopĺňa takto:</w:t>
      </w:r>
    </w:p>
    <w:p w14:paraId="62A2A405" w14:textId="77777777" w:rsidR="0007107D" w:rsidRPr="008759DC" w:rsidRDefault="0007107D" w:rsidP="0007107D">
      <w:pPr>
        <w:spacing w:line="276" w:lineRule="auto"/>
        <w:rPr>
          <w:spacing w:val="4"/>
        </w:rPr>
      </w:pPr>
    </w:p>
    <w:p w14:paraId="147B34B4" w14:textId="77777777" w:rsidR="0007107D" w:rsidRDefault="0007107D" w:rsidP="0007107D">
      <w:pPr>
        <w:pStyle w:val="Odsekzoznamu"/>
        <w:spacing w:line="276" w:lineRule="auto"/>
        <w:ind w:left="0"/>
        <w:jc w:val="both"/>
        <w:rPr>
          <w:spacing w:val="4"/>
        </w:rPr>
      </w:pPr>
      <w:r>
        <w:rPr>
          <w:spacing w:val="4"/>
        </w:rPr>
        <w:t xml:space="preserve">1. V </w:t>
      </w:r>
      <w:r w:rsidRPr="0019299F">
        <w:rPr>
          <w:spacing w:val="4"/>
        </w:rPr>
        <w:t>§ 27 ods</w:t>
      </w:r>
      <w:r>
        <w:rPr>
          <w:spacing w:val="4"/>
        </w:rPr>
        <w:t>ek</w:t>
      </w:r>
      <w:r w:rsidRPr="0019299F">
        <w:rPr>
          <w:spacing w:val="4"/>
        </w:rPr>
        <w:t xml:space="preserve"> 3 znie:</w:t>
      </w:r>
    </w:p>
    <w:p w14:paraId="55A18B8C" w14:textId="77777777" w:rsidR="0007107D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  <w:r>
        <w:rPr>
          <w:spacing w:val="4"/>
        </w:rPr>
        <w:t xml:space="preserve">    „(3) </w:t>
      </w:r>
      <w:r w:rsidRPr="0019299F">
        <w:rPr>
          <w:spacing w:val="4"/>
        </w:rPr>
        <w:t>Za priestupok podľa odseku 1 písm.</w:t>
      </w:r>
      <w:r>
        <w:rPr>
          <w:spacing w:val="4"/>
        </w:rPr>
        <w:t xml:space="preserve"> a) sa uloží pokuta vo výške </w:t>
      </w:r>
      <w:r w:rsidRPr="0019299F">
        <w:rPr>
          <w:spacing w:val="4"/>
        </w:rPr>
        <w:t xml:space="preserve">päťdesiatnásobku nedoplatku mýta, najviac však </w:t>
      </w:r>
      <w:r>
        <w:rPr>
          <w:spacing w:val="4"/>
        </w:rPr>
        <w:t>800</w:t>
      </w:r>
      <w:r w:rsidRPr="0019299F">
        <w:rPr>
          <w:spacing w:val="4"/>
        </w:rPr>
        <w:t xml:space="preserve"> eur, </w:t>
      </w:r>
      <w:r>
        <w:rPr>
          <w:spacing w:val="4"/>
        </w:rPr>
        <w:t>a v blokovom konaní vo výške tridsať</w:t>
      </w:r>
      <w:r w:rsidRPr="0019299F">
        <w:rPr>
          <w:spacing w:val="4"/>
        </w:rPr>
        <w:t xml:space="preserve">násobku nedoplatku mýta, pričom výsledná suma sa zaokrúhli na celú sumu v eurách deliteľnú piatimi, najviac však do výšky </w:t>
      </w:r>
      <w:r w:rsidRPr="007F3A6E">
        <w:rPr>
          <w:spacing w:val="4"/>
        </w:rPr>
        <w:t>500</w:t>
      </w:r>
      <w:r w:rsidRPr="0019299F">
        <w:rPr>
          <w:spacing w:val="4"/>
        </w:rPr>
        <w:t xml:space="preserve"> eur. Ak nie je možné určiť výšku nedoplatku </w:t>
      </w:r>
      <w:r>
        <w:rPr>
          <w:spacing w:val="4"/>
        </w:rPr>
        <w:t>mýta, uloží sa pokuta vo výške 5</w:t>
      </w:r>
      <w:r w:rsidRPr="0019299F">
        <w:rPr>
          <w:spacing w:val="4"/>
        </w:rPr>
        <w:t>00 eur</w:t>
      </w:r>
      <w:r>
        <w:rPr>
          <w:spacing w:val="4"/>
        </w:rPr>
        <w:t>.“.</w:t>
      </w:r>
    </w:p>
    <w:p w14:paraId="31734F81" w14:textId="77777777" w:rsidR="0007107D" w:rsidRDefault="0007107D" w:rsidP="0007107D">
      <w:pPr>
        <w:pStyle w:val="Odsekzoznamu"/>
        <w:spacing w:line="276" w:lineRule="auto"/>
        <w:ind w:left="0"/>
        <w:jc w:val="both"/>
        <w:rPr>
          <w:spacing w:val="4"/>
        </w:rPr>
      </w:pPr>
    </w:p>
    <w:p w14:paraId="2FBDD2F1" w14:textId="77777777" w:rsidR="0007107D" w:rsidRDefault="0007107D" w:rsidP="0007107D">
      <w:pPr>
        <w:pStyle w:val="Odsekzoznamu"/>
        <w:spacing w:line="276" w:lineRule="auto"/>
        <w:ind w:left="0"/>
        <w:jc w:val="both"/>
        <w:rPr>
          <w:spacing w:val="4"/>
        </w:rPr>
      </w:pPr>
      <w:r>
        <w:rPr>
          <w:spacing w:val="4"/>
        </w:rPr>
        <w:t>2. V § 28 odsek 4 znie:</w:t>
      </w:r>
    </w:p>
    <w:p w14:paraId="2052418B" w14:textId="77777777" w:rsidR="0007107D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  <w:r>
        <w:rPr>
          <w:spacing w:val="4"/>
        </w:rPr>
        <w:t xml:space="preserve">    „(4) </w:t>
      </w:r>
      <w:r w:rsidRPr="003D3DE2">
        <w:rPr>
          <w:spacing w:val="4"/>
        </w:rPr>
        <w:t xml:space="preserve">Za správny delikt podľa odseku 1 písm. a) </w:t>
      </w:r>
      <w:r>
        <w:rPr>
          <w:spacing w:val="4"/>
        </w:rPr>
        <w:t xml:space="preserve">sa uloží pokuta vo výške od 100 eur do 600 eur. Ak prevádzkovateľ vozidla uhradí nedoplatok mýta do 24:00 hodiny nasledujúceho kalendárneho dňa od dňa porušenia povinnosti pokuta sa neuloží. </w:t>
      </w:r>
      <w:r w:rsidRPr="003D3DE2">
        <w:rPr>
          <w:spacing w:val="4"/>
        </w:rPr>
        <w:t>Za správny delikt podľa odseku 2 sa uloží pokuta vo výške od 1 500 eur do 10 000 eur.</w:t>
      </w:r>
      <w:r>
        <w:rPr>
          <w:spacing w:val="4"/>
        </w:rPr>
        <w:t>“.</w:t>
      </w:r>
    </w:p>
    <w:p w14:paraId="0EA92ABF" w14:textId="77777777" w:rsidR="0007107D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</w:p>
    <w:p w14:paraId="0AD98C2D" w14:textId="77777777" w:rsidR="0007107D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</w:p>
    <w:p w14:paraId="56E342F5" w14:textId="77777777" w:rsidR="0007107D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</w:p>
    <w:p w14:paraId="678C9C13" w14:textId="77777777" w:rsidR="0007107D" w:rsidRPr="002C0693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  <w:r w:rsidRPr="002C0693">
        <w:rPr>
          <w:spacing w:val="4"/>
        </w:rPr>
        <w:t>3. V § 28 odsek 10 znie:</w:t>
      </w:r>
    </w:p>
    <w:p w14:paraId="184C7466" w14:textId="77777777" w:rsidR="0007107D" w:rsidRPr="002C0693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  <w:r w:rsidRPr="002C0693">
        <w:rPr>
          <w:spacing w:val="4"/>
        </w:rPr>
        <w:lastRenderedPageBreak/>
        <w:tab/>
        <w:t xml:space="preserve">„10) </w:t>
      </w:r>
      <w:r w:rsidRPr="00286A2D">
        <w:rPr>
          <w:color w:val="000000"/>
          <w:shd w:val="clear" w:color="auto" w:fill="FFFFFF"/>
        </w:rPr>
        <w:t>Za viac správnych deliktov podľa odseku 1 toho istého prevádzkovateľa vozidla spáchaných tým istým vozidlom sa v jednom konaní uloží len jedna pokuta</w:t>
      </w:r>
      <w:r w:rsidRPr="002C0693">
        <w:rPr>
          <w:spacing w:val="4"/>
        </w:rPr>
        <w:t>.“.</w:t>
      </w:r>
    </w:p>
    <w:p w14:paraId="481A2B52" w14:textId="77777777" w:rsidR="0007107D" w:rsidRPr="002C0693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</w:p>
    <w:p w14:paraId="2EFCC075" w14:textId="77777777" w:rsidR="0007107D" w:rsidRPr="002C0693" w:rsidRDefault="0007107D" w:rsidP="0007107D">
      <w:pPr>
        <w:pStyle w:val="Odsekzoznamu"/>
        <w:spacing w:line="276" w:lineRule="auto"/>
        <w:ind w:left="0"/>
        <w:jc w:val="both"/>
        <w:rPr>
          <w:spacing w:val="4"/>
        </w:rPr>
      </w:pPr>
    </w:p>
    <w:p w14:paraId="31700FE9" w14:textId="77777777" w:rsidR="0007107D" w:rsidRPr="002C0693" w:rsidRDefault="0007107D" w:rsidP="0007107D">
      <w:pPr>
        <w:pStyle w:val="Odsekzoznamu"/>
        <w:spacing w:line="276" w:lineRule="auto"/>
        <w:ind w:left="0"/>
        <w:jc w:val="both"/>
        <w:rPr>
          <w:spacing w:val="4"/>
        </w:rPr>
      </w:pPr>
      <w:r w:rsidRPr="002C0693">
        <w:rPr>
          <w:spacing w:val="4"/>
        </w:rPr>
        <w:t>4. V § 28 odsek 11 znie:</w:t>
      </w:r>
    </w:p>
    <w:p w14:paraId="331F3B75" w14:textId="77777777" w:rsidR="0007107D" w:rsidRPr="002C0693" w:rsidRDefault="0007107D" w:rsidP="0007107D">
      <w:pPr>
        <w:pStyle w:val="Odsekzoznamu"/>
        <w:spacing w:line="276" w:lineRule="auto"/>
        <w:ind w:left="284" w:hanging="284"/>
        <w:jc w:val="both"/>
        <w:rPr>
          <w:spacing w:val="4"/>
        </w:rPr>
      </w:pPr>
      <w:r w:rsidRPr="002C0693">
        <w:rPr>
          <w:spacing w:val="4"/>
        </w:rPr>
        <w:t xml:space="preserve">   „11) </w:t>
      </w:r>
      <w:r w:rsidRPr="00286A2D">
        <w:rPr>
          <w:color w:val="000000"/>
          <w:shd w:val="clear" w:color="auto" w:fill="FFFFFF"/>
        </w:rPr>
        <w:t>O viacerých správnych deliktoch podľa odseku 1 toho istého prevádzkovateľa vozidla spáchaných rôznymi vozidlami sa rozhodne a pokuta sa uloží osobitne vo viacerých samostatných konaniach vedených podľa vozidla, ktorými bol správny delikt spáchaný. Samostatné konania o všetkých správnych deliktoch toho istého prevádzkovateľa vozidla podľa odseku 1 spáchaných viacerými vozidlami nie je možné spojiť do jedného konania ani o takýchto správnych deliktoch rozhodnúť jedným rozhodnutím</w:t>
      </w:r>
      <w:r w:rsidRPr="002C0693">
        <w:rPr>
          <w:spacing w:val="4"/>
        </w:rPr>
        <w:t>.“.</w:t>
      </w:r>
    </w:p>
    <w:p w14:paraId="5038BADD" w14:textId="77777777" w:rsidR="0007107D" w:rsidRPr="002C0693" w:rsidRDefault="0007107D" w:rsidP="0007107D">
      <w:pPr>
        <w:pStyle w:val="Odsekzoznamu"/>
        <w:spacing w:line="276" w:lineRule="auto"/>
        <w:ind w:left="0"/>
        <w:jc w:val="both"/>
        <w:rPr>
          <w:spacing w:val="4"/>
        </w:rPr>
      </w:pPr>
    </w:p>
    <w:p w14:paraId="2B659571" w14:textId="77777777" w:rsidR="0007107D" w:rsidRPr="008759DC" w:rsidRDefault="0007107D" w:rsidP="0007107D">
      <w:pPr>
        <w:spacing w:line="276" w:lineRule="auto"/>
        <w:jc w:val="center"/>
        <w:rPr>
          <w:b/>
          <w:spacing w:val="4"/>
        </w:rPr>
      </w:pPr>
      <w:r>
        <w:rPr>
          <w:b/>
          <w:spacing w:val="4"/>
        </w:rPr>
        <w:t>Čl. II</w:t>
      </w:r>
    </w:p>
    <w:p w14:paraId="7322CBC4" w14:textId="77777777" w:rsidR="0007107D" w:rsidRPr="008759DC" w:rsidRDefault="0007107D" w:rsidP="0007107D">
      <w:pPr>
        <w:spacing w:line="276" w:lineRule="auto"/>
        <w:jc w:val="center"/>
        <w:rPr>
          <w:b/>
          <w:spacing w:val="4"/>
        </w:rPr>
      </w:pPr>
    </w:p>
    <w:p w14:paraId="18F0157E" w14:textId="77777777" w:rsidR="0007107D" w:rsidRPr="008759DC" w:rsidRDefault="0007107D" w:rsidP="0007107D">
      <w:pPr>
        <w:spacing w:line="276" w:lineRule="auto"/>
        <w:rPr>
          <w:spacing w:val="4"/>
        </w:rPr>
      </w:pPr>
      <w:r w:rsidRPr="008759DC">
        <w:rPr>
          <w:spacing w:val="4"/>
        </w:rPr>
        <w:t xml:space="preserve">Tento zákon nadobúda účinnosť </w:t>
      </w:r>
      <w:r>
        <w:rPr>
          <w:spacing w:val="4"/>
        </w:rPr>
        <w:t>1. mája</w:t>
      </w:r>
      <w:r w:rsidRPr="008759DC">
        <w:rPr>
          <w:spacing w:val="4"/>
        </w:rPr>
        <w:t xml:space="preserve"> 20</w:t>
      </w:r>
      <w:r>
        <w:rPr>
          <w:spacing w:val="4"/>
        </w:rPr>
        <w:t>23</w:t>
      </w:r>
      <w:r w:rsidRPr="008759DC">
        <w:rPr>
          <w:spacing w:val="4"/>
        </w:rPr>
        <w:t>.</w:t>
      </w:r>
    </w:p>
    <w:p w14:paraId="4D753CD8" w14:textId="77777777" w:rsidR="0007107D" w:rsidRPr="008759DC" w:rsidRDefault="0007107D" w:rsidP="0007107D">
      <w:pPr>
        <w:spacing w:line="276" w:lineRule="auto"/>
        <w:rPr>
          <w:spacing w:val="4"/>
        </w:rPr>
      </w:pPr>
    </w:p>
    <w:p w14:paraId="25ABFB8B" w14:textId="77777777" w:rsidR="0007107D" w:rsidRPr="008759DC" w:rsidRDefault="0007107D" w:rsidP="0007107D">
      <w:pPr>
        <w:spacing w:line="276" w:lineRule="auto"/>
      </w:pPr>
    </w:p>
    <w:p w14:paraId="51DDCB80" w14:textId="77777777" w:rsidR="0007107D" w:rsidRPr="008759DC" w:rsidRDefault="0007107D" w:rsidP="0007107D">
      <w:pPr>
        <w:spacing w:line="276" w:lineRule="auto"/>
        <w:rPr>
          <w:spacing w:val="4"/>
        </w:rPr>
      </w:pPr>
    </w:p>
    <w:p w14:paraId="44D4DCB2" w14:textId="77777777" w:rsidR="0007107D" w:rsidRPr="008759DC" w:rsidRDefault="0007107D" w:rsidP="0007107D">
      <w:pPr>
        <w:spacing w:line="276" w:lineRule="auto"/>
      </w:pPr>
    </w:p>
    <w:p w14:paraId="6C1A0ECD" w14:textId="6055A47D" w:rsidR="00EA1B67" w:rsidRDefault="00EA1B67" w:rsidP="0007107D">
      <w:pPr>
        <w:spacing w:before="120" w:line="276" w:lineRule="auto"/>
        <w:jc w:val="center"/>
      </w:pPr>
      <w:bookmarkStart w:id="0" w:name="_GoBack"/>
      <w:bookmarkEnd w:id="0"/>
    </w:p>
    <w:sectPr w:rsidR="00EA1B67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326C" w14:textId="77777777" w:rsidR="001557D9" w:rsidRDefault="001557D9">
      <w:r>
        <w:separator/>
      </w:r>
    </w:p>
  </w:endnote>
  <w:endnote w:type="continuationSeparator" w:id="0">
    <w:p w14:paraId="78D5FDD7" w14:textId="77777777" w:rsidR="001557D9" w:rsidRDefault="001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270A72" w:rsidRPr="00566BC5" w:rsidRDefault="0007107D" w:rsidP="00566BC5">
    <w:pPr>
      <w:pStyle w:val="Pta"/>
      <w:jc w:val="center"/>
      <w:rPr>
        <w:sz w:val="24"/>
      </w:rPr>
    </w:pPr>
  </w:p>
  <w:p w14:paraId="7434AEDA" w14:textId="77777777" w:rsidR="00270A72" w:rsidRDefault="000710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270A72" w:rsidRDefault="0007107D">
    <w:pPr>
      <w:pStyle w:val="Pta"/>
      <w:jc w:val="right"/>
    </w:pPr>
  </w:p>
  <w:p w14:paraId="631BF054" w14:textId="77777777" w:rsidR="00270A72" w:rsidRDefault="000710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69AD" w14:textId="77777777" w:rsidR="001557D9" w:rsidRDefault="001557D9">
      <w:r>
        <w:separator/>
      </w:r>
    </w:p>
  </w:footnote>
  <w:footnote w:type="continuationSeparator" w:id="0">
    <w:p w14:paraId="518EFE81" w14:textId="77777777" w:rsidR="001557D9" w:rsidRDefault="0015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07508"/>
    <w:rsid w:val="0007107D"/>
    <w:rsid w:val="00111B58"/>
    <w:rsid w:val="001557D9"/>
    <w:rsid w:val="001D141C"/>
    <w:rsid w:val="0024279C"/>
    <w:rsid w:val="002673C0"/>
    <w:rsid w:val="00282F57"/>
    <w:rsid w:val="003059AA"/>
    <w:rsid w:val="00306EC8"/>
    <w:rsid w:val="003F58E1"/>
    <w:rsid w:val="00517473"/>
    <w:rsid w:val="005C3687"/>
    <w:rsid w:val="005F488B"/>
    <w:rsid w:val="005F6AD7"/>
    <w:rsid w:val="00623467"/>
    <w:rsid w:val="006526AD"/>
    <w:rsid w:val="00706188"/>
    <w:rsid w:val="00806B0B"/>
    <w:rsid w:val="009546B2"/>
    <w:rsid w:val="00A1595D"/>
    <w:rsid w:val="00A32F37"/>
    <w:rsid w:val="00A75BF9"/>
    <w:rsid w:val="00AC7A8D"/>
    <w:rsid w:val="00B76F71"/>
    <w:rsid w:val="00C10209"/>
    <w:rsid w:val="00CA4EDE"/>
    <w:rsid w:val="00D50074"/>
    <w:rsid w:val="00DE1F42"/>
    <w:rsid w:val="00EA1B67"/>
    <w:rsid w:val="00EB028D"/>
    <w:rsid w:val="00E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30703202-37AE-4F5F-994A-F4AD39B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16</cp:revision>
  <dcterms:created xsi:type="dcterms:W3CDTF">2020-05-18T22:14:00Z</dcterms:created>
  <dcterms:modified xsi:type="dcterms:W3CDTF">2023-02-24T11:55:00Z</dcterms:modified>
</cp:coreProperties>
</file>