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588B7" w14:textId="7D51F4CC" w:rsidR="00EA0073" w:rsidRPr="003D5907" w:rsidRDefault="002F76CE" w:rsidP="003D5907">
      <w:pPr>
        <w:pStyle w:val="Default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D5907">
        <w:rPr>
          <w:rStyle w:val="awspan1"/>
          <w:rFonts w:ascii="Book Antiqua" w:hAnsi="Book Antiqua"/>
          <w:b/>
          <w:sz w:val="22"/>
          <w:szCs w:val="22"/>
        </w:rPr>
        <w:t>D Ô V O D O V</w:t>
      </w:r>
      <w:r w:rsidR="0097552A" w:rsidRPr="003D5907">
        <w:rPr>
          <w:rStyle w:val="awspan1"/>
          <w:rFonts w:ascii="Book Antiqua" w:hAnsi="Book Antiqua"/>
          <w:b/>
          <w:sz w:val="22"/>
          <w:szCs w:val="22"/>
        </w:rPr>
        <w:t> </w:t>
      </w:r>
      <w:r w:rsidRPr="003D5907">
        <w:rPr>
          <w:rStyle w:val="awspan1"/>
          <w:rFonts w:ascii="Book Antiqua" w:hAnsi="Book Antiqua"/>
          <w:b/>
          <w:sz w:val="22"/>
          <w:szCs w:val="22"/>
        </w:rPr>
        <w:t>Á</w:t>
      </w:r>
      <w:r w:rsidR="0097552A" w:rsidRPr="003D5907">
        <w:rPr>
          <w:rStyle w:val="awspan1"/>
          <w:rFonts w:ascii="Book Antiqua" w:hAnsi="Book Antiqua"/>
          <w:b/>
          <w:sz w:val="22"/>
          <w:szCs w:val="22"/>
        </w:rPr>
        <w:t xml:space="preserve"> </w:t>
      </w:r>
      <w:r w:rsidRPr="003D5907">
        <w:rPr>
          <w:rStyle w:val="awspan1"/>
          <w:rFonts w:ascii="Book Antiqua" w:hAnsi="Book Antiqua"/>
          <w:b/>
          <w:sz w:val="22"/>
          <w:szCs w:val="22"/>
        </w:rPr>
        <w:t xml:space="preserve"> S P R Á V A</w:t>
      </w:r>
    </w:p>
    <w:p w14:paraId="4BFEDF58" w14:textId="796EFA73" w:rsidR="00D13439" w:rsidRPr="003D5907" w:rsidRDefault="00D13439" w:rsidP="003D5907">
      <w:pPr>
        <w:pStyle w:val="Default"/>
        <w:numPr>
          <w:ilvl w:val="0"/>
          <w:numId w:val="2"/>
        </w:numPr>
        <w:spacing w:before="120" w:line="276" w:lineRule="auto"/>
        <w:ind w:left="426" w:hanging="426"/>
        <w:rPr>
          <w:rFonts w:ascii="Book Antiqua" w:hAnsi="Book Antiqua"/>
          <w:b/>
          <w:sz w:val="22"/>
          <w:szCs w:val="22"/>
        </w:rPr>
      </w:pPr>
      <w:r w:rsidRPr="003D5907">
        <w:rPr>
          <w:rFonts w:ascii="Book Antiqua" w:hAnsi="Book Antiqua"/>
          <w:b/>
          <w:bCs/>
          <w:sz w:val="22"/>
          <w:szCs w:val="22"/>
        </w:rPr>
        <w:t>Všeobecná časť</w:t>
      </w:r>
    </w:p>
    <w:p w14:paraId="47524BCF" w14:textId="1DAD0D1B" w:rsidR="00A65843" w:rsidRPr="003D5907" w:rsidRDefault="00A65843" w:rsidP="003D5907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bookmarkStart w:id="0" w:name="_Hlk127446710"/>
      <w:r w:rsidRPr="003D5907">
        <w:rPr>
          <w:rFonts w:ascii="Book Antiqua" w:hAnsi="Book Antiqua" w:cs="Times New Roman"/>
        </w:rPr>
        <w:t xml:space="preserve">Návrh zákona, ktorým sa mení a dopĺňa zákon </w:t>
      </w:r>
      <w:r w:rsidR="00E450B0" w:rsidRPr="003D5907">
        <w:rPr>
          <w:rFonts w:ascii="Book Antiqua" w:hAnsi="Book Antiqua" w:cs="Times New Roman"/>
        </w:rPr>
        <w:t xml:space="preserve">č. </w:t>
      </w:r>
      <w:r w:rsidRPr="003D5907">
        <w:rPr>
          <w:rFonts w:ascii="Book Antiqua" w:hAnsi="Book Antiqua" w:cs="Times New Roman"/>
        </w:rPr>
        <w:t xml:space="preserve">368/2021 Z. z. o mechanizme na podporu obnovy a odolnosti a o zmene a doplnení niektorých zákonov v znení neskorších predpisov </w:t>
      </w:r>
      <w:bookmarkEnd w:id="0"/>
      <w:r w:rsidRPr="003D5907">
        <w:rPr>
          <w:rFonts w:ascii="Book Antiqua" w:hAnsi="Book Antiqua" w:cs="Times New Roman"/>
        </w:rPr>
        <w:t xml:space="preserve">predkladá na rokovanie Národnej rady </w:t>
      </w:r>
      <w:bookmarkStart w:id="1" w:name="_Hlk127865084"/>
      <w:r w:rsidRPr="003D5907">
        <w:rPr>
          <w:rFonts w:ascii="Book Antiqua" w:hAnsi="Book Antiqua" w:cs="Times New Roman"/>
        </w:rPr>
        <w:t xml:space="preserve">Slovenskej republiky </w:t>
      </w:r>
      <w:bookmarkEnd w:id="1"/>
      <w:r w:rsidR="004F591A">
        <w:rPr>
          <w:rFonts w:ascii="Book Antiqua" w:hAnsi="Book Antiqua" w:cs="Times New Roman"/>
        </w:rPr>
        <w:t>skupina poslancov Národnej rady Slovenskej republiky.</w:t>
      </w:r>
    </w:p>
    <w:p w14:paraId="0FF746D9" w14:textId="5CD52AA0" w:rsidR="00762264" w:rsidRPr="003D5907" w:rsidRDefault="00762264" w:rsidP="003D5907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bookmarkStart w:id="2" w:name="_Hlk126915155"/>
      <w:r w:rsidRPr="003D5907">
        <w:rPr>
          <w:rFonts w:ascii="Book Antiqua" w:hAnsi="Book Antiqua" w:cs="Times New Roman"/>
        </w:rPr>
        <w:t>Slovenská republika sa Európskej komisii zaviazala vykonávať Plán obnovy a odolnosti Slovenskej republiky (ďalej len „Plán obnovy“) a všetky potrebné kroky na zabezpečenie riadneho a včasného implementovania reforiem a investícií a splnenie míľnikov a cieľov, ktoré Plán obnovy predpokladá. V prípade, ak Slovenská republika nesplní tieto záväzky, hrozí jej strata finančného príspevku alebo časti finančného príspevku z Mechanizmu na podporu obnovy a odolnosti. Slovenskej republike je pritom z Mechanizmu na podporu obnovy a odolnosti</w:t>
      </w:r>
      <w:r w:rsidRPr="003D5907" w:rsidDel="005B7555">
        <w:rPr>
          <w:rFonts w:ascii="Book Antiqua" w:hAnsi="Book Antiqua" w:cs="Times New Roman"/>
        </w:rPr>
        <w:t xml:space="preserve"> </w:t>
      </w:r>
      <w:r w:rsidRPr="003D5907">
        <w:rPr>
          <w:rFonts w:ascii="Book Antiqua" w:hAnsi="Book Antiqua" w:cs="Times New Roman"/>
        </w:rPr>
        <w:t xml:space="preserve">vyčlenená alokácia v sume </w:t>
      </w:r>
      <w:r w:rsidR="00834DAA" w:rsidRPr="003D5907">
        <w:rPr>
          <w:rFonts w:ascii="Book Antiqua" w:hAnsi="Book Antiqua" w:cs="Times New Roman"/>
        </w:rPr>
        <w:t xml:space="preserve">6,3 </w:t>
      </w:r>
      <w:r w:rsidRPr="003D5907">
        <w:rPr>
          <w:rFonts w:ascii="Book Antiqua" w:hAnsi="Book Antiqua" w:cs="Times New Roman"/>
        </w:rPr>
        <w:t>mil</w:t>
      </w:r>
      <w:r w:rsidR="003562E5" w:rsidRPr="003D5907">
        <w:rPr>
          <w:rFonts w:ascii="Book Antiqua" w:hAnsi="Book Antiqua" w:cs="Times New Roman"/>
        </w:rPr>
        <w:t>iardy</w:t>
      </w:r>
      <w:r w:rsidRPr="003D5907">
        <w:rPr>
          <w:rFonts w:ascii="Book Antiqua" w:hAnsi="Book Antiqua" w:cs="Times New Roman"/>
        </w:rPr>
        <w:t xml:space="preserve"> eur.</w:t>
      </w:r>
    </w:p>
    <w:p w14:paraId="2EEBB29E" w14:textId="1748A7BA" w:rsidR="00762264" w:rsidRDefault="00762264" w:rsidP="003D5907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 xml:space="preserve">Návrh zákona je reakciou na aktuálny vývoj a potrebu zabezpečiť bezproblémové a včasné plnenie úloh jednotlivých subjektov </w:t>
      </w:r>
      <w:r w:rsidR="00AF3EED" w:rsidRPr="003D5907">
        <w:rPr>
          <w:rFonts w:ascii="Book Antiqua" w:hAnsi="Book Antiqua" w:cs="Times New Roman"/>
        </w:rPr>
        <w:t>zapojených</w:t>
      </w:r>
      <w:r w:rsidRPr="003D5907">
        <w:rPr>
          <w:rFonts w:ascii="Book Antiqua" w:hAnsi="Book Antiqua" w:cs="Times New Roman"/>
        </w:rPr>
        <w:t xml:space="preserve"> </w:t>
      </w:r>
      <w:r w:rsidR="00AF3EED" w:rsidRPr="003D5907">
        <w:rPr>
          <w:rFonts w:ascii="Book Antiqua" w:hAnsi="Book Antiqua" w:cs="Times New Roman"/>
        </w:rPr>
        <w:t>do</w:t>
      </w:r>
      <w:r w:rsidRPr="003D5907">
        <w:rPr>
          <w:rFonts w:ascii="Book Antiqua" w:hAnsi="Book Antiqua" w:cs="Times New Roman"/>
        </w:rPr>
        <w:t> vykonávan</w:t>
      </w:r>
      <w:r w:rsidR="00AF3EED" w:rsidRPr="003D5907">
        <w:rPr>
          <w:rFonts w:ascii="Book Antiqua" w:hAnsi="Book Antiqua" w:cs="Times New Roman"/>
        </w:rPr>
        <w:t>ia</w:t>
      </w:r>
      <w:r w:rsidRPr="003D5907">
        <w:rPr>
          <w:rFonts w:ascii="Book Antiqua" w:hAnsi="Book Antiqua" w:cs="Times New Roman"/>
        </w:rPr>
        <w:t xml:space="preserve"> Plánu obnovy. Navrhovaným zákonom sa</w:t>
      </w:r>
      <w:r w:rsidR="009A009F" w:rsidRPr="003D5907">
        <w:rPr>
          <w:rFonts w:ascii="Book Antiqua" w:hAnsi="Book Antiqua" w:cs="Times New Roman"/>
        </w:rPr>
        <w:t xml:space="preserve"> rovnako</w:t>
      </w:r>
      <w:r w:rsidRPr="003D5907">
        <w:rPr>
          <w:rFonts w:ascii="Book Antiqua" w:hAnsi="Book Antiqua" w:cs="Times New Roman"/>
        </w:rPr>
        <w:t xml:space="preserve"> majú prijať vhodné kroky na odvrátenie rizika vzniku značných hospodárskych škôd, ku ktorým môže dôjsť, ak by sa míľniky a ciele Plánu obnovy neplnili v stanovenom rozsahu, kvalite a </w:t>
      </w:r>
      <w:r w:rsidR="00FE42DF" w:rsidRPr="003D5907">
        <w:rPr>
          <w:rFonts w:ascii="Book Antiqua" w:hAnsi="Book Antiqua" w:cs="Times New Roman"/>
        </w:rPr>
        <w:t>termíne</w:t>
      </w:r>
      <w:r w:rsidRPr="003D5907">
        <w:rPr>
          <w:rFonts w:ascii="Book Antiqua" w:hAnsi="Book Antiqua" w:cs="Times New Roman"/>
        </w:rPr>
        <w:t xml:space="preserve">. Návrh zákona zároveň reaguje na poznatky a skúsenosti z doterajšieho vykonávania Plánu obnovy a reflektuje </w:t>
      </w:r>
      <w:r w:rsidR="009A009F" w:rsidRPr="003D5907">
        <w:rPr>
          <w:rFonts w:ascii="Book Antiqua" w:hAnsi="Book Antiqua" w:cs="Times New Roman"/>
        </w:rPr>
        <w:t xml:space="preserve">na </w:t>
      </w:r>
      <w:r w:rsidRPr="003D5907">
        <w:rPr>
          <w:rFonts w:ascii="Book Antiqua" w:hAnsi="Book Antiqua" w:cs="Times New Roman"/>
        </w:rPr>
        <w:t>potreby implementačnej praxe.</w:t>
      </w:r>
    </w:p>
    <w:p w14:paraId="1D326B10" w14:textId="4FE47961" w:rsidR="003D5907" w:rsidRPr="003D5907" w:rsidRDefault="003D5907" w:rsidP="003D5907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>Návrh zákona nemá vplyv na rozpočet verejnej správy, sociálne vplyvy, vplyvy na životné prostredie, vplyvy na manželstvo, rodičovstvo a rodinu, na informatizáciu spoločnosti, ani na služby verejnej správy pre občana a má pozitívny vplyv na podnikateľské prostredie.</w:t>
      </w:r>
    </w:p>
    <w:bookmarkEnd w:id="2"/>
    <w:p w14:paraId="0714CA38" w14:textId="2AC35B87" w:rsidR="00D13439" w:rsidRPr="003D5907" w:rsidRDefault="00A475E2" w:rsidP="003D5907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>Predkladaný návrh zákona je v súlade s Ústavou Slovenskej republiky, ústavnými zákonmi, s nálezmi Ústavného súdu Slovenskej republiky, inými právnymi predpismi Slovenskej republiky, medzinárodnými zmluvami</w:t>
      </w:r>
      <w:r w:rsidR="0097552A" w:rsidRPr="003D5907">
        <w:rPr>
          <w:rFonts w:ascii="Book Antiqua" w:hAnsi="Book Antiqua" w:cs="Times New Roman"/>
        </w:rPr>
        <w:t>,</w:t>
      </w:r>
      <w:r w:rsidRPr="003D5907">
        <w:rPr>
          <w:rFonts w:ascii="Book Antiqua" w:hAnsi="Book Antiqua" w:cs="Times New Roman"/>
        </w:rPr>
        <w:t xml:space="preserve"> inými medzinárodnými dokumentmi, ktorými je Slovenská republika via</w:t>
      </w:r>
      <w:r w:rsidR="003D5907">
        <w:rPr>
          <w:rFonts w:ascii="Book Antiqua" w:hAnsi="Book Antiqua" w:cs="Times New Roman"/>
        </w:rPr>
        <w:t>zaná a s právom Európskej únie.</w:t>
      </w:r>
    </w:p>
    <w:p w14:paraId="09B2F609" w14:textId="77777777" w:rsidR="00D13439" w:rsidRPr="003D5907" w:rsidRDefault="00D13439" w:rsidP="003D5907">
      <w:pPr>
        <w:spacing w:before="120" w:after="0" w:line="276" w:lineRule="auto"/>
        <w:ind w:firstLine="580"/>
        <w:jc w:val="both"/>
        <w:rPr>
          <w:rFonts w:ascii="Book Antiqua" w:hAnsi="Book Antiqua" w:cs="Times New Roman"/>
        </w:rPr>
      </w:pPr>
    </w:p>
    <w:p w14:paraId="4EC4F52F" w14:textId="77777777" w:rsidR="00D13439" w:rsidRPr="003D5907" w:rsidRDefault="00D13439" w:rsidP="003D5907">
      <w:pPr>
        <w:pStyle w:val="Default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A5AA368" w14:textId="77777777" w:rsidR="00D13439" w:rsidRPr="003D5907" w:rsidRDefault="00D13439" w:rsidP="003D5907">
      <w:pPr>
        <w:spacing w:before="120" w:after="0" w:line="276" w:lineRule="auto"/>
        <w:jc w:val="center"/>
        <w:rPr>
          <w:rFonts w:ascii="Book Antiqua" w:hAnsi="Book Antiqua" w:cs="Times New Roman"/>
          <w:b/>
        </w:rPr>
      </w:pPr>
    </w:p>
    <w:p w14:paraId="723B916A" w14:textId="77777777" w:rsidR="00D13439" w:rsidRPr="003D5907" w:rsidRDefault="00D13439" w:rsidP="003D5907">
      <w:pPr>
        <w:spacing w:before="120" w:after="0" w:line="276" w:lineRule="auto"/>
        <w:rPr>
          <w:rFonts w:ascii="Book Antiqua" w:hAnsi="Book Antiqua" w:cs="Times New Roman"/>
          <w:b/>
        </w:rPr>
      </w:pPr>
      <w:r w:rsidRPr="003D5907">
        <w:rPr>
          <w:rFonts w:ascii="Book Antiqua" w:hAnsi="Book Antiqua" w:cs="Times New Roman"/>
          <w:b/>
        </w:rPr>
        <w:br w:type="page"/>
      </w:r>
    </w:p>
    <w:p w14:paraId="72467808" w14:textId="77777777" w:rsidR="00D13439" w:rsidRPr="003D5907" w:rsidRDefault="00D13439" w:rsidP="003D5907">
      <w:pPr>
        <w:pStyle w:val="Default"/>
        <w:numPr>
          <w:ilvl w:val="0"/>
          <w:numId w:val="2"/>
        </w:numPr>
        <w:spacing w:before="120" w:line="276" w:lineRule="auto"/>
        <w:ind w:left="426" w:hanging="426"/>
        <w:rPr>
          <w:rFonts w:ascii="Book Antiqua" w:hAnsi="Book Antiqua"/>
          <w:b/>
          <w:bCs/>
          <w:sz w:val="22"/>
          <w:szCs w:val="22"/>
        </w:rPr>
      </w:pPr>
      <w:r w:rsidRPr="003D5907">
        <w:rPr>
          <w:rFonts w:ascii="Book Antiqua" w:hAnsi="Book Antiqua"/>
          <w:b/>
          <w:bCs/>
          <w:sz w:val="22"/>
          <w:szCs w:val="22"/>
        </w:rPr>
        <w:lastRenderedPageBreak/>
        <w:t>Osobitná časť</w:t>
      </w:r>
    </w:p>
    <w:p w14:paraId="1477B3BC" w14:textId="77777777" w:rsidR="00D13439" w:rsidRPr="003D5907" w:rsidRDefault="00D13439" w:rsidP="003D5907">
      <w:pPr>
        <w:pStyle w:val="Default"/>
        <w:spacing w:before="120" w:line="276" w:lineRule="auto"/>
        <w:ind w:left="426"/>
        <w:rPr>
          <w:rFonts w:ascii="Book Antiqua" w:hAnsi="Book Antiqua"/>
          <w:b/>
          <w:bCs/>
          <w:sz w:val="22"/>
          <w:szCs w:val="22"/>
        </w:rPr>
      </w:pPr>
    </w:p>
    <w:p w14:paraId="4F36EB45" w14:textId="79122DF1" w:rsidR="00D13439" w:rsidRPr="003D5907" w:rsidRDefault="003D5907" w:rsidP="003D5907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K </w:t>
      </w:r>
      <w:r w:rsidR="00D13439" w:rsidRPr="003D5907">
        <w:rPr>
          <w:rFonts w:ascii="Book Antiqua" w:hAnsi="Book Antiqua" w:cs="Times New Roman"/>
          <w:b/>
        </w:rPr>
        <w:t>Čl. I</w:t>
      </w:r>
    </w:p>
    <w:p w14:paraId="08EC83D8" w14:textId="68731B76" w:rsidR="00D13439" w:rsidRPr="003D5907" w:rsidRDefault="00796A06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 xml:space="preserve">K bodom </w:t>
      </w:r>
      <w:r w:rsidR="00E96DBC" w:rsidRPr="003D5907">
        <w:rPr>
          <w:rFonts w:ascii="Book Antiqua" w:hAnsi="Book Antiqua" w:cs="Times New Roman"/>
          <w:bCs/>
          <w:u w:val="single"/>
        </w:rPr>
        <w:t xml:space="preserve">1, </w:t>
      </w:r>
      <w:r w:rsidR="00DE7864" w:rsidRPr="003D5907">
        <w:rPr>
          <w:rFonts w:ascii="Book Antiqua" w:hAnsi="Book Antiqua" w:cs="Times New Roman"/>
          <w:bCs/>
          <w:u w:val="single"/>
        </w:rPr>
        <w:t>13</w:t>
      </w:r>
      <w:r w:rsidR="009C1E68" w:rsidRPr="003D5907">
        <w:rPr>
          <w:rFonts w:ascii="Book Antiqua" w:hAnsi="Book Antiqua" w:cs="Times New Roman"/>
          <w:bCs/>
          <w:u w:val="single"/>
        </w:rPr>
        <w:t xml:space="preserve">, </w:t>
      </w:r>
      <w:r w:rsidR="00DE7864" w:rsidRPr="003D5907">
        <w:rPr>
          <w:rFonts w:ascii="Book Antiqua" w:hAnsi="Book Antiqua" w:cs="Times New Roman"/>
          <w:bCs/>
          <w:u w:val="single"/>
        </w:rPr>
        <w:t xml:space="preserve">14 </w:t>
      </w:r>
      <w:r w:rsidR="002837E2" w:rsidRPr="003D5907">
        <w:rPr>
          <w:rFonts w:ascii="Book Antiqua" w:hAnsi="Book Antiqua" w:cs="Times New Roman"/>
          <w:bCs/>
          <w:u w:val="single"/>
        </w:rPr>
        <w:t xml:space="preserve">a </w:t>
      </w:r>
      <w:r w:rsidR="00DE7864" w:rsidRPr="003D5907">
        <w:rPr>
          <w:rFonts w:ascii="Book Antiqua" w:hAnsi="Book Antiqua" w:cs="Times New Roman"/>
          <w:bCs/>
          <w:u w:val="single"/>
        </w:rPr>
        <w:t xml:space="preserve">16 </w:t>
      </w:r>
    </w:p>
    <w:p w14:paraId="269FB62E" w14:textId="66B5BA3D" w:rsidR="00796A06" w:rsidRPr="003D5907" w:rsidRDefault="00C17377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</w:rPr>
        <w:t xml:space="preserve">Precizujú sa pojmy a ustanovenia zákona, ktoré upravujú poskytovanie prostriedkov mechanizmu podľa zákona </w:t>
      </w:r>
      <w:r w:rsidR="00A27427" w:rsidRPr="003D5907">
        <w:rPr>
          <w:rFonts w:ascii="Book Antiqua" w:hAnsi="Book Antiqua" w:cs="Times New Roman"/>
          <w:bCs/>
        </w:rPr>
        <w:t>so zapojením finančných nástrojov</w:t>
      </w:r>
      <w:r w:rsidRPr="003D5907">
        <w:rPr>
          <w:rFonts w:ascii="Book Antiqua" w:hAnsi="Book Antiqua" w:cs="Times New Roman"/>
          <w:bCs/>
        </w:rPr>
        <w:t xml:space="preserve">. Dotknuté ustanovenia </w:t>
      </w:r>
      <w:r w:rsidR="00A27427" w:rsidRPr="003D5907">
        <w:rPr>
          <w:rFonts w:ascii="Book Antiqua" w:hAnsi="Book Antiqua" w:cs="Times New Roman"/>
          <w:bCs/>
        </w:rPr>
        <w:t>konkrétne vychádzajú z</w:t>
      </w:r>
      <w:r w:rsidRPr="003D5907">
        <w:rPr>
          <w:rFonts w:ascii="Book Antiqua" w:hAnsi="Book Antiqua" w:cs="Times New Roman"/>
          <w:bCs/>
        </w:rPr>
        <w:t xml:space="preserve"> </w:t>
      </w:r>
      <w:r w:rsidR="00796A06" w:rsidRPr="003D5907">
        <w:rPr>
          <w:rFonts w:ascii="Book Antiqua" w:hAnsi="Book Antiqua" w:cs="Times New Roman"/>
          <w:bCs/>
        </w:rPr>
        <w:t xml:space="preserve">aplikačnej </w:t>
      </w:r>
      <w:r w:rsidRPr="003D5907">
        <w:rPr>
          <w:rFonts w:ascii="Book Antiqua" w:hAnsi="Book Antiqua" w:cs="Times New Roman"/>
          <w:bCs/>
        </w:rPr>
        <w:t>prax</w:t>
      </w:r>
      <w:r w:rsidR="006C20D2" w:rsidRPr="003D5907">
        <w:rPr>
          <w:rFonts w:ascii="Book Antiqua" w:hAnsi="Book Antiqua" w:cs="Times New Roman"/>
          <w:bCs/>
        </w:rPr>
        <w:t>e</w:t>
      </w:r>
      <w:r w:rsidRPr="003D5907">
        <w:rPr>
          <w:rFonts w:ascii="Book Antiqua" w:hAnsi="Book Antiqua" w:cs="Times New Roman"/>
          <w:bCs/>
        </w:rPr>
        <w:t xml:space="preserve"> </w:t>
      </w:r>
      <w:r w:rsidR="00A27427" w:rsidRPr="003D5907">
        <w:rPr>
          <w:rFonts w:ascii="Book Antiqua" w:hAnsi="Book Antiqua" w:cs="Times New Roman"/>
          <w:bCs/>
        </w:rPr>
        <w:t>pri</w:t>
      </w:r>
      <w:r w:rsidRPr="003D5907">
        <w:rPr>
          <w:rFonts w:ascii="Book Antiqua" w:hAnsi="Book Antiqua" w:cs="Times New Roman"/>
          <w:bCs/>
        </w:rPr>
        <w:t xml:space="preserve"> implementácii </w:t>
      </w:r>
      <w:r w:rsidR="00E96DBC" w:rsidRPr="003D5907">
        <w:rPr>
          <w:rFonts w:ascii="Book Antiqua" w:hAnsi="Book Antiqua" w:cs="Times New Roman"/>
          <w:bCs/>
        </w:rPr>
        <w:t>finančných nástrojov</w:t>
      </w:r>
      <w:r w:rsidRPr="003D5907">
        <w:rPr>
          <w:rFonts w:ascii="Book Antiqua" w:hAnsi="Book Antiqua" w:cs="Times New Roman"/>
          <w:bCs/>
        </w:rPr>
        <w:t xml:space="preserve">. Zároveň sa umožňuje poskytovanie </w:t>
      </w:r>
      <w:r w:rsidR="00E96DBC" w:rsidRPr="003D5907">
        <w:rPr>
          <w:rFonts w:ascii="Book Antiqua" w:hAnsi="Book Antiqua" w:cs="Times New Roman"/>
          <w:bCs/>
        </w:rPr>
        <w:t>prostriedkov mechanizmu pr</w:t>
      </w:r>
      <w:r w:rsidR="00A22FF6" w:rsidRPr="003D5907">
        <w:rPr>
          <w:rFonts w:ascii="Book Antiqua" w:hAnsi="Book Antiqua" w:cs="Times New Roman"/>
          <w:bCs/>
        </w:rPr>
        <w:t xml:space="preserve">ijímateľovi </w:t>
      </w:r>
      <w:r w:rsidR="00EA729D" w:rsidRPr="003D5907">
        <w:rPr>
          <w:rFonts w:ascii="Book Antiqua" w:hAnsi="Book Antiqua" w:cs="Times New Roman"/>
          <w:bCs/>
        </w:rPr>
        <w:t>prostredníctvom finančných nástrojov v kombinácií s nenávratným spôsobom poskytovania.</w:t>
      </w:r>
    </w:p>
    <w:p w14:paraId="1D34B0B3" w14:textId="1176CB16" w:rsidR="00D13439" w:rsidRPr="003D5907" w:rsidRDefault="00D7276D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 xml:space="preserve">K bodu </w:t>
      </w:r>
      <w:r w:rsidR="00AB3FEE" w:rsidRPr="003D5907">
        <w:rPr>
          <w:rFonts w:ascii="Book Antiqua" w:hAnsi="Book Antiqua" w:cs="Times New Roman"/>
          <w:bCs/>
          <w:u w:val="single"/>
        </w:rPr>
        <w:t>2</w:t>
      </w:r>
      <w:r w:rsidRPr="003D5907">
        <w:rPr>
          <w:rFonts w:ascii="Book Antiqua" w:hAnsi="Book Antiqua" w:cs="Times New Roman"/>
          <w:bCs/>
          <w:u w:val="single"/>
        </w:rPr>
        <w:t xml:space="preserve"> </w:t>
      </w:r>
    </w:p>
    <w:p w14:paraId="096B7ADA" w14:textId="1B055301" w:rsidR="00D13439" w:rsidRPr="003D5907" w:rsidRDefault="00BD6990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>Zákon sa dopĺňa o explicitné ustanovenie, že pri poskytovaní a používaní prostriedkov mechanizmu je nevyhnutné dodržať</w:t>
      </w:r>
      <w:r w:rsidR="00A27427" w:rsidRPr="003D5907">
        <w:rPr>
          <w:rFonts w:ascii="Book Antiqua" w:hAnsi="Book Antiqua" w:cs="Times New Roman"/>
        </w:rPr>
        <w:t xml:space="preserve"> uvedené</w:t>
      </w:r>
      <w:r w:rsidRPr="003D5907">
        <w:rPr>
          <w:rFonts w:ascii="Book Antiqua" w:hAnsi="Book Antiqua" w:cs="Times New Roman"/>
        </w:rPr>
        <w:t xml:space="preserve"> základné princípy. </w:t>
      </w:r>
      <w:r w:rsidR="00A27427" w:rsidRPr="003D5907">
        <w:rPr>
          <w:rFonts w:ascii="Book Antiqua" w:hAnsi="Book Antiqua" w:cs="Times New Roman"/>
        </w:rPr>
        <w:t>Touto</w:t>
      </w:r>
      <w:r w:rsidRPr="003D5907">
        <w:rPr>
          <w:rFonts w:ascii="Book Antiqua" w:hAnsi="Book Antiqua" w:cs="Times New Roman"/>
        </w:rPr>
        <w:t xml:space="preserve"> úpravou sa nezavádza nová povinnosť</w:t>
      </w:r>
      <w:r w:rsidR="004426C6" w:rsidRPr="003D5907">
        <w:rPr>
          <w:rFonts w:ascii="Book Antiqua" w:hAnsi="Book Antiqua" w:cs="Times New Roman"/>
        </w:rPr>
        <w:t>, i</w:t>
      </w:r>
      <w:r w:rsidRPr="003D5907">
        <w:rPr>
          <w:rFonts w:ascii="Book Antiqua" w:hAnsi="Book Antiqua" w:cs="Times New Roman"/>
        </w:rPr>
        <w:t xml:space="preserve">de len o premietnutie všeobecných požiadaviek právneho rámca pri poskytovaní a používaní prostriedkov mechanizmu (v tomto prípade najmä primárne </w:t>
      </w:r>
      <w:r w:rsidR="00A27427" w:rsidRPr="003D5907">
        <w:rPr>
          <w:rFonts w:ascii="Book Antiqua" w:hAnsi="Book Antiqua" w:cs="Times New Roman"/>
        </w:rPr>
        <w:t xml:space="preserve">a sekundárne </w:t>
      </w:r>
      <w:r w:rsidRPr="003D5907">
        <w:rPr>
          <w:rFonts w:ascii="Book Antiqua" w:hAnsi="Book Antiqua" w:cs="Times New Roman"/>
        </w:rPr>
        <w:t xml:space="preserve">právo Európskej únie). </w:t>
      </w:r>
    </w:p>
    <w:p w14:paraId="36D1A05D" w14:textId="1559BB19" w:rsidR="00D13439" w:rsidRPr="003D5907" w:rsidRDefault="00AB3FEE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 xml:space="preserve">K bodu 3 </w:t>
      </w:r>
    </w:p>
    <w:p w14:paraId="3126F7AB" w14:textId="58C4EE00" w:rsidR="00D13439" w:rsidRPr="003D5907" w:rsidRDefault="00E053C3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>Z implementačnej praxe vyplynula potreba explicitného vyjadrenia kompetenci</w:t>
      </w:r>
      <w:r w:rsidR="00F10238" w:rsidRPr="003D5907">
        <w:rPr>
          <w:rFonts w:ascii="Book Antiqua" w:hAnsi="Book Antiqua" w:cs="Times New Roman"/>
        </w:rPr>
        <w:t>e</w:t>
      </w:r>
      <w:r w:rsidRPr="003D5907">
        <w:rPr>
          <w:rFonts w:ascii="Book Antiqua" w:hAnsi="Book Antiqua" w:cs="Times New Roman"/>
        </w:rPr>
        <w:t xml:space="preserve"> vlády</w:t>
      </w:r>
      <w:r w:rsidR="00262535" w:rsidRPr="003D5907">
        <w:rPr>
          <w:rFonts w:ascii="Book Antiqua" w:hAnsi="Book Antiqua"/>
        </w:rPr>
        <w:t xml:space="preserve"> </w:t>
      </w:r>
      <w:r w:rsidR="00262535" w:rsidRPr="003D5907">
        <w:rPr>
          <w:rFonts w:ascii="Book Antiqua" w:hAnsi="Book Antiqua" w:cs="Times New Roman"/>
        </w:rPr>
        <w:t>Slovenskej republiky s</w:t>
      </w:r>
      <w:r w:rsidRPr="003D5907">
        <w:rPr>
          <w:rFonts w:ascii="Book Antiqua" w:hAnsi="Book Antiqua" w:cs="Times New Roman"/>
        </w:rPr>
        <w:t xml:space="preserve">chvaľovať materiály súvisiace s realizáciou investícií a reforiem, plnením míľnikov a cieľov alebo implementáciou </w:t>
      </w:r>
      <w:r w:rsidR="00B626AA" w:rsidRPr="003D5907">
        <w:rPr>
          <w:rFonts w:ascii="Book Antiqua" w:hAnsi="Book Antiqua" w:cs="Times New Roman"/>
        </w:rPr>
        <w:t>P</w:t>
      </w:r>
      <w:r w:rsidRPr="003D5907">
        <w:rPr>
          <w:rFonts w:ascii="Book Antiqua" w:hAnsi="Book Antiqua" w:cs="Times New Roman"/>
        </w:rPr>
        <w:t>lánu obnovy</w:t>
      </w:r>
      <w:r w:rsidR="00F10238" w:rsidRPr="003D5907">
        <w:rPr>
          <w:rFonts w:ascii="Book Antiqua" w:hAnsi="Book Antiqua" w:cs="Times New Roman"/>
        </w:rPr>
        <w:t>, ak to predpokladá právny rámec Mechanizmu na podporu obnovy a odolnosti, najmä Plán obnovy, dohody podľa § 3 písm. c) zákona a</w:t>
      </w:r>
      <w:r w:rsidR="00556FFF" w:rsidRPr="003D5907">
        <w:rPr>
          <w:rFonts w:ascii="Book Antiqua" w:hAnsi="Book Antiqua" w:cs="Times New Roman"/>
        </w:rPr>
        <w:t> </w:t>
      </w:r>
      <w:r w:rsidR="00F10238" w:rsidRPr="003D5907">
        <w:rPr>
          <w:rFonts w:ascii="Book Antiqua" w:hAnsi="Book Antiqua" w:cs="Times New Roman"/>
        </w:rPr>
        <w:t>ďalšie</w:t>
      </w:r>
      <w:r w:rsidR="00556FFF" w:rsidRPr="003D5907">
        <w:rPr>
          <w:rFonts w:ascii="Book Antiqua" w:hAnsi="Book Antiqua" w:cs="Times New Roman"/>
        </w:rPr>
        <w:t xml:space="preserve"> záväzné dokumenty</w:t>
      </w:r>
      <w:r w:rsidR="00F10238" w:rsidRPr="003D5907">
        <w:rPr>
          <w:rFonts w:ascii="Book Antiqua" w:hAnsi="Book Antiqua" w:cs="Times New Roman"/>
        </w:rPr>
        <w:t xml:space="preserve">. Cieľom je zaistiť, aby bolo </w:t>
      </w:r>
      <w:r w:rsidR="00583E50" w:rsidRPr="003D5907">
        <w:rPr>
          <w:rFonts w:ascii="Book Antiqua" w:hAnsi="Book Antiqua" w:cs="Times New Roman"/>
        </w:rPr>
        <w:t xml:space="preserve">zabezpečené riadne vykonávanie </w:t>
      </w:r>
      <w:r w:rsidR="00C17377" w:rsidRPr="003D5907">
        <w:rPr>
          <w:rFonts w:ascii="Book Antiqua" w:hAnsi="Book Antiqua" w:cs="Times New Roman"/>
        </w:rPr>
        <w:t>Plán</w:t>
      </w:r>
      <w:r w:rsidR="00583E50" w:rsidRPr="003D5907">
        <w:rPr>
          <w:rFonts w:ascii="Book Antiqua" w:hAnsi="Book Antiqua" w:cs="Times New Roman"/>
        </w:rPr>
        <w:t>u</w:t>
      </w:r>
      <w:r w:rsidR="00C17377" w:rsidRPr="003D5907">
        <w:rPr>
          <w:rFonts w:ascii="Book Antiqua" w:hAnsi="Book Antiqua" w:cs="Times New Roman"/>
        </w:rPr>
        <w:t xml:space="preserve"> obnovy</w:t>
      </w:r>
      <w:r w:rsidR="00583E50" w:rsidRPr="003D5907">
        <w:rPr>
          <w:rFonts w:ascii="Book Antiqua" w:hAnsi="Book Antiqua" w:cs="Times New Roman"/>
        </w:rPr>
        <w:t>.</w:t>
      </w:r>
    </w:p>
    <w:p w14:paraId="3EF83316" w14:textId="13021119" w:rsidR="00D13439" w:rsidRPr="003D5907" w:rsidRDefault="006B22B8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>K bod</w:t>
      </w:r>
      <w:r w:rsidR="003526B2" w:rsidRPr="003D5907">
        <w:rPr>
          <w:rFonts w:ascii="Book Antiqua" w:hAnsi="Book Antiqua" w:cs="Times New Roman"/>
          <w:bCs/>
          <w:u w:val="single"/>
        </w:rPr>
        <w:t>om</w:t>
      </w:r>
      <w:r w:rsidRPr="003D5907">
        <w:rPr>
          <w:rFonts w:ascii="Book Antiqua" w:hAnsi="Book Antiqua" w:cs="Times New Roman"/>
          <w:bCs/>
          <w:u w:val="single"/>
        </w:rPr>
        <w:t xml:space="preserve"> </w:t>
      </w:r>
      <w:r w:rsidR="0077641F" w:rsidRPr="003D5907">
        <w:rPr>
          <w:rFonts w:ascii="Book Antiqua" w:hAnsi="Book Antiqua" w:cs="Times New Roman"/>
          <w:bCs/>
          <w:u w:val="single"/>
        </w:rPr>
        <w:t>4</w:t>
      </w:r>
      <w:r w:rsidR="002837E2" w:rsidRPr="003D5907">
        <w:rPr>
          <w:rFonts w:ascii="Book Antiqua" w:hAnsi="Book Antiqua" w:cs="Times New Roman"/>
          <w:bCs/>
          <w:u w:val="single"/>
        </w:rPr>
        <w:t xml:space="preserve">, </w:t>
      </w:r>
      <w:r w:rsidR="000F2441" w:rsidRPr="003D5907">
        <w:rPr>
          <w:rFonts w:ascii="Book Antiqua" w:hAnsi="Book Antiqua" w:cs="Times New Roman"/>
          <w:bCs/>
          <w:u w:val="single"/>
        </w:rPr>
        <w:t>5</w:t>
      </w:r>
      <w:r w:rsidR="002837E2" w:rsidRPr="003D5907">
        <w:rPr>
          <w:rFonts w:ascii="Book Antiqua" w:hAnsi="Book Antiqua" w:cs="Times New Roman"/>
          <w:bCs/>
          <w:u w:val="single"/>
        </w:rPr>
        <w:t xml:space="preserve">, </w:t>
      </w:r>
      <w:r w:rsidR="00DE7864" w:rsidRPr="003D5907">
        <w:rPr>
          <w:rFonts w:ascii="Book Antiqua" w:hAnsi="Book Antiqua" w:cs="Times New Roman"/>
          <w:bCs/>
          <w:u w:val="single"/>
        </w:rPr>
        <w:t xml:space="preserve">15 </w:t>
      </w:r>
    </w:p>
    <w:p w14:paraId="5CF6E777" w14:textId="1890504B" w:rsidR="0098698B" w:rsidRPr="003D5907" w:rsidRDefault="0098698B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 xml:space="preserve">Na základe aplikačnej praxe sa právna úprava pri posudzovaní zmluvy podľa § 19 </w:t>
      </w:r>
      <w:r w:rsidR="00895C03" w:rsidRPr="003D5907">
        <w:rPr>
          <w:rFonts w:ascii="Book Antiqua" w:hAnsi="Book Antiqua" w:cs="Times New Roman"/>
        </w:rPr>
        <w:t xml:space="preserve">zákona </w:t>
      </w:r>
      <w:r w:rsidRPr="003D5907">
        <w:rPr>
          <w:rFonts w:ascii="Book Antiqua" w:hAnsi="Book Antiqua" w:cs="Times New Roman"/>
        </w:rPr>
        <w:t>zosúlaďuje s</w:t>
      </w:r>
      <w:r w:rsidR="00A27427" w:rsidRPr="003D5907">
        <w:rPr>
          <w:rFonts w:ascii="Book Antiqua" w:hAnsi="Book Antiqua" w:cs="Times New Roman"/>
        </w:rPr>
        <w:t xml:space="preserve"> právnou</w:t>
      </w:r>
      <w:r w:rsidRPr="003D5907">
        <w:rPr>
          <w:rFonts w:ascii="Book Antiqua" w:hAnsi="Book Antiqua" w:cs="Times New Roman"/>
        </w:rPr>
        <w:t xml:space="preserve"> úpravou posudzovania výzvy a výzvy na predkladanie projektových zámerov zo strany </w:t>
      </w:r>
      <w:bookmarkStart w:id="3" w:name="_Hlk126938788"/>
      <w:r w:rsidR="00E933A6" w:rsidRPr="003D5907">
        <w:rPr>
          <w:rFonts w:ascii="Book Antiqua" w:hAnsi="Book Antiqua" w:cs="Times New Roman"/>
        </w:rPr>
        <w:t>n</w:t>
      </w:r>
      <w:r w:rsidRPr="003D5907">
        <w:rPr>
          <w:rFonts w:ascii="Book Antiqua" w:hAnsi="Book Antiqua" w:cs="Times New Roman"/>
        </w:rPr>
        <w:t xml:space="preserve">árodnej implementačnej a koordinačnej autority </w:t>
      </w:r>
      <w:bookmarkEnd w:id="3"/>
      <w:r w:rsidR="003D5907">
        <w:rPr>
          <w:rFonts w:ascii="Book Antiqua" w:hAnsi="Book Antiqua" w:cs="Times New Roman"/>
        </w:rPr>
        <w:t xml:space="preserve">(pozri napr. </w:t>
      </w:r>
      <w:r w:rsidRPr="003D5907">
        <w:rPr>
          <w:rFonts w:ascii="Book Antiqua" w:hAnsi="Book Antiqua" w:cs="Times New Roman"/>
        </w:rPr>
        <w:t>§ 15 ods. 2 a 15a ods. 2</w:t>
      </w:r>
      <w:r w:rsidR="00895C03" w:rsidRPr="003D5907">
        <w:rPr>
          <w:rFonts w:ascii="Book Antiqua" w:hAnsi="Book Antiqua" w:cs="Times New Roman"/>
        </w:rPr>
        <w:t xml:space="preserve"> zákona</w:t>
      </w:r>
      <w:r w:rsidRPr="003D5907">
        <w:rPr>
          <w:rFonts w:ascii="Book Antiqua" w:hAnsi="Book Antiqua" w:cs="Times New Roman"/>
        </w:rPr>
        <w:t>).</w:t>
      </w:r>
    </w:p>
    <w:p w14:paraId="4C6AE5E8" w14:textId="4C779843" w:rsidR="000F2441" w:rsidRPr="003D5907" w:rsidRDefault="000F2441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>Z dôvodu nadbytočnosti sa v </w:t>
      </w:r>
      <w:r w:rsidR="00A27427" w:rsidRPr="003D5907">
        <w:rPr>
          <w:rFonts w:ascii="Book Antiqua" w:hAnsi="Book Antiqua" w:cs="Times New Roman"/>
        </w:rPr>
        <w:t xml:space="preserve">§ 4 </w:t>
      </w:r>
      <w:r w:rsidRPr="003D5907">
        <w:rPr>
          <w:rFonts w:ascii="Book Antiqua" w:hAnsi="Book Antiqua" w:cs="Times New Roman"/>
        </w:rPr>
        <w:t xml:space="preserve">ods. 3 </w:t>
      </w:r>
      <w:r w:rsidR="00895C03" w:rsidRPr="003D5907">
        <w:rPr>
          <w:rFonts w:ascii="Book Antiqua" w:hAnsi="Book Antiqua" w:cs="Times New Roman"/>
        </w:rPr>
        <w:t xml:space="preserve">zákona </w:t>
      </w:r>
      <w:r w:rsidRPr="003D5907">
        <w:rPr>
          <w:rFonts w:ascii="Book Antiqua" w:hAnsi="Book Antiqua" w:cs="Times New Roman"/>
        </w:rPr>
        <w:t>vypúšťa sa písmeno h).</w:t>
      </w:r>
    </w:p>
    <w:p w14:paraId="0AD8C958" w14:textId="6C111403" w:rsidR="00D13439" w:rsidRPr="003D5907" w:rsidRDefault="009D77B2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 xml:space="preserve">K bodu 6 </w:t>
      </w:r>
    </w:p>
    <w:p w14:paraId="78DBB18C" w14:textId="3ADB849A" w:rsidR="004D7267" w:rsidRPr="003D5907" w:rsidRDefault="004143D5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>V súlade s § 11 ods. 1 zákona sa upravuje oprávnenie</w:t>
      </w:r>
      <w:r w:rsidR="004D7267" w:rsidRPr="003D5907">
        <w:rPr>
          <w:rFonts w:ascii="Book Antiqua" w:hAnsi="Book Antiqua" w:cs="Times New Roman"/>
        </w:rPr>
        <w:t> </w:t>
      </w:r>
      <w:r w:rsidR="009B7E53" w:rsidRPr="003D5907">
        <w:rPr>
          <w:rFonts w:ascii="Book Antiqua" w:hAnsi="Book Antiqua" w:cs="Times New Roman"/>
        </w:rPr>
        <w:t xml:space="preserve">spracúvať dotknuté osobné </w:t>
      </w:r>
      <w:r w:rsidR="004D7267" w:rsidRPr="003D5907">
        <w:rPr>
          <w:rFonts w:ascii="Book Antiqua" w:hAnsi="Book Antiqua" w:cs="Times New Roman"/>
        </w:rPr>
        <w:t>údaj</w:t>
      </w:r>
      <w:r w:rsidR="009B7E53" w:rsidRPr="003D5907">
        <w:rPr>
          <w:rFonts w:ascii="Book Antiqua" w:hAnsi="Book Antiqua" w:cs="Times New Roman"/>
        </w:rPr>
        <w:t>e</w:t>
      </w:r>
      <w:r w:rsidR="004D7267" w:rsidRPr="003D5907">
        <w:rPr>
          <w:rFonts w:ascii="Book Antiqua" w:hAnsi="Book Antiqua" w:cs="Times New Roman"/>
        </w:rPr>
        <w:t xml:space="preserve"> </w:t>
      </w:r>
      <w:r w:rsidR="00E933A6" w:rsidRPr="003D5907">
        <w:rPr>
          <w:rFonts w:ascii="Book Antiqua" w:hAnsi="Book Antiqua" w:cs="Times New Roman"/>
        </w:rPr>
        <w:t>n</w:t>
      </w:r>
      <w:r w:rsidR="004D7267" w:rsidRPr="003D5907">
        <w:rPr>
          <w:rFonts w:ascii="Book Antiqua" w:hAnsi="Book Antiqua" w:cs="Times New Roman"/>
        </w:rPr>
        <w:t>árodn</w:t>
      </w:r>
      <w:r w:rsidRPr="003D5907">
        <w:rPr>
          <w:rFonts w:ascii="Book Antiqua" w:hAnsi="Book Antiqua" w:cs="Times New Roman"/>
        </w:rPr>
        <w:t>ou</w:t>
      </w:r>
      <w:r w:rsidR="004D7267" w:rsidRPr="003D5907">
        <w:rPr>
          <w:rFonts w:ascii="Book Antiqua" w:hAnsi="Book Antiqua" w:cs="Times New Roman"/>
        </w:rPr>
        <w:t xml:space="preserve"> </w:t>
      </w:r>
      <w:r w:rsidR="009B7E53" w:rsidRPr="003D5907">
        <w:rPr>
          <w:rFonts w:ascii="Book Antiqua" w:hAnsi="Book Antiqua" w:cs="Times New Roman"/>
        </w:rPr>
        <w:t>implementačn</w:t>
      </w:r>
      <w:r w:rsidRPr="003D5907">
        <w:rPr>
          <w:rFonts w:ascii="Book Antiqua" w:hAnsi="Book Antiqua" w:cs="Times New Roman"/>
        </w:rPr>
        <w:t>ou</w:t>
      </w:r>
      <w:r w:rsidR="009B7E53" w:rsidRPr="003D5907">
        <w:rPr>
          <w:rFonts w:ascii="Book Antiqua" w:hAnsi="Book Antiqua" w:cs="Times New Roman"/>
        </w:rPr>
        <w:t xml:space="preserve"> </w:t>
      </w:r>
      <w:r w:rsidR="004D7267" w:rsidRPr="003D5907">
        <w:rPr>
          <w:rFonts w:ascii="Book Antiqua" w:hAnsi="Book Antiqua" w:cs="Times New Roman"/>
        </w:rPr>
        <w:t xml:space="preserve">a </w:t>
      </w:r>
      <w:r w:rsidR="009B7E53" w:rsidRPr="003D5907">
        <w:rPr>
          <w:rFonts w:ascii="Book Antiqua" w:hAnsi="Book Antiqua" w:cs="Times New Roman"/>
        </w:rPr>
        <w:t>koordinačn</w:t>
      </w:r>
      <w:r w:rsidRPr="003D5907">
        <w:rPr>
          <w:rFonts w:ascii="Book Antiqua" w:hAnsi="Book Antiqua" w:cs="Times New Roman"/>
        </w:rPr>
        <w:t>ou</w:t>
      </w:r>
      <w:r w:rsidR="009B7E53" w:rsidRPr="003D5907">
        <w:rPr>
          <w:rFonts w:ascii="Book Antiqua" w:hAnsi="Book Antiqua" w:cs="Times New Roman"/>
        </w:rPr>
        <w:t xml:space="preserve"> autorit</w:t>
      </w:r>
      <w:r w:rsidRPr="003D5907">
        <w:rPr>
          <w:rFonts w:ascii="Book Antiqua" w:hAnsi="Book Antiqua" w:cs="Times New Roman"/>
        </w:rPr>
        <w:t>ou</w:t>
      </w:r>
      <w:r w:rsidR="009B7E53" w:rsidRPr="003D5907">
        <w:rPr>
          <w:rFonts w:ascii="Book Antiqua" w:hAnsi="Book Antiqua" w:cs="Times New Roman"/>
        </w:rPr>
        <w:t xml:space="preserve"> </w:t>
      </w:r>
      <w:r w:rsidR="00E933A6" w:rsidRPr="003D5907">
        <w:rPr>
          <w:rFonts w:ascii="Book Antiqua" w:hAnsi="Book Antiqua" w:cs="Times New Roman"/>
        </w:rPr>
        <w:t xml:space="preserve">ako </w:t>
      </w:r>
      <w:r w:rsidR="009B7E53" w:rsidRPr="003D5907">
        <w:rPr>
          <w:rFonts w:ascii="Book Antiqua" w:hAnsi="Book Antiqua" w:cs="Times New Roman"/>
        </w:rPr>
        <w:t>správc</w:t>
      </w:r>
      <w:r w:rsidRPr="003D5907">
        <w:rPr>
          <w:rFonts w:ascii="Book Antiqua" w:hAnsi="Book Antiqua" w:cs="Times New Roman"/>
        </w:rPr>
        <w:t>om</w:t>
      </w:r>
      <w:r w:rsidR="009B7E53" w:rsidRPr="003D5907">
        <w:rPr>
          <w:rFonts w:ascii="Book Antiqua" w:hAnsi="Book Antiqua" w:cs="Times New Roman"/>
        </w:rPr>
        <w:t xml:space="preserve"> </w:t>
      </w:r>
      <w:r w:rsidR="00E933A6" w:rsidRPr="003D5907">
        <w:rPr>
          <w:rFonts w:ascii="Book Antiqua" w:hAnsi="Book Antiqua" w:cs="Times New Roman"/>
        </w:rPr>
        <w:t xml:space="preserve">informačného a monitorovacieho systému </w:t>
      </w:r>
      <w:r w:rsidR="00477440" w:rsidRPr="003D5907">
        <w:rPr>
          <w:rFonts w:ascii="Book Antiqua" w:hAnsi="Book Antiqua" w:cs="Times New Roman"/>
        </w:rPr>
        <w:t>P</w:t>
      </w:r>
      <w:r w:rsidR="00E933A6" w:rsidRPr="003D5907">
        <w:rPr>
          <w:rFonts w:ascii="Book Antiqua" w:hAnsi="Book Antiqua" w:cs="Times New Roman"/>
        </w:rPr>
        <w:t>lánu obnovy (ďalej len „ISPO“).</w:t>
      </w:r>
    </w:p>
    <w:p w14:paraId="79B414BC" w14:textId="66399AD1" w:rsidR="00D13439" w:rsidRPr="003D5907" w:rsidRDefault="009D77B2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 xml:space="preserve">K bodu 7 </w:t>
      </w:r>
    </w:p>
    <w:p w14:paraId="6C023417" w14:textId="012F00E3" w:rsidR="00E933A6" w:rsidRPr="003D5907" w:rsidRDefault="00E933A6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</w:rPr>
        <w:t>Upravuje sa spôsob vyhlasovania výzvy s využitím ISPO. Oproti doterajšiemu zneniu sa výzva vyhlasuje jej zverejnením v ISPO.</w:t>
      </w:r>
      <w:r w:rsidR="00CD5E35" w:rsidRPr="003D5907">
        <w:rPr>
          <w:rFonts w:ascii="Book Antiqua" w:hAnsi="Book Antiqua" w:cs="Times New Roman"/>
          <w:bCs/>
        </w:rPr>
        <w:t xml:space="preserve"> </w:t>
      </w:r>
      <w:r w:rsidR="00895C03" w:rsidRPr="003D5907">
        <w:rPr>
          <w:rFonts w:ascii="Book Antiqua" w:hAnsi="Book Antiqua" w:cs="Times New Roman"/>
          <w:bCs/>
        </w:rPr>
        <w:t>Upravuje sa rovnako povinnosť vykonávateľa zverejniť informáciu o vyhlásení výzvy a príslušný odkaz na výzvu na svojom webovom sídle.</w:t>
      </w:r>
    </w:p>
    <w:p w14:paraId="0341B805" w14:textId="77777777" w:rsidR="00895C03" w:rsidRPr="003D5907" w:rsidRDefault="00895C03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</w:p>
    <w:p w14:paraId="6BDF2DE9" w14:textId="4AF53B23" w:rsidR="00D13439" w:rsidRPr="003D5907" w:rsidRDefault="00344E74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lastRenderedPageBreak/>
        <w:t xml:space="preserve">K bodu 8 </w:t>
      </w:r>
    </w:p>
    <w:p w14:paraId="3AC2F9D6" w14:textId="7647E489" w:rsidR="00FD4C94" w:rsidRPr="003D5907" w:rsidRDefault="00FD4C94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</w:rPr>
        <w:t>Vykonávateľovi sa umožňuje, aby v prípade vykonania zmeny výzvy vyzval žiadateľov, ktorí už predložili žiadosť o</w:t>
      </w:r>
      <w:r w:rsidR="00895C03" w:rsidRPr="003D5907">
        <w:rPr>
          <w:rFonts w:ascii="Book Antiqua" w:hAnsi="Book Antiqua" w:cs="Times New Roman"/>
          <w:bCs/>
        </w:rPr>
        <w:t> </w:t>
      </w:r>
      <w:r w:rsidRPr="003D5907">
        <w:rPr>
          <w:rFonts w:ascii="Book Antiqua" w:hAnsi="Book Antiqua" w:cs="Times New Roman"/>
          <w:bCs/>
        </w:rPr>
        <w:t>prostriedky</w:t>
      </w:r>
      <w:r w:rsidR="00895C03" w:rsidRPr="003D5907">
        <w:rPr>
          <w:rFonts w:ascii="Book Antiqua" w:hAnsi="Book Antiqua" w:cs="Times New Roman"/>
          <w:bCs/>
        </w:rPr>
        <w:t>,</w:t>
      </w:r>
      <w:r w:rsidRPr="003D5907">
        <w:rPr>
          <w:rFonts w:ascii="Book Antiqua" w:hAnsi="Book Antiqua" w:cs="Times New Roman"/>
          <w:bCs/>
        </w:rPr>
        <w:t xml:space="preserve"> </w:t>
      </w:r>
      <w:r w:rsidR="00895C03" w:rsidRPr="003D5907">
        <w:rPr>
          <w:rFonts w:ascii="Book Antiqua" w:hAnsi="Book Antiqua" w:cs="Times New Roman"/>
          <w:bCs/>
        </w:rPr>
        <w:t>na</w:t>
      </w:r>
      <w:r w:rsidRPr="003D5907">
        <w:rPr>
          <w:rFonts w:ascii="Book Antiqua" w:hAnsi="Book Antiqua" w:cs="Times New Roman"/>
          <w:bCs/>
        </w:rPr>
        <w:t xml:space="preserve"> doplnenie žiadosti. </w:t>
      </w:r>
      <w:r w:rsidR="009B7E53" w:rsidRPr="003D5907">
        <w:rPr>
          <w:rFonts w:ascii="Book Antiqua" w:hAnsi="Book Antiqua" w:cs="Times New Roman"/>
          <w:bCs/>
        </w:rPr>
        <w:t>V</w:t>
      </w:r>
      <w:r w:rsidRPr="003D5907">
        <w:rPr>
          <w:rFonts w:ascii="Book Antiqua" w:hAnsi="Book Antiqua" w:cs="Times New Roman"/>
          <w:bCs/>
        </w:rPr>
        <w:t>ykonávateľ pritom musí dodržať požiadavku, že zmena výzvy nevyvolá zmenu v</w:t>
      </w:r>
      <w:r w:rsidR="00895C03" w:rsidRPr="003D5907">
        <w:rPr>
          <w:rFonts w:ascii="Book Antiqua" w:hAnsi="Book Antiqua" w:cs="Times New Roman"/>
          <w:bCs/>
        </w:rPr>
        <w:t>o výsledku</w:t>
      </w:r>
      <w:r w:rsidRPr="003D5907">
        <w:rPr>
          <w:rFonts w:ascii="Book Antiqua" w:hAnsi="Book Antiqua" w:cs="Times New Roman"/>
          <w:bCs/>
        </w:rPr>
        <w:t xml:space="preserve"> posudzovan</w:t>
      </w:r>
      <w:r w:rsidR="00895C03" w:rsidRPr="003D5907">
        <w:rPr>
          <w:rFonts w:ascii="Book Antiqua" w:hAnsi="Book Antiqua" w:cs="Times New Roman"/>
          <w:bCs/>
        </w:rPr>
        <w:t>ia</w:t>
      </w:r>
      <w:r w:rsidRPr="003D5907">
        <w:rPr>
          <w:rFonts w:ascii="Book Antiqua" w:hAnsi="Book Antiqua" w:cs="Times New Roman"/>
          <w:bCs/>
        </w:rPr>
        <w:t xml:space="preserve"> už predložených žiadostí o</w:t>
      </w:r>
      <w:r w:rsidR="00D00A85" w:rsidRPr="003D5907">
        <w:rPr>
          <w:rFonts w:ascii="Book Antiqua" w:hAnsi="Book Antiqua" w:cs="Times New Roman"/>
          <w:bCs/>
        </w:rPr>
        <w:t> </w:t>
      </w:r>
      <w:r w:rsidRPr="003D5907">
        <w:rPr>
          <w:rFonts w:ascii="Book Antiqua" w:hAnsi="Book Antiqua" w:cs="Times New Roman"/>
          <w:bCs/>
        </w:rPr>
        <w:t>prostriedky</w:t>
      </w:r>
      <w:r w:rsidR="00D00A85" w:rsidRPr="003D5907">
        <w:rPr>
          <w:rFonts w:ascii="Book Antiqua" w:hAnsi="Book Antiqua" w:cs="Times New Roman"/>
          <w:bCs/>
        </w:rPr>
        <w:t xml:space="preserve"> za súčasného dodrž</w:t>
      </w:r>
      <w:r w:rsidR="00895C03" w:rsidRPr="003D5907">
        <w:rPr>
          <w:rFonts w:ascii="Book Antiqua" w:hAnsi="Book Antiqua" w:cs="Times New Roman"/>
          <w:bCs/>
        </w:rPr>
        <w:t>a</w:t>
      </w:r>
      <w:r w:rsidR="00D00A85" w:rsidRPr="003D5907">
        <w:rPr>
          <w:rFonts w:ascii="Book Antiqua" w:hAnsi="Book Antiqua" w:cs="Times New Roman"/>
          <w:bCs/>
        </w:rPr>
        <w:t>nia princípov podľa § 2 ods. 2</w:t>
      </w:r>
      <w:r w:rsidR="00895C03" w:rsidRPr="003D5907">
        <w:rPr>
          <w:rFonts w:ascii="Book Antiqua" w:hAnsi="Book Antiqua" w:cs="Times New Roman"/>
          <w:bCs/>
        </w:rPr>
        <w:t xml:space="preserve"> zákona</w:t>
      </w:r>
      <w:r w:rsidR="00D00A85" w:rsidRPr="003D5907">
        <w:rPr>
          <w:rFonts w:ascii="Book Antiqua" w:hAnsi="Book Antiqua" w:cs="Times New Roman"/>
          <w:bCs/>
        </w:rPr>
        <w:t>.</w:t>
      </w:r>
      <w:r w:rsidR="00072FA7" w:rsidRPr="003D5907">
        <w:rPr>
          <w:rFonts w:ascii="Book Antiqua" w:hAnsi="Book Antiqua" w:cs="Times New Roman"/>
          <w:bCs/>
        </w:rPr>
        <w:t xml:space="preserve"> Uvedené o. i. znamená, prípustná je iba taká zmena výzvy, ktorá nebude mať vplyv na</w:t>
      </w:r>
      <w:r w:rsidR="00895C03" w:rsidRPr="003D5907">
        <w:rPr>
          <w:rFonts w:ascii="Book Antiqua" w:hAnsi="Book Antiqua" w:cs="Times New Roman"/>
          <w:bCs/>
        </w:rPr>
        <w:t xml:space="preserve"> výsledok</w:t>
      </w:r>
      <w:r w:rsidR="00072FA7" w:rsidRPr="003D5907">
        <w:rPr>
          <w:rFonts w:ascii="Book Antiqua" w:hAnsi="Book Antiqua" w:cs="Times New Roman"/>
          <w:bCs/>
        </w:rPr>
        <w:t xml:space="preserve"> posúdeni</w:t>
      </w:r>
      <w:r w:rsidR="00895C03" w:rsidRPr="003D5907">
        <w:rPr>
          <w:rFonts w:ascii="Book Antiqua" w:hAnsi="Book Antiqua" w:cs="Times New Roman"/>
          <w:bCs/>
        </w:rPr>
        <w:t>a</w:t>
      </w:r>
      <w:r w:rsidR="00072FA7" w:rsidRPr="003D5907">
        <w:rPr>
          <w:rFonts w:ascii="Book Antiqua" w:hAnsi="Book Antiqua" w:cs="Times New Roman"/>
          <w:bCs/>
        </w:rPr>
        <w:t>, či žiadosť o prostriedky spĺňa alebo nespĺňa podmienky poskytnutia prostriedkov mechanizmu a zároveň neovplyvní poradie žiadostí o prostriedky podľa § 16 ods. 4</w:t>
      </w:r>
      <w:r w:rsidR="00895C03" w:rsidRPr="003D5907">
        <w:rPr>
          <w:rFonts w:ascii="Book Antiqua" w:hAnsi="Book Antiqua" w:cs="Times New Roman"/>
          <w:bCs/>
        </w:rPr>
        <w:t xml:space="preserve"> zákona</w:t>
      </w:r>
      <w:r w:rsidR="00072FA7" w:rsidRPr="003D5907">
        <w:rPr>
          <w:rFonts w:ascii="Book Antiqua" w:hAnsi="Book Antiqua" w:cs="Times New Roman"/>
          <w:bCs/>
        </w:rPr>
        <w:t>.</w:t>
      </w:r>
    </w:p>
    <w:p w14:paraId="61F38299" w14:textId="3CEA872E" w:rsidR="00D13439" w:rsidRPr="003D5907" w:rsidRDefault="00F13AD2" w:rsidP="003D5907">
      <w:pPr>
        <w:keepNext/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 xml:space="preserve">K bodu 9 </w:t>
      </w:r>
    </w:p>
    <w:p w14:paraId="2ACDA77F" w14:textId="094464FD" w:rsidR="008F1F6E" w:rsidRPr="003D5907" w:rsidRDefault="008F1F6E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3D5907">
        <w:rPr>
          <w:rFonts w:ascii="Book Antiqua" w:eastAsia="Times New Roman" w:hAnsi="Book Antiqua" w:cs="Times New Roman"/>
          <w:lang w:eastAsia="cs-CZ"/>
        </w:rPr>
        <w:t>Legislatívno-technická zmena.</w:t>
      </w:r>
    </w:p>
    <w:p w14:paraId="508F96E3" w14:textId="0C50C4E8" w:rsidR="00D13439" w:rsidRPr="003D5907" w:rsidRDefault="008A708B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 xml:space="preserve">K bodu 10 </w:t>
      </w:r>
    </w:p>
    <w:p w14:paraId="62FBF220" w14:textId="767E3B5C" w:rsidR="00FD4C94" w:rsidRPr="003D5907" w:rsidRDefault="00FD4C94" w:rsidP="003D5907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cs-CZ"/>
        </w:rPr>
      </w:pPr>
      <w:r w:rsidRPr="003D5907">
        <w:rPr>
          <w:rFonts w:ascii="Book Antiqua" w:eastAsia="Times New Roman" w:hAnsi="Book Antiqua" w:cs="Times New Roman"/>
          <w:lang w:eastAsia="cs-CZ"/>
        </w:rPr>
        <w:t xml:space="preserve">Podľa doteraz účinného znenia mal vykonávateľ povinnosť vyzvať žiadateľa na doplnenie žiadosti o prostriedky v prípade, </w:t>
      </w:r>
      <w:r w:rsidR="00F21E16" w:rsidRPr="003D5907">
        <w:rPr>
          <w:rFonts w:ascii="Book Antiqua" w:eastAsia="Times New Roman" w:hAnsi="Book Antiqua" w:cs="Times New Roman"/>
          <w:lang w:eastAsia="cs-CZ"/>
        </w:rPr>
        <w:t>ak</w:t>
      </w:r>
      <w:r w:rsidRPr="003D5907">
        <w:rPr>
          <w:rFonts w:ascii="Book Antiqua" w:eastAsia="Times New Roman" w:hAnsi="Book Antiqua" w:cs="Times New Roman"/>
          <w:lang w:eastAsia="cs-CZ"/>
        </w:rPr>
        <w:t xml:space="preserve"> žiadosť nebola úplná. Za účelom zrýchlenia implementačného procesu je podľa návrhu </w:t>
      </w:r>
      <w:r w:rsidR="00D00A85" w:rsidRPr="003D5907">
        <w:rPr>
          <w:rFonts w:ascii="Book Antiqua" w:eastAsia="Times New Roman" w:hAnsi="Book Antiqua" w:cs="Times New Roman"/>
          <w:lang w:eastAsia="cs-CZ"/>
        </w:rPr>
        <w:t xml:space="preserve">zákona </w:t>
      </w:r>
      <w:r w:rsidRPr="003D5907">
        <w:rPr>
          <w:rFonts w:ascii="Book Antiqua" w:eastAsia="Times New Roman" w:hAnsi="Book Antiqua" w:cs="Times New Roman"/>
          <w:lang w:eastAsia="cs-CZ"/>
        </w:rPr>
        <w:t xml:space="preserve">vykonávateľ </w:t>
      </w:r>
      <w:r w:rsidR="00D00A85" w:rsidRPr="003D5907">
        <w:rPr>
          <w:rFonts w:ascii="Book Antiqua" w:eastAsia="Times New Roman" w:hAnsi="Book Antiqua" w:cs="Times New Roman"/>
          <w:lang w:eastAsia="cs-CZ"/>
        </w:rPr>
        <w:t xml:space="preserve">pri </w:t>
      </w:r>
      <w:r w:rsidR="002E5437" w:rsidRPr="003D5907">
        <w:rPr>
          <w:rFonts w:ascii="Book Antiqua" w:eastAsia="Times New Roman" w:hAnsi="Book Antiqua" w:cs="Times New Roman"/>
          <w:lang w:eastAsia="cs-CZ"/>
        </w:rPr>
        <w:t xml:space="preserve">súčasnom </w:t>
      </w:r>
      <w:r w:rsidR="00D00A85" w:rsidRPr="003D5907">
        <w:rPr>
          <w:rFonts w:ascii="Book Antiqua" w:eastAsia="Times New Roman" w:hAnsi="Book Antiqua" w:cs="Times New Roman"/>
          <w:lang w:eastAsia="cs-CZ"/>
        </w:rPr>
        <w:t xml:space="preserve">dodržaní princípov podľa § 2 ods. 2 </w:t>
      </w:r>
      <w:r w:rsidR="00895C03" w:rsidRPr="003D5907">
        <w:rPr>
          <w:rFonts w:ascii="Book Antiqua" w:eastAsia="Times New Roman" w:hAnsi="Book Antiqua" w:cs="Times New Roman"/>
          <w:lang w:eastAsia="cs-CZ"/>
        </w:rPr>
        <w:t xml:space="preserve">zákona </w:t>
      </w:r>
      <w:r w:rsidRPr="003D5907">
        <w:rPr>
          <w:rFonts w:ascii="Book Antiqua" w:eastAsia="Times New Roman" w:hAnsi="Book Antiqua" w:cs="Times New Roman"/>
          <w:lang w:eastAsia="cs-CZ"/>
        </w:rPr>
        <w:t xml:space="preserve">oprávnený posúdiť </w:t>
      </w:r>
      <w:r w:rsidR="00D502E2" w:rsidRPr="003D5907">
        <w:rPr>
          <w:rFonts w:ascii="Book Antiqua" w:eastAsia="Times New Roman" w:hAnsi="Book Antiqua" w:cs="Times New Roman"/>
          <w:lang w:eastAsia="cs-CZ"/>
        </w:rPr>
        <w:t xml:space="preserve">neúplnú </w:t>
      </w:r>
      <w:r w:rsidRPr="003D5907">
        <w:rPr>
          <w:rFonts w:ascii="Book Antiqua" w:eastAsia="Times New Roman" w:hAnsi="Book Antiqua" w:cs="Times New Roman"/>
          <w:lang w:eastAsia="cs-CZ"/>
        </w:rPr>
        <w:t>žiadosť o prostriedky ako žiadosť</w:t>
      </w:r>
      <w:r w:rsidR="00D502E2" w:rsidRPr="003D5907">
        <w:rPr>
          <w:rFonts w:ascii="Book Antiqua" w:eastAsia="Times New Roman" w:hAnsi="Book Antiqua" w:cs="Times New Roman"/>
          <w:lang w:eastAsia="cs-CZ"/>
        </w:rPr>
        <w:t xml:space="preserve"> o prostriedky</w:t>
      </w:r>
      <w:r w:rsidRPr="003D5907">
        <w:rPr>
          <w:rFonts w:ascii="Book Antiqua" w:eastAsia="Times New Roman" w:hAnsi="Book Antiqua" w:cs="Times New Roman"/>
          <w:lang w:eastAsia="cs-CZ"/>
        </w:rPr>
        <w:t>, ktorá nespĺňa podmienky poskytnutia prostriedkov</w:t>
      </w:r>
      <w:r w:rsidR="009B7E53" w:rsidRPr="003D5907">
        <w:rPr>
          <w:rFonts w:ascii="Book Antiqua" w:eastAsia="Times New Roman" w:hAnsi="Book Antiqua" w:cs="Times New Roman"/>
          <w:lang w:eastAsia="cs-CZ"/>
        </w:rPr>
        <w:t xml:space="preserve"> mechanizmu</w:t>
      </w:r>
      <w:r w:rsidRPr="003D5907">
        <w:rPr>
          <w:rFonts w:ascii="Book Antiqua" w:eastAsia="Times New Roman" w:hAnsi="Book Antiqua" w:cs="Times New Roman"/>
          <w:lang w:eastAsia="cs-CZ"/>
        </w:rPr>
        <w:t>.</w:t>
      </w:r>
    </w:p>
    <w:p w14:paraId="09258741" w14:textId="119EBFEA" w:rsidR="00D13439" w:rsidRPr="003D5907" w:rsidRDefault="008A708B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 xml:space="preserve">K bodu 11 </w:t>
      </w:r>
    </w:p>
    <w:p w14:paraId="0F114703" w14:textId="2A952BF9" w:rsidR="00D502E2" w:rsidRPr="003D5907" w:rsidRDefault="001117A0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</w:rPr>
        <w:t xml:space="preserve">Dopĺňa sa možnosť nevytvárať poradie žiadostí o prostriedky v prípade, ak finančná alokácia </w:t>
      </w:r>
      <w:r w:rsidR="00D502E2" w:rsidRPr="003D5907">
        <w:rPr>
          <w:rFonts w:ascii="Book Antiqua" w:hAnsi="Book Antiqua" w:cs="Times New Roman"/>
          <w:bCs/>
        </w:rPr>
        <w:t xml:space="preserve">určená </w:t>
      </w:r>
      <w:r w:rsidRPr="003D5907">
        <w:rPr>
          <w:rFonts w:ascii="Book Antiqua" w:hAnsi="Book Antiqua" w:cs="Times New Roman"/>
          <w:bCs/>
        </w:rPr>
        <w:t xml:space="preserve">na danú výzvu </w:t>
      </w:r>
      <w:r w:rsidR="00D502E2" w:rsidRPr="003D5907">
        <w:rPr>
          <w:rFonts w:ascii="Book Antiqua" w:hAnsi="Book Antiqua" w:cs="Times New Roman"/>
          <w:bCs/>
        </w:rPr>
        <w:t>prevyšuje sumu prostriedkov mechanizmu, ktorá je požadovaná žiadateľmi, ktorí predložili žiadosti o prostriedky</w:t>
      </w:r>
      <w:r w:rsidRPr="003D5907">
        <w:rPr>
          <w:rFonts w:ascii="Book Antiqua" w:hAnsi="Book Antiqua" w:cs="Times New Roman"/>
          <w:bCs/>
        </w:rPr>
        <w:t>.</w:t>
      </w:r>
    </w:p>
    <w:p w14:paraId="148631CF" w14:textId="5E4A8D33" w:rsidR="006D025B" w:rsidRPr="003D5907" w:rsidRDefault="004D50F2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  <w:color w:val="000000" w:themeColor="text1"/>
        </w:rPr>
        <w:t xml:space="preserve">Umožňuje sa </w:t>
      </w:r>
      <w:r w:rsidR="00D1425B" w:rsidRPr="003D5907">
        <w:rPr>
          <w:rStyle w:val="cf01"/>
          <w:rFonts w:ascii="Book Antiqua" w:hAnsi="Book Antiqua" w:cs="Times New Roman"/>
          <w:color w:val="000000" w:themeColor="text1"/>
          <w:sz w:val="22"/>
          <w:szCs w:val="22"/>
        </w:rPr>
        <w:t xml:space="preserve">žiadosť </w:t>
      </w:r>
      <w:r w:rsidR="00D1425B" w:rsidRPr="003D5907">
        <w:rPr>
          <w:rStyle w:val="cf11"/>
          <w:rFonts w:ascii="Book Antiqua" w:hAnsi="Book Antiqua" w:cs="Times New Roman"/>
          <w:color w:val="000000" w:themeColor="text1"/>
          <w:sz w:val="22"/>
          <w:szCs w:val="22"/>
        </w:rPr>
        <w:t xml:space="preserve">o prostriedky </w:t>
      </w:r>
      <w:r w:rsidR="00D1425B" w:rsidRPr="003D5907">
        <w:rPr>
          <w:rStyle w:val="cf01"/>
          <w:rFonts w:ascii="Book Antiqua" w:hAnsi="Book Antiqua" w:cs="Times New Roman"/>
          <w:color w:val="000000" w:themeColor="text1"/>
          <w:sz w:val="22"/>
          <w:szCs w:val="22"/>
        </w:rPr>
        <w:t xml:space="preserve">posúdiť aj v rámci inej výzvy </w:t>
      </w:r>
      <w:r w:rsidR="00D1425B" w:rsidRPr="003D5907">
        <w:rPr>
          <w:rStyle w:val="cf11"/>
          <w:rFonts w:ascii="Book Antiqua" w:hAnsi="Book Antiqua" w:cs="Times New Roman"/>
          <w:color w:val="000000" w:themeColor="text1"/>
          <w:sz w:val="22"/>
          <w:szCs w:val="22"/>
        </w:rPr>
        <w:t xml:space="preserve">ako tej, na základe ktorej bola žiadosť o prostriedky predložená. </w:t>
      </w:r>
      <w:r w:rsidR="006D025B" w:rsidRPr="003D5907">
        <w:rPr>
          <w:rFonts w:ascii="Book Antiqua" w:hAnsi="Book Antiqua" w:cs="Times New Roman"/>
          <w:bCs/>
          <w:color w:val="000000" w:themeColor="text1"/>
        </w:rPr>
        <w:t>I</w:t>
      </w:r>
      <w:r w:rsidR="00FD4C94" w:rsidRPr="003D5907">
        <w:rPr>
          <w:rFonts w:ascii="Book Antiqua" w:hAnsi="Book Antiqua" w:cs="Times New Roman"/>
          <w:bCs/>
          <w:color w:val="000000" w:themeColor="text1"/>
        </w:rPr>
        <w:t xml:space="preserve">de </w:t>
      </w:r>
      <w:r w:rsidR="00FD4C94" w:rsidRPr="003D5907">
        <w:rPr>
          <w:rFonts w:ascii="Book Antiqua" w:hAnsi="Book Antiqua" w:cs="Times New Roman"/>
          <w:bCs/>
        </w:rPr>
        <w:t>o</w:t>
      </w:r>
      <w:r w:rsidR="006D025B" w:rsidRPr="003D5907">
        <w:rPr>
          <w:rFonts w:ascii="Book Antiqua" w:hAnsi="Book Antiqua" w:cs="Times New Roman"/>
          <w:bCs/>
        </w:rPr>
        <w:t> </w:t>
      </w:r>
      <w:r w:rsidR="00FD4C94" w:rsidRPr="003D5907">
        <w:rPr>
          <w:rFonts w:ascii="Book Antiqua" w:hAnsi="Book Antiqua" w:cs="Times New Roman"/>
          <w:bCs/>
        </w:rPr>
        <w:t>žiadosti</w:t>
      </w:r>
      <w:r w:rsidR="006D025B" w:rsidRPr="003D5907">
        <w:rPr>
          <w:rFonts w:ascii="Book Antiqua" w:hAnsi="Book Antiqua" w:cs="Times New Roman"/>
          <w:bCs/>
        </w:rPr>
        <w:t xml:space="preserve"> o prostriedky</w:t>
      </w:r>
      <w:r w:rsidR="00FD4C94" w:rsidRPr="003D5907">
        <w:rPr>
          <w:rFonts w:ascii="Book Antiqua" w:hAnsi="Book Antiqua" w:cs="Times New Roman"/>
          <w:bCs/>
        </w:rPr>
        <w:t>, ktoré</w:t>
      </w:r>
      <w:r w:rsidR="006D025B" w:rsidRPr="003D5907">
        <w:rPr>
          <w:rFonts w:ascii="Book Antiqua" w:hAnsi="Book Antiqua" w:cs="Times New Roman"/>
          <w:bCs/>
        </w:rPr>
        <w:t xml:space="preserve"> v predchádzajúcich výzvach</w:t>
      </w:r>
      <w:r w:rsidR="00FD4C94" w:rsidRPr="003D5907">
        <w:rPr>
          <w:rFonts w:ascii="Book Antiqua" w:hAnsi="Book Antiqua" w:cs="Times New Roman"/>
          <w:bCs/>
        </w:rPr>
        <w:t xml:space="preserve"> </w:t>
      </w:r>
      <w:r w:rsidR="006D025B" w:rsidRPr="003D5907">
        <w:rPr>
          <w:rFonts w:ascii="Book Antiqua" w:hAnsi="Book Antiqua" w:cs="Times New Roman"/>
          <w:bCs/>
        </w:rPr>
        <w:t>splnili podmienky poskytnutia prostriedkov mechanizmu, avšak</w:t>
      </w:r>
      <w:r w:rsidR="00FD4C94" w:rsidRPr="003D5907">
        <w:rPr>
          <w:rFonts w:ascii="Book Antiqua" w:hAnsi="Book Antiqua" w:cs="Times New Roman"/>
          <w:bCs/>
        </w:rPr>
        <w:t xml:space="preserve"> z dôvodu nedostatočnej alokácie im nebolo možné </w:t>
      </w:r>
      <w:r w:rsidR="00D1425B" w:rsidRPr="003D5907">
        <w:rPr>
          <w:rFonts w:ascii="Book Antiqua" w:hAnsi="Book Antiqua" w:cs="Times New Roman"/>
          <w:bCs/>
        </w:rPr>
        <w:t>prostriedky mechanizmu poskytnúť</w:t>
      </w:r>
      <w:r w:rsidR="006D025B" w:rsidRPr="003D5907">
        <w:rPr>
          <w:rFonts w:ascii="Book Antiqua" w:hAnsi="Book Antiqua" w:cs="Times New Roman"/>
          <w:bCs/>
        </w:rPr>
        <w:t xml:space="preserve">. Môže ísť taktiež o žiadosti </w:t>
      </w:r>
      <w:r w:rsidR="00D1425B" w:rsidRPr="003D5907">
        <w:rPr>
          <w:rFonts w:ascii="Book Antiqua" w:hAnsi="Book Antiqua" w:cs="Times New Roman"/>
          <w:bCs/>
        </w:rPr>
        <w:t xml:space="preserve">o prostriedky </w:t>
      </w:r>
      <w:r w:rsidR="006D025B" w:rsidRPr="003D5907">
        <w:rPr>
          <w:rFonts w:ascii="Book Antiqua" w:hAnsi="Book Antiqua" w:cs="Times New Roman"/>
          <w:bCs/>
        </w:rPr>
        <w:t>predložené v rámci výzv</w:t>
      </w:r>
      <w:r w:rsidR="00D1425B" w:rsidRPr="003D5907">
        <w:rPr>
          <w:rFonts w:ascii="Book Antiqua" w:hAnsi="Book Antiqua" w:cs="Times New Roman"/>
          <w:bCs/>
        </w:rPr>
        <w:t>y</w:t>
      </w:r>
      <w:r w:rsidR="00FD4C94" w:rsidRPr="003D5907">
        <w:rPr>
          <w:rFonts w:ascii="Book Antiqua" w:hAnsi="Book Antiqua" w:cs="Times New Roman"/>
          <w:bCs/>
        </w:rPr>
        <w:t xml:space="preserve">, </w:t>
      </w:r>
      <w:r w:rsidR="006D025B" w:rsidRPr="003D5907">
        <w:rPr>
          <w:rFonts w:ascii="Book Antiqua" w:hAnsi="Book Antiqua" w:cs="Times New Roman"/>
          <w:bCs/>
        </w:rPr>
        <w:t>ktorá</w:t>
      </w:r>
      <w:r w:rsidR="00FD4C94" w:rsidRPr="003D5907">
        <w:rPr>
          <w:rFonts w:ascii="Book Antiqua" w:hAnsi="Book Antiqua" w:cs="Times New Roman"/>
          <w:bCs/>
        </w:rPr>
        <w:t xml:space="preserve"> bola zrušená a žiadosti </w:t>
      </w:r>
      <w:r w:rsidR="006D025B" w:rsidRPr="003D5907">
        <w:rPr>
          <w:rFonts w:ascii="Book Antiqua" w:hAnsi="Book Antiqua" w:cs="Times New Roman"/>
          <w:bCs/>
        </w:rPr>
        <w:t xml:space="preserve">o prostriedky </w:t>
      </w:r>
      <w:r w:rsidR="00FD4C94" w:rsidRPr="003D5907">
        <w:rPr>
          <w:rFonts w:ascii="Book Antiqua" w:hAnsi="Book Antiqua" w:cs="Times New Roman"/>
          <w:bCs/>
        </w:rPr>
        <w:t>neboli posúdené</w:t>
      </w:r>
      <w:r w:rsidR="00D1425B" w:rsidRPr="003D5907">
        <w:rPr>
          <w:rFonts w:ascii="Book Antiqua" w:hAnsi="Book Antiqua" w:cs="Times New Roman"/>
          <w:bCs/>
        </w:rPr>
        <w:t xml:space="preserve"> alebo boli posúdené ako žiadosti o prostriedky, ktoré spĺňajú podmienky poskytnutia prostriedkov mechanizmu, ale prostriedky mechanizmu im neboli poskytnuté z dôvodu zrušenia výzvy</w:t>
      </w:r>
      <w:r w:rsidR="00FD4C94" w:rsidRPr="003D5907">
        <w:rPr>
          <w:rFonts w:ascii="Book Antiqua" w:hAnsi="Book Antiqua" w:cs="Times New Roman"/>
          <w:bCs/>
        </w:rPr>
        <w:t>.</w:t>
      </w:r>
      <w:r w:rsidR="006D025B" w:rsidRPr="003D5907">
        <w:rPr>
          <w:rFonts w:ascii="Book Antiqua" w:hAnsi="Book Antiqua" w:cs="Times New Roman"/>
          <w:bCs/>
        </w:rPr>
        <w:t xml:space="preserve"> Cieľom uvedeného postupu je predísť administratívnej záťaži na strane žiadateľa. Uvedeným postupom nie je dotknutá povinnosť vykonávateľa umožniť </w:t>
      </w:r>
      <w:r w:rsidR="00D1425B" w:rsidRPr="003D5907">
        <w:rPr>
          <w:rFonts w:ascii="Book Antiqua" w:hAnsi="Book Antiqua" w:cs="Times New Roman"/>
          <w:bCs/>
        </w:rPr>
        <w:t xml:space="preserve">v rámci výzvy </w:t>
      </w:r>
      <w:r w:rsidR="006D025B" w:rsidRPr="003D5907">
        <w:rPr>
          <w:rFonts w:ascii="Book Antiqua" w:hAnsi="Book Antiqua" w:cs="Times New Roman"/>
          <w:bCs/>
        </w:rPr>
        <w:t>predkladanie nových žiadostí o prostriedky.</w:t>
      </w:r>
      <w:r w:rsidR="00D1425B" w:rsidRPr="003D5907">
        <w:rPr>
          <w:rFonts w:ascii="Book Antiqua" w:hAnsi="Book Antiqua" w:cs="Times New Roman"/>
          <w:bCs/>
        </w:rPr>
        <w:t xml:space="preserve"> </w:t>
      </w:r>
      <w:r w:rsidR="006D025B" w:rsidRPr="003D5907">
        <w:rPr>
          <w:rFonts w:ascii="Book Antiqua" w:hAnsi="Book Antiqua" w:cs="Times New Roman"/>
          <w:bCs/>
        </w:rPr>
        <w:t xml:space="preserve">Vykonávateľ je v prípade </w:t>
      </w:r>
      <w:r w:rsidR="00D1425B" w:rsidRPr="003D5907">
        <w:rPr>
          <w:rFonts w:ascii="Book Antiqua" w:hAnsi="Book Antiqua" w:cs="Times New Roman"/>
          <w:bCs/>
        </w:rPr>
        <w:t>uplatnenia takéhoto</w:t>
      </w:r>
      <w:r w:rsidR="006D025B" w:rsidRPr="003D5907">
        <w:rPr>
          <w:rFonts w:ascii="Book Antiqua" w:hAnsi="Book Antiqua" w:cs="Times New Roman"/>
          <w:bCs/>
        </w:rPr>
        <w:t xml:space="preserve"> postupu povinný žiadateľa informovať o posudzovaní žiadosti o prostriedky v rámci novej výzvy. V prípade nezáujmu o posúdenie žiadosti o prostriedky je žiadateľ oprávnený vziať žiadosť o prostriedky späť.</w:t>
      </w:r>
    </w:p>
    <w:p w14:paraId="73B177BE" w14:textId="10CAFD86" w:rsidR="00DE7864" w:rsidRPr="003D5907" w:rsidRDefault="00DE7864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>K bodu 12</w:t>
      </w:r>
    </w:p>
    <w:p w14:paraId="3F17C062" w14:textId="1946CB90" w:rsidR="00DE7864" w:rsidRPr="003D5907" w:rsidRDefault="00DE7864" w:rsidP="003D5907">
      <w:pPr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</w:rPr>
        <w:tab/>
        <w:t>Precizuje sa povinnosť vykonávateľa vyplývajúca z predmetného ustanovenia. Uveden</w:t>
      </w:r>
      <w:r w:rsidR="001F267C" w:rsidRPr="003D5907">
        <w:rPr>
          <w:rFonts w:ascii="Book Antiqua" w:hAnsi="Book Antiqua" w:cs="Times New Roman"/>
          <w:bCs/>
        </w:rPr>
        <w:t xml:space="preserve">ým nie je dotknutá povinnosť vykonávateľa dodržať ustanovenie § 16 ods. 5 zákona, rovnako ani povinnosť vykonávateľa podrobiť sa kontrole a auditu zo strany osôb k tomu oprávnených. </w:t>
      </w:r>
      <w:r w:rsidRPr="003D5907">
        <w:rPr>
          <w:rFonts w:ascii="Book Antiqua" w:hAnsi="Book Antiqua" w:cs="Times New Roman"/>
          <w:bCs/>
        </w:rPr>
        <w:t xml:space="preserve">  </w:t>
      </w:r>
    </w:p>
    <w:p w14:paraId="716E3720" w14:textId="5156A6AD" w:rsidR="00D13439" w:rsidRPr="003D5907" w:rsidRDefault="000B0C4C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lastRenderedPageBreak/>
        <w:t>K bodu 1</w:t>
      </w:r>
      <w:r w:rsidR="00CC2F8E" w:rsidRPr="003D5907">
        <w:rPr>
          <w:rFonts w:ascii="Book Antiqua" w:hAnsi="Book Antiqua" w:cs="Times New Roman"/>
          <w:bCs/>
          <w:u w:val="single"/>
        </w:rPr>
        <w:t>7</w:t>
      </w:r>
      <w:r w:rsidRPr="003D5907">
        <w:rPr>
          <w:rFonts w:ascii="Book Antiqua" w:hAnsi="Book Antiqua" w:cs="Times New Roman"/>
          <w:bCs/>
          <w:u w:val="single"/>
        </w:rPr>
        <w:t xml:space="preserve"> </w:t>
      </w:r>
    </w:p>
    <w:p w14:paraId="2F95EADF" w14:textId="2299E64E" w:rsidR="00F50911" w:rsidRPr="003D5907" w:rsidRDefault="003B6758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</w:rPr>
        <w:t>Návrh</w:t>
      </w:r>
      <w:r w:rsidR="00BD3741" w:rsidRPr="003D5907">
        <w:rPr>
          <w:rFonts w:ascii="Book Antiqua" w:hAnsi="Book Antiqua" w:cs="Times New Roman"/>
          <w:bCs/>
        </w:rPr>
        <w:t>om sa upravuje spôsob</w:t>
      </w:r>
      <w:r w:rsidRPr="003D5907">
        <w:rPr>
          <w:rFonts w:ascii="Book Antiqua" w:hAnsi="Book Antiqua" w:cs="Times New Roman"/>
          <w:bCs/>
        </w:rPr>
        <w:t xml:space="preserve"> vysporiadania finančnej opravy </w:t>
      </w:r>
      <w:r w:rsidR="00124BFB" w:rsidRPr="003D5907">
        <w:rPr>
          <w:rFonts w:ascii="Book Antiqua" w:hAnsi="Book Antiqua" w:cs="Times New Roman"/>
          <w:bCs/>
        </w:rPr>
        <w:t>voči vykonávateľovi tak, aby bolo zabezpečené, že</w:t>
      </w:r>
      <w:r w:rsidR="00BD3741" w:rsidRPr="003D5907">
        <w:rPr>
          <w:rFonts w:ascii="Book Antiqua" w:hAnsi="Book Antiqua" w:cs="Times New Roman"/>
          <w:bCs/>
        </w:rPr>
        <w:t xml:space="preserve"> finančnou opravou nebudú dotknuté iné opatrenia </w:t>
      </w:r>
      <w:r w:rsidR="007F76A5" w:rsidRPr="003D5907">
        <w:rPr>
          <w:rFonts w:ascii="Book Antiqua" w:hAnsi="Book Antiqua" w:cs="Times New Roman"/>
          <w:bCs/>
        </w:rPr>
        <w:t>P</w:t>
      </w:r>
      <w:r w:rsidR="00BD3741" w:rsidRPr="003D5907">
        <w:rPr>
          <w:rFonts w:ascii="Book Antiqua" w:hAnsi="Book Antiqua" w:cs="Times New Roman"/>
          <w:bCs/>
        </w:rPr>
        <w:t>lánu obnovy, za ktoré zodpovedá vykonávateľ. Zároveň sa zabezpečuje, že</w:t>
      </w:r>
      <w:r w:rsidR="00124BFB" w:rsidRPr="003D5907">
        <w:rPr>
          <w:rFonts w:ascii="Book Antiqua" w:hAnsi="Book Antiqua" w:cs="Times New Roman"/>
          <w:bCs/>
        </w:rPr>
        <w:t xml:space="preserve"> na národnej úrovni bude možné postup vysporiadania finančnej opravy </w:t>
      </w:r>
      <w:r w:rsidR="00BD3741" w:rsidRPr="003D5907">
        <w:rPr>
          <w:rFonts w:ascii="Book Antiqua" w:hAnsi="Book Antiqua" w:cs="Times New Roman"/>
          <w:bCs/>
        </w:rPr>
        <w:t>voči vykonávateľovi zrealizovať, čím sa môže e</w:t>
      </w:r>
      <w:r w:rsidR="00124BFB" w:rsidRPr="003D5907">
        <w:rPr>
          <w:rFonts w:ascii="Book Antiqua" w:hAnsi="Book Antiqua" w:cs="Times New Roman"/>
          <w:bCs/>
        </w:rPr>
        <w:t>limin</w:t>
      </w:r>
      <w:r w:rsidR="00BD3741" w:rsidRPr="003D5907">
        <w:rPr>
          <w:rFonts w:ascii="Book Antiqua" w:hAnsi="Book Antiqua" w:cs="Times New Roman"/>
          <w:bCs/>
        </w:rPr>
        <w:t xml:space="preserve">ovať </w:t>
      </w:r>
      <w:r w:rsidR="00124BFB" w:rsidRPr="003D5907">
        <w:rPr>
          <w:rFonts w:ascii="Book Antiqua" w:hAnsi="Book Antiqua" w:cs="Times New Roman"/>
          <w:bCs/>
        </w:rPr>
        <w:t xml:space="preserve">riziko zníženia finančného príspevku pre Slovenskú republiku v zmysle </w:t>
      </w:r>
      <w:r w:rsidR="003D5907">
        <w:rPr>
          <w:rFonts w:ascii="Book Antiqua" w:hAnsi="Book Antiqua" w:cs="Times New Roman"/>
          <w:bCs/>
        </w:rPr>
        <w:t xml:space="preserve">   </w:t>
      </w:r>
      <w:r w:rsidR="00124BFB" w:rsidRPr="003D5907">
        <w:rPr>
          <w:rFonts w:ascii="Book Antiqua" w:hAnsi="Book Antiqua" w:cs="Times New Roman"/>
          <w:bCs/>
        </w:rPr>
        <w:t xml:space="preserve">čl. 22 ods. 5 nariadenia </w:t>
      </w:r>
      <w:r w:rsidR="00BD3741" w:rsidRPr="003D5907">
        <w:rPr>
          <w:rFonts w:ascii="Book Antiqua" w:hAnsi="Book Antiqua" w:cs="Times New Roman"/>
          <w:bCs/>
        </w:rPr>
        <w:t xml:space="preserve">Európskeho parlamentu a Rady (EÚ) 2021/241, ktorým sa zriaďuje Mechanizmus na podporu obnovy a odolnosti. Finančná oprava </w:t>
      </w:r>
      <w:r w:rsidR="003D5907">
        <w:rPr>
          <w:rFonts w:ascii="Book Antiqua" w:hAnsi="Book Antiqua" w:cs="Times New Roman"/>
          <w:bCs/>
        </w:rPr>
        <w:t xml:space="preserve">sa </w:t>
      </w:r>
      <w:proofErr w:type="spellStart"/>
      <w:r w:rsidR="003D5907">
        <w:rPr>
          <w:rFonts w:ascii="Book Antiqua" w:hAnsi="Book Antiqua" w:cs="Times New Roman"/>
          <w:bCs/>
        </w:rPr>
        <w:t>vysporiada</w:t>
      </w:r>
      <w:proofErr w:type="spellEnd"/>
      <w:r w:rsidR="00BD3741" w:rsidRPr="003D5907">
        <w:rPr>
          <w:rFonts w:ascii="Book Antiqua" w:hAnsi="Book Antiqua" w:cs="Times New Roman"/>
          <w:bCs/>
        </w:rPr>
        <w:t xml:space="preserve"> z </w:t>
      </w:r>
      <w:r w:rsidRPr="003D5907">
        <w:rPr>
          <w:rFonts w:ascii="Book Antiqua" w:hAnsi="Book Antiqua" w:cs="Times New Roman"/>
          <w:bCs/>
        </w:rPr>
        <w:t>rozpočtov</w:t>
      </w:r>
      <w:r w:rsidR="00BD3741" w:rsidRPr="003D5907">
        <w:rPr>
          <w:rFonts w:ascii="Book Antiqua" w:hAnsi="Book Antiqua" w:cs="Times New Roman"/>
          <w:bCs/>
        </w:rPr>
        <w:t>ých</w:t>
      </w:r>
      <w:r w:rsidRPr="003D5907">
        <w:rPr>
          <w:rFonts w:ascii="Book Antiqua" w:hAnsi="Book Antiqua" w:cs="Times New Roman"/>
          <w:bCs/>
        </w:rPr>
        <w:t xml:space="preserve"> </w:t>
      </w:r>
      <w:r w:rsidR="00BD3741" w:rsidRPr="003D5907">
        <w:rPr>
          <w:rFonts w:ascii="Book Antiqua" w:hAnsi="Book Antiqua" w:cs="Times New Roman"/>
          <w:bCs/>
        </w:rPr>
        <w:t xml:space="preserve">prostriedkov v kapitole </w:t>
      </w:r>
      <w:r w:rsidRPr="003D5907">
        <w:rPr>
          <w:rFonts w:ascii="Book Antiqua" w:hAnsi="Book Antiqua" w:cs="Times New Roman"/>
          <w:bCs/>
        </w:rPr>
        <w:t>vykonávateľa.</w:t>
      </w:r>
    </w:p>
    <w:p w14:paraId="0680BCFB" w14:textId="6394E41A" w:rsidR="00D073E2" w:rsidRPr="003D5907" w:rsidRDefault="00D073E2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</w:rPr>
        <w:t>Zároveň sa precizuje, že finančná oprava voči sprostredkovateľovi a finančnému sprostredkovateľovi sa vykoná vrátením.</w:t>
      </w:r>
    </w:p>
    <w:p w14:paraId="207ED436" w14:textId="04451657" w:rsidR="000B0C4C" w:rsidRPr="003D5907" w:rsidRDefault="000B0C4C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>K bodu 1</w:t>
      </w:r>
      <w:r w:rsidR="00CC2F8E" w:rsidRPr="003D5907">
        <w:rPr>
          <w:rFonts w:ascii="Book Antiqua" w:hAnsi="Book Antiqua" w:cs="Times New Roman"/>
          <w:bCs/>
          <w:u w:val="single"/>
        </w:rPr>
        <w:t>8</w:t>
      </w:r>
      <w:r w:rsidRPr="003D5907">
        <w:rPr>
          <w:rFonts w:ascii="Book Antiqua" w:hAnsi="Book Antiqua" w:cs="Times New Roman"/>
          <w:bCs/>
          <w:u w:val="single"/>
        </w:rPr>
        <w:t xml:space="preserve"> </w:t>
      </w:r>
    </w:p>
    <w:p w14:paraId="3FE99AF5" w14:textId="5CC6F7D7" w:rsidR="00B7671E" w:rsidRPr="003D5907" w:rsidRDefault="00FD75C4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3D5907">
        <w:rPr>
          <w:rFonts w:ascii="Book Antiqua" w:hAnsi="Book Antiqua" w:cs="Times New Roman"/>
          <w:bCs/>
        </w:rPr>
        <w:t>Upravuje sa mechanizmus oznamovania nezrovnalosti v prípade poskytovania prostriedkov mechanizmu prostredníctvom finančných nástrojov</w:t>
      </w:r>
      <w:r w:rsidR="00D073E2" w:rsidRPr="003D5907">
        <w:rPr>
          <w:rFonts w:ascii="Book Antiqua" w:hAnsi="Book Antiqua" w:cs="Times New Roman"/>
          <w:bCs/>
        </w:rPr>
        <w:t xml:space="preserve"> a precizuje sa </w:t>
      </w:r>
      <w:r w:rsidR="005B7BC3" w:rsidRPr="003D5907">
        <w:rPr>
          <w:rFonts w:ascii="Book Antiqua" w:hAnsi="Book Antiqua" w:cs="Times New Roman"/>
          <w:bCs/>
        </w:rPr>
        <w:t xml:space="preserve">oznamovanie nezrovnalostí </w:t>
      </w:r>
      <w:r w:rsidR="00D073E2" w:rsidRPr="003D5907">
        <w:rPr>
          <w:rFonts w:ascii="Book Antiqua" w:hAnsi="Book Antiqua" w:cs="Times New Roman"/>
          <w:bCs/>
        </w:rPr>
        <w:t xml:space="preserve">v prípade </w:t>
      </w:r>
      <w:r w:rsidR="005B7BC3" w:rsidRPr="003D5907">
        <w:rPr>
          <w:rFonts w:ascii="Book Antiqua" w:hAnsi="Book Antiqua" w:cs="Times New Roman"/>
          <w:bCs/>
        </w:rPr>
        <w:t>zapojenia sprostredkovateľa</w:t>
      </w:r>
      <w:r w:rsidRPr="003D5907">
        <w:rPr>
          <w:rFonts w:ascii="Book Antiqua" w:hAnsi="Book Antiqua" w:cs="Times New Roman"/>
          <w:bCs/>
        </w:rPr>
        <w:t>.</w:t>
      </w:r>
    </w:p>
    <w:p w14:paraId="16E69404" w14:textId="6976B2C3" w:rsidR="000B0C4C" w:rsidRPr="003D5907" w:rsidRDefault="000B0C4C" w:rsidP="003D5907">
      <w:pPr>
        <w:spacing w:before="120" w:after="0" w:line="276" w:lineRule="auto"/>
        <w:jc w:val="both"/>
        <w:rPr>
          <w:rFonts w:ascii="Book Antiqua" w:hAnsi="Book Antiqua" w:cs="Times New Roman"/>
          <w:bCs/>
          <w:u w:val="single"/>
        </w:rPr>
      </w:pPr>
      <w:r w:rsidRPr="003D5907">
        <w:rPr>
          <w:rFonts w:ascii="Book Antiqua" w:hAnsi="Book Antiqua" w:cs="Times New Roman"/>
          <w:bCs/>
          <w:u w:val="single"/>
        </w:rPr>
        <w:t>K bodu 1</w:t>
      </w:r>
      <w:r w:rsidR="00CC2F8E" w:rsidRPr="003D5907">
        <w:rPr>
          <w:rFonts w:ascii="Book Antiqua" w:hAnsi="Book Antiqua" w:cs="Times New Roman"/>
          <w:bCs/>
          <w:u w:val="single"/>
        </w:rPr>
        <w:t>9</w:t>
      </w:r>
      <w:r w:rsidRPr="003D5907">
        <w:rPr>
          <w:rFonts w:ascii="Book Antiqua" w:hAnsi="Book Antiqua" w:cs="Times New Roman"/>
          <w:bCs/>
          <w:u w:val="single"/>
        </w:rPr>
        <w:t xml:space="preserve"> </w:t>
      </w:r>
    </w:p>
    <w:p w14:paraId="1CC839AA" w14:textId="2B9DDDD3" w:rsidR="002B62EE" w:rsidRPr="003D5907" w:rsidRDefault="007F76A5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3D5907">
        <w:rPr>
          <w:rFonts w:ascii="Book Antiqua" w:eastAsia="Times New Roman" w:hAnsi="Book Antiqua" w:cs="Times New Roman"/>
          <w:lang w:eastAsia="cs-CZ"/>
        </w:rPr>
        <w:t>Zmena reflektuje na skutočnosť, že právna úprava konfliktu záujmov je relevantná nie len v prípade poskytovania, aj v prípade používania prostriedkov mechanizmu</w:t>
      </w:r>
      <w:r w:rsidR="008F1F6E" w:rsidRPr="003D5907">
        <w:rPr>
          <w:rFonts w:ascii="Book Antiqua" w:eastAsia="Times New Roman" w:hAnsi="Book Antiqua" w:cs="Times New Roman"/>
          <w:lang w:eastAsia="cs-CZ"/>
        </w:rPr>
        <w:t xml:space="preserve">. </w:t>
      </w:r>
    </w:p>
    <w:p w14:paraId="3169EDA0" w14:textId="77777777" w:rsidR="009C4C39" w:rsidRPr="003D5907" w:rsidRDefault="009C4C39" w:rsidP="003D5907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47CDDAE8" w14:textId="506F42A8" w:rsidR="009C4C39" w:rsidRPr="003D5907" w:rsidRDefault="003D5907" w:rsidP="003D5907">
      <w:pPr>
        <w:spacing w:before="120" w:after="0" w:line="276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K </w:t>
      </w:r>
      <w:r w:rsidR="009C4C39" w:rsidRPr="003D5907">
        <w:rPr>
          <w:rFonts w:ascii="Book Antiqua" w:hAnsi="Book Antiqua" w:cs="Times New Roman"/>
          <w:b/>
        </w:rPr>
        <w:t>Čl. II</w:t>
      </w:r>
    </w:p>
    <w:p w14:paraId="0F3E5FAC" w14:textId="1294216D" w:rsidR="00727972" w:rsidRPr="003D5907" w:rsidRDefault="00052C4D" w:rsidP="003D5907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3D5907">
        <w:rPr>
          <w:rFonts w:ascii="Book Antiqua" w:hAnsi="Book Antiqua" w:cs="Times New Roman"/>
        </w:rPr>
        <w:t xml:space="preserve">Vzhľadom na predpokladanú dĺžku legislatívneho procesu sa navrhuje, aby zákon nadobudol účinnosť </w:t>
      </w:r>
      <w:r w:rsidR="002B689F" w:rsidRPr="003D5907">
        <w:rPr>
          <w:rFonts w:ascii="Book Antiqua" w:hAnsi="Book Antiqua" w:cs="Times New Roman"/>
        </w:rPr>
        <w:t>1. júna</w:t>
      </w:r>
      <w:r w:rsidR="009C4C39" w:rsidRPr="003D5907">
        <w:rPr>
          <w:rFonts w:ascii="Book Antiqua" w:hAnsi="Book Antiqua" w:cs="Times New Roman"/>
        </w:rPr>
        <w:t xml:space="preserve"> 202</w:t>
      </w:r>
      <w:r w:rsidR="0007646A" w:rsidRPr="003D5907">
        <w:rPr>
          <w:rFonts w:ascii="Book Antiqua" w:hAnsi="Book Antiqua" w:cs="Times New Roman"/>
        </w:rPr>
        <w:t>3.</w:t>
      </w:r>
    </w:p>
    <w:p w14:paraId="57D309E5" w14:textId="562F71FA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5347136" w14:textId="77E82C4F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0F8D11B" w14:textId="047ABCC6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3A8A1BD" w14:textId="2751B723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04EB8DB7" w14:textId="5BA84A58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6238F9E4" w14:textId="3ED79D8F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0C448D8" w14:textId="352B74C4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5F2B4510" w14:textId="1A056A0E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5CC25C7F" w14:textId="276363EE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AFD7B9A" w14:textId="597B8A20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36EDCE4" w14:textId="7F1D0CE9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1885510A" w14:textId="4D82B2FD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F6EDA5F" w14:textId="6ABC49EC" w:rsidR="00052C4D" w:rsidRPr="003D5907" w:rsidRDefault="00052C4D" w:rsidP="003D5907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E1B0AD8" w14:textId="77777777" w:rsidR="00052C4D" w:rsidRPr="003D5907" w:rsidRDefault="00052C4D" w:rsidP="003D5907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caps/>
          <w:spacing w:val="30"/>
          <w:lang w:eastAsia="sk-SK"/>
        </w:rPr>
        <w:lastRenderedPageBreak/>
        <w:t>DOLOŽKA ZLUČITEĽNOSTI</w:t>
      </w:r>
    </w:p>
    <w:p w14:paraId="7E7BE0AC" w14:textId="77777777" w:rsidR="00052C4D" w:rsidRPr="003D5907" w:rsidRDefault="00052C4D" w:rsidP="003D5907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lang w:eastAsia="sk-SK"/>
        </w:rPr>
        <w:t>návrhu zákona</w:t>
      </w:r>
      <w:r w:rsidRPr="003D5907">
        <w:rPr>
          <w:rFonts w:ascii="Book Antiqua" w:eastAsia="Times New Roman" w:hAnsi="Book Antiqua" w:cs="Times New Roman"/>
          <w:lang w:eastAsia="sk-SK"/>
        </w:rPr>
        <w:t xml:space="preserve"> </w:t>
      </w:r>
      <w:r w:rsidRPr="003D5907">
        <w:rPr>
          <w:rFonts w:ascii="Book Antiqua" w:eastAsia="Times New Roman" w:hAnsi="Book Antiqua" w:cs="Times New Roman"/>
          <w:b/>
          <w:bCs/>
          <w:lang w:eastAsia="sk-SK"/>
        </w:rPr>
        <w:t>s právom Európskej únie</w:t>
      </w:r>
    </w:p>
    <w:p w14:paraId="71672F60" w14:textId="77777777" w:rsidR="00052C4D" w:rsidRPr="003D5907" w:rsidRDefault="00052C4D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lang w:eastAsia="sk-SK"/>
        </w:rPr>
        <w:t> </w:t>
      </w:r>
    </w:p>
    <w:p w14:paraId="1E9170AF" w14:textId="5B402265" w:rsidR="00052C4D" w:rsidRPr="003D5907" w:rsidRDefault="00052C4D" w:rsidP="003D5907">
      <w:pPr>
        <w:numPr>
          <w:ilvl w:val="0"/>
          <w:numId w:val="6"/>
        </w:numPr>
        <w:spacing w:before="120" w:after="0" w:line="276" w:lineRule="auto"/>
        <w:ind w:left="426"/>
        <w:jc w:val="both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lang w:eastAsia="sk-SK"/>
        </w:rPr>
        <w:t>Navrhovateľ zákona:</w:t>
      </w:r>
      <w:r w:rsidR="004F591A">
        <w:rPr>
          <w:rFonts w:ascii="Book Antiqua" w:eastAsia="Times New Roman" w:hAnsi="Book Antiqua" w:cs="Times New Roman"/>
          <w:lang w:eastAsia="sk-SK"/>
        </w:rPr>
        <w:t xml:space="preserve"> skupina poslancov</w:t>
      </w:r>
      <w:r w:rsidRPr="003D5907">
        <w:rPr>
          <w:rFonts w:ascii="Book Antiqua" w:eastAsia="Times New Roman" w:hAnsi="Book Antiqua" w:cs="Times New Roman"/>
          <w:lang w:eastAsia="sk-SK"/>
        </w:rPr>
        <w:t xml:space="preserve"> Národnej rady S</w:t>
      </w:r>
      <w:r w:rsidR="004F591A">
        <w:rPr>
          <w:rFonts w:ascii="Book Antiqua" w:eastAsia="Times New Roman" w:hAnsi="Book Antiqua" w:cs="Times New Roman"/>
          <w:lang w:eastAsia="sk-SK"/>
        </w:rPr>
        <w:t>lovenskej republiky</w:t>
      </w:r>
    </w:p>
    <w:p w14:paraId="4C9CB853" w14:textId="77777777" w:rsidR="00052C4D" w:rsidRPr="003D5907" w:rsidRDefault="00052C4D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lang w:eastAsia="sk-SK"/>
        </w:rPr>
        <w:t> </w:t>
      </w:r>
    </w:p>
    <w:p w14:paraId="33581E52" w14:textId="1AE85C83" w:rsidR="00052C4D" w:rsidRPr="003D5907" w:rsidRDefault="00052C4D" w:rsidP="003D5907">
      <w:pPr>
        <w:numPr>
          <w:ilvl w:val="0"/>
          <w:numId w:val="6"/>
        </w:numPr>
        <w:spacing w:before="120" w:after="0" w:line="276" w:lineRule="auto"/>
        <w:ind w:left="426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lang w:eastAsia="sk-SK"/>
        </w:rPr>
        <w:t>Názov návrhu zákona</w:t>
      </w:r>
      <w:r w:rsidRPr="003D5907">
        <w:rPr>
          <w:rFonts w:ascii="Book Antiqua" w:eastAsia="Times New Roman" w:hAnsi="Book Antiqua" w:cs="Times New Roman"/>
          <w:bCs/>
          <w:lang w:eastAsia="sk-SK"/>
        </w:rPr>
        <w:t xml:space="preserve">: </w:t>
      </w:r>
      <w:bookmarkStart w:id="4" w:name="_Hlk127447048"/>
      <w:r w:rsidR="00F504D9">
        <w:rPr>
          <w:rFonts w:ascii="Book Antiqua" w:eastAsia="Times New Roman" w:hAnsi="Book Antiqua" w:cs="Times New Roman"/>
          <w:bCs/>
          <w:lang w:eastAsia="sk-SK"/>
        </w:rPr>
        <w:t>n</w:t>
      </w:r>
      <w:r w:rsidR="004F591A">
        <w:rPr>
          <w:rFonts w:ascii="Book Antiqua" w:eastAsia="Times New Roman" w:hAnsi="Book Antiqua" w:cs="Times New Roman"/>
          <w:bCs/>
          <w:lang w:eastAsia="sk-SK"/>
        </w:rPr>
        <w:t>ávrh skupiny poslancov</w:t>
      </w:r>
      <w:r w:rsidR="00297B45" w:rsidRPr="003D5907">
        <w:rPr>
          <w:rFonts w:ascii="Book Antiqua" w:eastAsia="Times New Roman" w:hAnsi="Book Antiqua" w:cs="Times New Roman"/>
          <w:bCs/>
          <w:lang w:eastAsia="sk-SK"/>
        </w:rPr>
        <w:t xml:space="preserve"> Národnej rady Slov</w:t>
      </w:r>
      <w:r w:rsidR="004F591A">
        <w:rPr>
          <w:rFonts w:ascii="Book Antiqua" w:eastAsia="Times New Roman" w:hAnsi="Book Antiqua" w:cs="Times New Roman"/>
          <w:bCs/>
          <w:lang w:eastAsia="sk-SK"/>
        </w:rPr>
        <w:t xml:space="preserve">enskej republiky </w:t>
      </w:r>
      <w:r w:rsidR="00297B45" w:rsidRPr="003D5907">
        <w:rPr>
          <w:rFonts w:ascii="Book Antiqua" w:eastAsia="Times New Roman" w:hAnsi="Book Antiqua" w:cs="Times New Roman"/>
          <w:bCs/>
          <w:lang w:eastAsia="sk-SK"/>
        </w:rPr>
        <w:t>na vydanie zákona, ktorým sa mení a dopĺňa</w:t>
      </w:r>
      <w:r w:rsidR="00CD584A" w:rsidRPr="003D5907">
        <w:rPr>
          <w:rFonts w:ascii="Book Antiqua" w:eastAsia="Times New Roman" w:hAnsi="Book Antiqua" w:cs="Times New Roman"/>
          <w:bCs/>
          <w:lang w:eastAsia="sk-SK"/>
        </w:rPr>
        <w:t xml:space="preserve"> zákon</w:t>
      </w:r>
      <w:r w:rsidR="002A647C" w:rsidRPr="003D5907">
        <w:rPr>
          <w:rFonts w:ascii="Book Antiqua" w:eastAsia="Times New Roman" w:hAnsi="Book Antiqua" w:cs="Times New Roman"/>
          <w:bCs/>
          <w:lang w:eastAsia="sk-SK"/>
        </w:rPr>
        <w:t xml:space="preserve"> č.</w:t>
      </w:r>
      <w:r w:rsidR="00CD584A" w:rsidRPr="003D5907">
        <w:rPr>
          <w:rFonts w:ascii="Book Antiqua" w:eastAsia="Times New Roman" w:hAnsi="Book Antiqua" w:cs="Times New Roman"/>
          <w:bCs/>
          <w:lang w:eastAsia="sk-SK"/>
        </w:rPr>
        <w:t xml:space="preserve"> 368/2021 Z. z. o mechanizme na podporu obnovy a odolnosti a o zmene a doplnení niektorých zákonov v znení neskorších predpisov</w:t>
      </w:r>
      <w:bookmarkStart w:id="5" w:name="_GoBack"/>
      <w:bookmarkEnd w:id="5"/>
    </w:p>
    <w:bookmarkEnd w:id="4"/>
    <w:p w14:paraId="56900548" w14:textId="77777777" w:rsidR="00052C4D" w:rsidRPr="003D5907" w:rsidRDefault="00052C4D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</w:p>
    <w:p w14:paraId="6E277EA9" w14:textId="77777777" w:rsidR="00052C4D" w:rsidRPr="003D5907" w:rsidRDefault="00052C4D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b/>
          <w:bCs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lang w:eastAsia="sk-SK"/>
        </w:rPr>
        <w:t>3. Predmet návrhu zákona:</w:t>
      </w:r>
    </w:p>
    <w:p w14:paraId="7C32FB9F" w14:textId="4B2597A9" w:rsidR="00052C4D" w:rsidRPr="000E4C8E" w:rsidRDefault="00052C4D" w:rsidP="003D5907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0E4C8E">
        <w:rPr>
          <w:rFonts w:ascii="Book Antiqua" w:eastAsia="Times New Roman" w:hAnsi="Book Antiqua" w:cs="Times New Roman"/>
          <w:bCs/>
          <w:lang w:eastAsia="sk-SK"/>
        </w:rPr>
        <w:t>je upravený v primárnom práve Európskej únie</w:t>
      </w:r>
      <w:r w:rsidRPr="000E4C8E">
        <w:rPr>
          <w:rFonts w:ascii="Book Antiqua" w:eastAsia="Times New Roman" w:hAnsi="Book Antiqua" w:cs="Times New Roman"/>
          <w:lang w:eastAsia="sk-SK"/>
        </w:rPr>
        <w:t>,</w:t>
      </w:r>
      <w:r w:rsidR="000E4C8E" w:rsidRPr="000E4C8E">
        <w:rPr>
          <w:rFonts w:ascii="Book Antiqua" w:eastAsia="Times New Roman" w:hAnsi="Book Antiqua" w:cs="Times New Roman"/>
          <w:lang w:eastAsia="sk-SK"/>
        </w:rPr>
        <w:t xml:space="preserve"> a to v čl. </w:t>
      </w:r>
      <w:r w:rsidR="000E4C8E">
        <w:rPr>
          <w:rFonts w:ascii="Book Antiqua" w:hAnsi="Book Antiqua"/>
        </w:rPr>
        <w:t>46 písm. d), čl. 149, čl.</w:t>
      </w:r>
      <w:r w:rsidR="000E4C8E" w:rsidRPr="000E4C8E">
        <w:rPr>
          <w:rFonts w:ascii="Book Antiqua" w:hAnsi="Book Antiqua"/>
        </w:rPr>
        <w:t xml:space="preserve"> 153 ods. 2 </w:t>
      </w:r>
      <w:r w:rsidR="000E4C8E">
        <w:rPr>
          <w:rFonts w:ascii="Book Antiqua" w:hAnsi="Book Antiqua"/>
        </w:rPr>
        <w:t>písm. a), čl.</w:t>
      </w:r>
      <w:r w:rsidR="000E4C8E" w:rsidRPr="000E4C8E">
        <w:rPr>
          <w:rFonts w:ascii="Book Antiqua" w:hAnsi="Book Antiqua"/>
        </w:rPr>
        <w:t xml:space="preserve"> </w:t>
      </w:r>
      <w:r w:rsidR="000E4C8E">
        <w:rPr>
          <w:rFonts w:ascii="Book Antiqua" w:hAnsi="Book Antiqua"/>
        </w:rPr>
        <w:t>164, 172, 175, 177 a 178, čl. 189 ods. 2, čl. 212 ods. 2, čl. 322 ods. 1 a čl.</w:t>
      </w:r>
      <w:r w:rsidR="000E4C8E" w:rsidRPr="000E4C8E">
        <w:rPr>
          <w:rFonts w:ascii="Book Antiqua" w:hAnsi="Book Antiqua"/>
        </w:rPr>
        <w:t xml:space="preserve"> 349 </w:t>
      </w:r>
      <w:r w:rsidR="000E4C8E">
        <w:rPr>
          <w:rFonts w:ascii="Book Antiqua" w:hAnsi="Book Antiqua"/>
        </w:rPr>
        <w:t>Zmluvy o fungovaní Európskej únie v spojení s čl. 106a Zmluvy</w:t>
      </w:r>
      <w:r w:rsidR="000E4C8E" w:rsidRPr="000E4C8E">
        <w:rPr>
          <w:rFonts w:ascii="Book Antiqua" w:hAnsi="Book Antiqua"/>
        </w:rPr>
        <w:t xml:space="preserve"> o založení Európskeho spoločenstva pre atómovú e</w:t>
      </w:r>
      <w:r w:rsidR="000E4C8E">
        <w:rPr>
          <w:rFonts w:ascii="Book Antiqua" w:hAnsi="Book Antiqua"/>
        </w:rPr>
        <w:t>nergiu,</w:t>
      </w:r>
    </w:p>
    <w:p w14:paraId="4AEC080F" w14:textId="4340F26A" w:rsidR="00052C4D" w:rsidRPr="003D5907" w:rsidRDefault="00052C4D" w:rsidP="003D5907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3D5907">
        <w:rPr>
          <w:rFonts w:ascii="Book Antiqua" w:eastAsia="Times New Roman" w:hAnsi="Book Antiqua" w:cs="Times New Roman"/>
          <w:bCs/>
          <w:lang w:eastAsia="sk-SK"/>
        </w:rPr>
        <w:t>je upravený v sekundárnom práve Európskej únie, a</w:t>
      </w:r>
      <w:r w:rsidR="00CD584A" w:rsidRPr="003D5907">
        <w:rPr>
          <w:rFonts w:ascii="Book Antiqua" w:eastAsia="Times New Roman" w:hAnsi="Book Antiqua" w:cs="Times New Roman"/>
          <w:bCs/>
          <w:lang w:eastAsia="sk-SK"/>
        </w:rPr>
        <w:t> </w:t>
      </w:r>
      <w:r w:rsidRPr="003D5907">
        <w:rPr>
          <w:rFonts w:ascii="Book Antiqua" w:eastAsia="Times New Roman" w:hAnsi="Book Antiqua" w:cs="Times New Roman"/>
          <w:bCs/>
          <w:lang w:eastAsia="sk-SK"/>
        </w:rPr>
        <w:t>to</w:t>
      </w:r>
      <w:r w:rsidR="00CD584A" w:rsidRPr="003D5907">
        <w:rPr>
          <w:rFonts w:ascii="Book Antiqua" w:eastAsia="Times New Roman" w:hAnsi="Book Antiqua" w:cs="Times New Roman"/>
          <w:bCs/>
          <w:lang w:eastAsia="sk-SK"/>
        </w:rPr>
        <w:t xml:space="preserve">: </w:t>
      </w:r>
    </w:p>
    <w:p w14:paraId="45A9C2F2" w14:textId="4B30770A" w:rsidR="00CD584A" w:rsidRPr="003D5907" w:rsidRDefault="00CD584A" w:rsidP="003D5907">
      <w:pPr>
        <w:spacing w:before="120" w:after="0" w:line="276" w:lineRule="auto"/>
        <w:ind w:left="720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3D5907">
        <w:rPr>
          <w:rFonts w:ascii="Book Antiqua" w:eastAsia="Times New Roman" w:hAnsi="Book Antiqua" w:cs="Times New Roman"/>
          <w:bCs/>
          <w:lang w:eastAsia="sk-SK"/>
        </w:rPr>
        <w:t>- nariadenie Európskeho parlamentu a Rady (EÚ) č. 2021/241 z 12. februára 2021, ktorým sa zriaďuje Mechanizmus na podporu obnovy a odolnosti,</w:t>
      </w:r>
    </w:p>
    <w:p w14:paraId="1CA88506" w14:textId="29BBBFE8" w:rsidR="00CD584A" w:rsidRPr="003D5907" w:rsidRDefault="00CD584A" w:rsidP="003D5907">
      <w:pPr>
        <w:spacing w:before="120" w:after="0" w:line="276" w:lineRule="auto"/>
        <w:ind w:left="720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3D5907">
        <w:rPr>
          <w:rFonts w:ascii="Book Antiqua" w:eastAsia="Times New Roman" w:hAnsi="Book Antiqua" w:cs="Times New Roman"/>
          <w:bCs/>
          <w:lang w:eastAsia="sk-SK"/>
        </w:rPr>
        <w:t xml:space="preserve">- nariadenie Európskeho parlamentu a Rady (EÚ, </w:t>
      </w:r>
      <w:proofErr w:type="spellStart"/>
      <w:r w:rsidRPr="003D5907">
        <w:rPr>
          <w:rFonts w:ascii="Book Antiqua" w:eastAsia="Times New Roman" w:hAnsi="Book Antiqua" w:cs="Times New Roman"/>
          <w:bCs/>
          <w:lang w:eastAsia="sk-SK"/>
        </w:rPr>
        <w:t>Euratom</w:t>
      </w:r>
      <w:proofErr w:type="spellEnd"/>
      <w:r w:rsidRPr="003D5907">
        <w:rPr>
          <w:rFonts w:ascii="Book Antiqua" w:eastAsia="Times New Roman" w:hAnsi="Book Antiqua" w:cs="Times New Roman"/>
          <w:bCs/>
          <w:lang w:eastAsia="sk-SK"/>
        </w:rPr>
        <w:t>) 2018/1046 o rozpočtových pravidlách, ktoré sa vzťahujú na všeobecný rozpočet Únie.</w:t>
      </w:r>
    </w:p>
    <w:p w14:paraId="2DA0A6DF" w14:textId="6D749CFC" w:rsidR="00CD584A" w:rsidRPr="003D5907" w:rsidRDefault="00CD584A" w:rsidP="003D5907">
      <w:pPr>
        <w:spacing w:before="120" w:after="0" w:line="276" w:lineRule="auto"/>
        <w:ind w:left="720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3D5907">
        <w:rPr>
          <w:rFonts w:ascii="Book Antiqua" w:eastAsia="Times New Roman" w:hAnsi="Book Antiqua" w:cs="Times New Roman"/>
          <w:bCs/>
          <w:lang w:eastAsia="sk-SK"/>
        </w:rPr>
        <w:t>- vykonávacie rozhodnutie Rady Európskej únie č. ST 10156/21; ST 10156/21 COR1; ST 10156/21 ADD o schválení posúdenia plánu obnovy a odolnosti Slovenskej republiky.</w:t>
      </w:r>
    </w:p>
    <w:p w14:paraId="5BFE06AF" w14:textId="77777777" w:rsidR="00052C4D" w:rsidRPr="003D5907" w:rsidRDefault="00052C4D" w:rsidP="003D5907">
      <w:pPr>
        <w:numPr>
          <w:ilvl w:val="0"/>
          <w:numId w:val="5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3D5907">
        <w:rPr>
          <w:rFonts w:ascii="Book Antiqua" w:eastAsia="Times New Roman" w:hAnsi="Book Antiqua" w:cs="Times New Roman"/>
          <w:bCs/>
          <w:lang w:eastAsia="sk-SK"/>
        </w:rPr>
        <w:t>nie je obsiahnutý v judikatúre Súdneho dvora Európskej únie.</w:t>
      </w:r>
    </w:p>
    <w:p w14:paraId="3B533C3E" w14:textId="77777777" w:rsidR="00052C4D" w:rsidRPr="003D5907" w:rsidRDefault="00052C4D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</w:p>
    <w:p w14:paraId="033AFA1B" w14:textId="77777777" w:rsidR="00052C4D" w:rsidRPr="003D5907" w:rsidRDefault="00052C4D" w:rsidP="003D5907">
      <w:pPr>
        <w:numPr>
          <w:ilvl w:val="3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Book Antiqua" w:eastAsia="Calibri" w:hAnsi="Book Antiqua" w:cs="Times New Roman"/>
          <w:b/>
          <w:i/>
        </w:rPr>
      </w:pPr>
      <w:r w:rsidRPr="003D5907">
        <w:rPr>
          <w:rFonts w:ascii="Book Antiqua" w:eastAsia="Calibri" w:hAnsi="Book Antiqua" w:cs="Times New Roman"/>
          <w:b/>
        </w:rPr>
        <w:t>Záväzky Slovenskej republiky vo vzťahu k Európskej únii:</w:t>
      </w:r>
    </w:p>
    <w:p w14:paraId="0899A0A6" w14:textId="3B391FC3" w:rsidR="00052C4D" w:rsidRPr="003D5907" w:rsidRDefault="00052C4D" w:rsidP="003D5907">
      <w:pPr>
        <w:numPr>
          <w:ilvl w:val="0"/>
          <w:numId w:val="9"/>
        </w:numPr>
        <w:spacing w:before="120" w:after="0" w:line="276" w:lineRule="auto"/>
        <w:jc w:val="both"/>
        <w:rPr>
          <w:rFonts w:ascii="Book Antiqua" w:eastAsia="Calibri" w:hAnsi="Book Antiqua" w:cs="Times New Roman"/>
        </w:rPr>
      </w:pPr>
      <w:r w:rsidRPr="003D5907">
        <w:rPr>
          <w:rFonts w:ascii="Book Antiqua" w:eastAsia="Calibri" w:hAnsi="Book Antiqua" w:cs="Times New Roman"/>
        </w:rPr>
        <w:t>lehota na transpozíciu smernice</w:t>
      </w:r>
      <w:r w:rsidR="005F6EDB" w:rsidRPr="003D5907">
        <w:rPr>
          <w:rFonts w:ascii="Book Antiqua" w:eastAsia="Calibri" w:hAnsi="Book Antiqua" w:cs="Times New Roman"/>
        </w:rPr>
        <w:t xml:space="preserve">: </w:t>
      </w:r>
      <w:r w:rsidR="002A647C" w:rsidRPr="003D5907">
        <w:rPr>
          <w:rFonts w:ascii="Book Antiqua" w:eastAsia="Calibri" w:hAnsi="Book Antiqua" w:cs="Times New Roman"/>
        </w:rPr>
        <w:t>neuplatní sa</w:t>
      </w:r>
      <w:r w:rsidRPr="003D5907">
        <w:rPr>
          <w:rFonts w:ascii="Book Antiqua" w:eastAsia="Calibri" w:hAnsi="Book Antiqua" w:cs="Times New Roman"/>
        </w:rPr>
        <w:t xml:space="preserve">, </w:t>
      </w:r>
    </w:p>
    <w:p w14:paraId="08B4B4B0" w14:textId="77777777" w:rsidR="00052C4D" w:rsidRPr="003D5907" w:rsidRDefault="00052C4D" w:rsidP="003D5907">
      <w:pPr>
        <w:numPr>
          <w:ilvl w:val="0"/>
          <w:numId w:val="9"/>
        </w:numPr>
        <w:spacing w:before="120" w:after="0" w:line="276" w:lineRule="auto"/>
        <w:jc w:val="both"/>
        <w:rPr>
          <w:rFonts w:ascii="Book Antiqua" w:eastAsia="Calibri" w:hAnsi="Book Antiqua" w:cs="Times New Roman"/>
        </w:rPr>
      </w:pPr>
      <w:r w:rsidRPr="003D5907">
        <w:rPr>
          <w:rFonts w:ascii="Book Antiqua" w:eastAsia="Calibri" w:hAnsi="Book Antiqua" w:cs="Times New Roman"/>
        </w:rPr>
        <w:t>v danej oblasti nebol proti Slovenskej republike začatý postup Európskej komisie a ani konanie Súdneho dvora Európskej únie podľa článkov 258 až 260 Zmluvy o fungovaní Európskej únie,</w:t>
      </w:r>
    </w:p>
    <w:p w14:paraId="7655289E" w14:textId="32324391" w:rsidR="005F6EDB" w:rsidRPr="003D5907" w:rsidRDefault="005F6EDB" w:rsidP="003D5907">
      <w:pPr>
        <w:numPr>
          <w:ilvl w:val="0"/>
          <w:numId w:val="11"/>
        </w:numPr>
        <w:spacing w:before="120" w:after="0" w:line="276" w:lineRule="auto"/>
        <w:jc w:val="both"/>
        <w:rPr>
          <w:rFonts w:ascii="Book Antiqua" w:eastAsia="Calibri" w:hAnsi="Book Antiqua" w:cs="Times New Roman"/>
        </w:rPr>
      </w:pPr>
      <w:r w:rsidRPr="003D5907">
        <w:rPr>
          <w:rFonts w:ascii="Book Antiqua" w:eastAsia="Calibri" w:hAnsi="Book Antiqua" w:cs="Times New Roman"/>
        </w:rPr>
        <w:t>informácia o právnych predpisoch, v ktorých sú preberané smernice alebo rámcové rozhodnutia už prebraté spolu s uvedením rozsahu tohto prebratia:</w:t>
      </w:r>
      <w:r w:rsidR="002A647C" w:rsidRPr="003D5907">
        <w:rPr>
          <w:rFonts w:ascii="Book Antiqua" w:eastAsia="Calibri" w:hAnsi="Book Antiqua" w:cs="Times New Roman"/>
        </w:rPr>
        <w:t xml:space="preserve"> neuplatní sa</w:t>
      </w:r>
      <w:r w:rsidRPr="003D5907">
        <w:rPr>
          <w:rFonts w:ascii="Book Antiqua" w:eastAsia="Calibri" w:hAnsi="Book Antiqua" w:cs="Times New Roman"/>
        </w:rPr>
        <w:t xml:space="preserve">. </w:t>
      </w:r>
    </w:p>
    <w:p w14:paraId="5BBD49F8" w14:textId="3C0423C5" w:rsidR="00052C4D" w:rsidRPr="003D5907" w:rsidRDefault="00052C4D" w:rsidP="003D5907">
      <w:pPr>
        <w:spacing w:before="120" w:after="0" w:line="276" w:lineRule="auto"/>
        <w:ind w:left="720"/>
        <w:jc w:val="both"/>
        <w:rPr>
          <w:rFonts w:ascii="Book Antiqua" w:eastAsia="Times New Roman" w:hAnsi="Book Antiqua" w:cs="Times New Roman"/>
          <w:bCs/>
          <w:lang w:eastAsia="sk-SK"/>
        </w:rPr>
      </w:pPr>
    </w:p>
    <w:p w14:paraId="07CB9B42" w14:textId="77777777" w:rsidR="00052C4D" w:rsidRPr="003D5907" w:rsidRDefault="00052C4D" w:rsidP="003D5907">
      <w:pPr>
        <w:numPr>
          <w:ilvl w:val="0"/>
          <w:numId w:val="8"/>
        </w:numPr>
        <w:tabs>
          <w:tab w:val="left" w:pos="341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Book Antiqua" w:eastAsia="Calibri" w:hAnsi="Book Antiqua" w:cs="Times New Roman"/>
          <w:b/>
          <w:color w:val="000000"/>
        </w:rPr>
      </w:pPr>
      <w:r w:rsidRPr="003D5907">
        <w:rPr>
          <w:rFonts w:ascii="Book Antiqua" w:eastAsia="Calibri" w:hAnsi="Book Antiqua" w:cs="Times New Roman"/>
          <w:b/>
          <w:color w:val="000000"/>
        </w:rPr>
        <w:t>Stupeň zlučiteľnosti návrhu zákona s právom Európskej únie</w:t>
      </w:r>
    </w:p>
    <w:p w14:paraId="4F4FDE3C" w14:textId="7C37F8F2" w:rsidR="00F504D9" w:rsidRPr="000E4C8E" w:rsidRDefault="00052C4D" w:rsidP="000E4C8E">
      <w:pPr>
        <w:spacing w:before="120" w:after="0" w:line="276" w:lineRule="auto"/>
        <w:ind w:firstLine="57"/>
        <w:jc w:val="both"/>
        <w:rPr>
          <w:rFonts w:ascii="Book Antiqua" w:hAnsi="Book Antiqua" w:cs="Times New Roman"/>
        </w:rPr>
      </w:pPr>
      <w:r w:rsidRPr="003D5907">
        <w:rPr>
          <w:rFonts w:ascii="Book Antiqua" w:eastAsia="Calibri" w:hAnsi="Book Antiqua" w:cs="Times New Roman"/>
          <w:color w:val="000000"/>
        </w:rPr>
        <w:t>úplný.</w:t>
      </w:r>
      <w:r w:rsidRPr="003D5907">
        <w:rPr>
          <w:rFonts w:ascii="Book Antiqua" w:eastAsia="Calibri" w:hAnsi="Book Antiqua" w:cs="Times New Roman"/>
          <w:color w:val="000000"/>
        </w:rPr>
        <w:br/>
      </w:r>
    </w:p>
    <w:p w14:paraId="35D053BE" w14:textId="77777777" w:rsidR="00E8349A" w:rsidRPr="003D5907" w:rsidRDefault="00E8349A" w:rsidP="003D5907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caps/>
          <w:color w:val="000000"/>
          <w:spacing w:val="30"/>
          <w:lang w:eastAsia="sk-SK"/>
        </w:rPr>
        <w:lastRenderedPageBreak/>
        <w:t>Doložka</w:t>
      </w:r>
    </w:p>
    <w:p w14:paraId="1429693B" w14:textId="77777777" w:rsidR="00E8349A" w:rsidRPr="003D5907" w:rsidRDefault="00E8349A" w:rsidP="003D5907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vybraných vplyvov</w:t>
      </w:r>
    </w:p>
    <w:p w14:paraId="13B6C1AC" w14:textId="77777777" w:rsidR="00E8349A" w:rsidRPr="003D5907" w:rsidRDefault="00E8349A" w:rsidP="003D5907">
      <w:pPr>
        <w:spacing w:before="120" w:after="0" w:line="276" w:lineRule="auto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color w:val="000000"/>
          <w:lang w:eastAsia="sk-SK"/>
        </w:rPr>
        <w:t> </w:t>
      </w:r>
    </w:p>
    <w:p w14:paraId="132AB7E8" w14:textId="08575F1C" w:rsidR="00E8349A" w:rsidRPr="003D5907" w:rsidRDefault="00E8349A" w:rsidP="00F504D9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3D5907">
        <w:rPr>
          <w:rFonts w:ascii="Book Antiqua" w:eastAsia="Calibri" w:hAnsi="Book Antiqua" w:cs="Times New Roman"/>
          <w:b/>
          <w:bCs/>
          <w:color w:val="000000"/>
        </w:rPr>
        <w:t xml:space="preserve">A.1. Názov materiálu: </w:t>
      </w:r>
      <w:r w:rsidR="00F504D9">
        <w:rPr>
          <w:rFonts w:ascii="Book Antiqua" w:eastAsia="Calibri" w:hAnsi="Book Antiqua" w:cs="Times New Roman"/>
          <w:color w:val="000000"/>
        </w:rPr>
        <w:t>n</w:t>
      </w:r>
      <w:r w:rsidR="002A647C" w:rsidRPr="003D5907">
        <w:rPr>
          <w:rFonts w:ascii="Book Antiqua" w:eastAsia="Calibri" w:hAnsi="Book Antiqua" w:cs="Times New Roman"/>
          <w:color w:val="000000"/>
        </w:rPr>
        <w:t xml:space="preserve">ávrh </w:t>
      </w:r>
      <w:r w:rsidR="004F591A">
        <w:rPr>
          <w:rFonts w:ascii="Book Antiqua" w:eastAsia="Calibri" w:hAnsi="Book Antiqua" w:cs="Times New Roman"/>
          <w:color w:val="000000"/>
        </w:rPr>
        <w:t xml:space="preserve">skupiny poslancov </w:t>
      </w:r>
      <w:r w:rsidR="002A647C" w:rsidRPr="003D5907">
        <w:rPr>
          <w:rFonts w:ascii="Book Antiqua" w:eastAsia="Calibri" w:hAnsi="Book Antiqua" w:cs="Times New Roman"/>
          <w:color w:val="000000"/>
        </w:rPr>
        <w:t>Národnej rady Slo</w:t>
      </w:r>
      <w:r w:rsidR="004F591A">
        <w:rPr>
          <w:rFonts w:ascii="Book Antiqua" w:eastAsia="Calibri" w:hAnsi="Book Antiqua" w:cs="Times New Roman"/>
          <w:color w:val="000000"/>
        </w:rPr>
        <w:t>venskej republiky</w:t>
      </w:r>
      <w:r w:rsidR="002A647C" w:rsidRPr="003D5907">
        <w:rPr>
          <w:rFonts w:ascii="Book Antiqua" w:eastAsia="Calibri" w:hAnsi="Book Antiqua" w:cs="Times New Roman"/>
          <w:color w:val="000000"/>
        </w:rPr>
        <w:t xml:space="preserve"> na vydanie zákona, ktorým sa mení a dopĺňa</w:t>
      </w:r>
      <w:r w:rsidR="009F6520" w:rsidRPr="003D5907">
        <w:rPr>
          <w:rFonts w:ascii="Book Antiqua" w:eastAsia="Calibri" w:hAnsi="Book Antiqua" w:cs="Times New Roman"/>
          <w:color w:val="000000"/>
        </w:rPr>
        <w:t xml:space="preserve"> zákon</w:t>
      </w:r>
      <w:r w:rsidR="002A647C" w:rsidRPr="003D5907">
        <w:rPr>
          <w:rFonts w:ascii="Book Antiqua" w:eastAsia="Calibri" w:hAnsi="Book Antiqua" w:cs="Times New Roman"/>
          <w:color w:val="000000"/>
        </w:rPr>
        <w:t xml:space="preserve"> č.</w:t>
      </w:r>
      <w:r w:rsidR="009F6520" w:rsidRPr="003D5907">
        <w:rPr>
          <w:rFonts w:ascii="Book Antiqua" w:eastAsia="Calibri" w:hAnsi="Book Antiqua" w:cs="Times New Roman"/>
          <w:color w:val="000000"/>
        </w:rPr>
        <w:t xml:space="preserve"> 368/2021 Z. z. o mechanizme na podporu obnovy a odolnosti a o zmene a doplnení niektorých zákonov v znení neskorších predpisov</w:t>
      </w:r>
      <w:r w:rsidRPr="003D5907">
        <w:rPr>
          <w:rFonts w:ascii="Book Antiqua" w:eastAsia="Times New Roman" w:hAnsi="Book Antiqua" w:cs="Times New Roman"/>
          <w:b/>
          <w:bCs/>
          <w:color w:val="000000"/>
          <w:lang w:eastAsia="sk-SK"/>
        </w:rPr>
        <w:tab/>
      </w:r>
    </w:p>
    <w:p w14:paraId="68DDF334" w14:textId="77777777" w:rsidR="00E8349A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Termín začatia a ukončenia PPK:</w:t>
      </w:r>
      <w:r w:rsidRPr="003D5907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3D5907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bezpredmetné</w:t>
      </w:r>
    </w:p>
    <w:p w14:paraId="25C80D60" w14:textId="77777777" w:rsidR="00E8349A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</w:p>
    <w:p w14:paraId="06B5DC8B" w14:textId="77777777" w:rsidR="00E8349A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197"/>
      </w:tblGrid>
      <w:tr w:rsidR="00E8349A" w:rsidRPr="003D5907" w14:paraId="276D02DC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6A9C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994C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DBC0B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DE1E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Negatívne </w:t>
            </w:r>
          </w:p>
        </w:tc>
      </w:tr>
      <w:tr w:rsidR="00E8349A" w:rsidRPr="003D5907" w14:paraId="17C4F5D6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8339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D842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1872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974C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E8349A" w:rsidRPr="003D5907" w14:paraId="33AE9675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C132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B8CAD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03E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BD0D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</w:tr>
      <w:tr w:rsidR="00E8349A" w:rsidRPr="003D5907" w14:paraId="00B2F5FD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CE5C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80AD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86435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2CA7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3D5907" w14:paraId="2BB36A79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8CED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4BC5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AAB1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3851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3D5907" w14:paraId="53857A38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85EEE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 xml:space="preserve">– sociálnu </w:t>
            </w:r>
            <w:proofErr w:type="spellStart"/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exklúziu</w:t>
            </w:r>
            <w:proofErr w:type="spellEnd"/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E8210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08318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1FD0B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3D5907" w14:paraId="639CA4C9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E8D7C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B167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90B7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C7D39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3D5907" w14:paraId="2452E283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8BE3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4747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3108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1C944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  <w:tr w:rsidR="00E8349A" w:rsidRPr="003D5907" w14:paraId="611259EA" w14:textId="77777777" w:rsidTr="00270E3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86E5" w14:textId="77777777" w:rsidR="00E8349A" w:rsidRPr="003D5907" w:rsidRDefault="00E8349A" w:rsidP="003D5907">
            <w:pPr>
              <w:spacing w:before="120" w:after="0" w:line="276" w:lineRule="auto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BC7BA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9D775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B4F69" w14:textId="77777777" w:rsidR="00E8349A" w:rsidRPr="003D5907" w:rsidRDefault="00E8349A" w:rsidP="003D5907">
            <w:pPr>
              <w:spacing w:before="120" w:after="0" w:line="276" w:lineRule="auto"/>
              <w:jc w:val="center"/>
              <w:rPr>
                <w:rFonts w:ascii="Book Antiqua" w:eastAsia="Times New Roman" w:hAnsi="Book Antiqua" w:cs="Times New Roman"/>
                <w:lang w:eastAsia="sk-SK"/>
              </w:rPr>
            </w:pPr>
            <w:r w:rsidRPr="003D5907">
              <w:rPr>
                <w:rFonts w:ascii="Book Antiqua" w:eastAsia="Times New Roman" w:hAnsi="Book Antiqua" w:cs="Times New Roman"/>
                <w:color w:val="000000"/>
                <w:lang w:eastAsia="sk-SK"/>
              </w:rPr>
              <w:t> </w:t>
            </w:r>
          </w:p>
        </w:tc>
      </w:tr>
    </w:tbl>
    <w:p w14:paraId="18105FFE" w14:textId="77777777" w:rsidR="00E8349A" w:rsidRPr="003D5907" w:rsidRDefault="00E8349A" w:rsidP="003D5907">
      <w:pPr>
        <w:spacing w:before="120" w:after="0" w:line="276" w:lineRule="auto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color w:val="000000"/>
          <w:lang w:eastAsia="sk-SK"/>
        </w:rPr>
        <w:t> </w:t>
      </w:r>
    </w:p>
    <w:p w14:paraId="473F6206" w14:textId="77777777" w:rsidR="00E8349A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A.3. Poznámky</w:t>
      </w:r>
    </w:p>
    <w:p w14:paraId="65A05658" w14:textId="77777777" w:rsidR="00E8349A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i/>
          <w:lang w:eastAsia="sk-SK"/>
        </w:rPr>
      </w:pPr>
      <w:r w:rsidRPr="003D5907">
        <w:rPr>
          <w:rFonts w:ascii="Book Antiqua" w:eastAsia="Times New Roman" w:hAnsi="Book Antiqua" w:cs="Times New Roman"/>
          <w:bCs/>
          <w:i/>
          <w:color w:val="000000"/>
          <w:lang w:eastAsia="sk-SK"/>
        </w:rPr>
        <w:t xml:space="preserve">Predkladaný návrh zákona </w:t>
      </w:r>
      <w:r w:rsidRPr="003D5907">
        <w:rPr>
          <w:rFonts w:ascii="Book Antiqua" w:eastAsia="Times New Roman" w:hAnsi="Book Antiqua" w:cs="Times New Roman"/>
          <w:i/>
          <w:lang w:eastAsia="sk-SK"/>
        </w:rPr>
        <w:t>nemá vplyv na rozpočet verejnej správy ani na podnikateľské prostredie. Návrh zákona nemá vplyv na životné prostredie ani na informatizáciu spoločnosti a nevyvoláva žiadne sociálne vplyvy.</w:t>
      </w:r>
    </w:p>
    <w:p w14:paraId="531D69D3" w14:textId="77777777" w:rsidR="00E8349A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</w:p>
    <w:p w14:paraId="2A71A729" w14:textId="77777777" w:rsidR="00E8349A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A.4. Alternatívne riešenia</w:t>
      </w:r>
    </w:p>
    <w:p w14:paraId="12CC96B4" w14:textId="5ECC7BF9" w:rsidR="00E8349A" w:rsidRPr="003D5907" w:rsidRDefault="009F6520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  <w:r w:rsidRPr="003D5907">
        <w:rPr>
          <w:rFonts w:ascii="Book Antiqua" w:eastAsia="Times New Roman" w:hAnsi="Book Antiqua" w:cs="Times New Roman"/>
          <w:bCs/>
          <w:i/>
          <w:color w:val="000000"/>
          <w:lang w:eastAsia="sk-SK"/>
        </w:rPr>
        <w:t xml:space="preserve">Nultý variant. Nezabezpečenie prijatia návrhu zákona by malo za následok, že v prípade, ak Slovenská republika nesplní míľniky a ciele tak, ako sa tomu zaviazala, hrozí jej strata finančného príspevku alebo časti finančného príspevku z Mechanizmu na podporu obnovy a odolnosti. </w:t>
      </w:r>
    </w:p>
    <w:p w14:paraId="65BCEB94" w14:textId="77777777" w:rsidR="002A647C" w:rsidRPr="003D5907" w:rsidRDefault="002A647C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i/>
          <w:color w:val="000000"/>
          <w:lang w:eastAsia="sk-SK"/>
        </w:rPr>
      </w:pPr>
    </w:p>
    <w:p w14:paraId="4DBE2938" w14:textId="77777777" w:rsidR="00E8349A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A.5. Stanovisko gestorov</w:t>
      </w:r>
    </w:p>
    <w:p w14:paraId="61EB957C" w14:textId="147846DD" w:rsidR="00C61C9B" w:rsidRPr="003D5907" w:rsidRDefault="00E8349A" w:rsidP="003D5907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3D5907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 zákona bol zaslaný na vyjadrenie Ministerstvu financií SR a stanovisko tohto ministerstva tvorí súčasť predkladaného materiálu.</w:t>
      </w:r>
    </w:p>
    <w:sectPr w:rsidR="00C61C9B" w:rsidRPr="003D59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96C3B" w14:textId="77777777" w:rsidR="007B64A7" w:rsidRDefault="007B64A7" w:rsidP="005926AF">
      <w:pPr>
        <w:spacing w:after="0" w:line="240" w:lineRule="auto"/>
      </w:pPr>
      <w:r>
        <w:separator/>
      </w:r>
    </w:p>
  </w:endnote>
  <w:endnote w:type="continuationSeparator" w:id="0">
    <w:p w14:paraId="774B398B" w14:textId="77777777" w:rsidR="007B64A7" w:rsidRDefault="007B64A7" w:rsidP="005926AF">
      <w:pPr>
        <w:spacing w:after="0" w:line="240" w:lineRule="auto"/>
      </w:pPr>
      <w:r>
        <w:continuationSeparator/>
      </w:r>
    </w:p>
  </w:endnote>
  <w:endnote w:type="continuationNotice" w:id="1">
    <w:p w14:paraId="3220570A" w14:textId="77777777" w:rsidR="007B64A7" w:rsidRDefault="007B6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566738"/>
      <w:docPartObj>
        <w:docPartGallery w:val="Page Numbers (Bottom of Page)"/>
        <w:docPartUnique/>
      </w:docPartObj>
    </w:sdtPr>
    <w:sdtEndPr/>
    <w:sdtContent>
      <w:p w14:paraId="66E8F7A3" w14:textId="5847607C" w:rsidR="000570B9" w:rsidRDefault="000570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91A">
          <w:rPr>
            <w:noProof/>
          </w:rPr>
          <w:t>6</w:t>
        </w:r>
        <w:r>
          <w:fldChar w:fldCharType="end"/>
        </w:r>
      </w:p>
    </w:sdtContent>
  </w:sdt>
  <w:p w14:paraId="12712439" w14:textId="77777777" w:rsidR="000570B9" w:rsidRDefault="000570B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08F7B" w14:textId="77777777" w:rsidR="007B64A7" w:rsidRDefault="007B64A7" w:rsidP="005926AF">
      <w:pPr>
        <w:spacing w:after="0" w:line="240" w:lineRule="auto"/>
      </w:pPr>
      <w:r>
        <w:separator/>
      </w:r>
    </w:p>
  </w:footnote>
  <w:footnote w:type="continuationSeparator" w:id="0">
    <w:p w14:paraId="104698B8" w14:textId="77777777" w:rsidR="007B64A7" w:rsidRDefault="007B64A7" w:rsidP="005926AF">
      <w:pPr>
        <w:spacing w:after="0" w:line="240" w:lineRule="auto"/>
      </w:pPr>
      <w:r>
        <w:continuationSeparator/>
      </w:r>
    </w:p>
  </w:footnote>
  <w:footnote w:type="continuationNotice" w:id="1">
    <w:p w14:paraId="3F81EFF2" w14:textId="77777777" w:rsidR="007B64A7" w:rsidRDefault="007B64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CC1"/>
    <w:multiLevelType w:val="hybridMultilevel"/>
    <w:tmpl w:val="8C203074"/>
    <w:lvl w:ilvl="0" w:tplc="FFD055AA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1" w:tplc="A4889BC2">
      <w:start w:val="1"/>
      <w:numFmt w:val="bullet"/>
      <w:lvlText w:val="-"/>
      <w:lvlJc w:val="left"/>
      <w:pPr>
        <w:tabs>
          <w:tab w:val="num" w:pos="1780"/>
        </w:tabs>
        <w:ind w:left="1780" w:hanging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500F5C"/>
    <w:multiLevelType w:val="hybridMultilevel"/>
    <w:tmpl w:val="C3F63C90"/>
    <w:lvl w:ilvl="0" w:tplc="7C2AB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2532A"/>
    <w:multiLevelType w:val="hybridMultilevel"/>
    <w:tmpl w:val="8BB2AF9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B7BE6"/>
    <w:multiLevelType w:val="hybridMultilevel"/>
    <w:tmpl w:val="8C1A3B5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A7BE7"/>
    <w:multiLevelType w:val="hybridMultilevel"/>
    <w:tmpl w:val="947E0AFE"/>
    <w:lvl w:ilvl="0" w:tplc="5ADCFFA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55639C9"/>
    <w:multiLevelType w:val="hybridMultilevel"/>
    <w:tmpl w:val="0BC6F94E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981672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27755"/>
    <w:multiLevelType w:val="hybridMultilevel"/>
    <w:tmpl w:val="B68CBE52"/>
    <w:lvl w:ilvl="0" w:tplc="8CAACAF8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294D61"/>
    <w:multiLevelType w:val="hybridMultilevel"/>
    <w:tmpl w:val="27E2699C"/>
    <w:lvl w:ilvl="0" w:tplc="1EDAD5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11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84"/>
    <w:rsid w:val="00000432"/>
    <w:rsid w:val="0002039B"/>
    <w:rsid w:val="00052C4D"/>
    <w:rsid w:val="000561DC"/>
    <w:rsid w:val="000570B9"/>
    <w:rsid w:val="00060562"/>
    <w:rsid w:val="00072FA7"/>
    <w:rsid w:val="00073BBB"/>
    <w:rsid w:val="0007646A"/>
    <w:rsid w:val="000767DB"/>
    <w:rsid w:val="00081471"/>
    <w:rsid w:val="000820C5"/>
    <w:rsid w:val="000B0C4C"/>
    <w:rsid w:val="000B2001"/>
    <w:rsid w:val="000B3907"/>
    <w:rsid w:val="000B726B"/>
    <w:rsid w:val="000C2E3C"/>
    <w:rsid w:val="000C30BB"/>
    <w:rsid w:val="000D0552"/>
    <w:rsid w:val="000D23A1"/>
    <w:rsid w:val="000D6CB1"/>
    <w:rsid w:val="000E4C8E"/>
    <w:rsid w:val="000F2441"/>
    <w:rsid w:val="001004CE"/>
    <w:rsid w:val="00106440"/>
    <w:rsid w:val="001104E9"/>
    <w:rsid w:val="001117A0"/>
    <w:rsid w:val="00124BFB"/>
    <w:rsid w:val="001310ED"/>
    <w:rsid w:val="00131FE1"/>
    <w:rsid w:val="00137CC3"/>
    <w:rsid w:val="00143F67"/>
    <w:rsid w:val="00146826"/>
    <w:rsid w:val="00163F39"/>
    <w:rsid w:val="00170A3A"/>
    <w:rsid w:val="001759AC"/>
    <w:rsid w:val="00187084"/>
    <w:rsid w:val="00194877"/>
    <w:rsid w:val="001976DE"/>
    <w:rsid w:val="001A7A28"/>
    <w:rsid w:val="001B0874"/>
    <w:rsid w:val="001B251E"/>
    <w:rsid w:val="001B5DF6"/>
    <w:rsid w:val="001C6494"/>
    <w:rsid w:val="001C6929"/>
    <w:rsid w:val="001C77BA"/>
    <w:rsid w:val="001C7F14"/>
    <w:rsid w:val="001D00EF"/>
    <w:rsid w:val="001D40C4"/>
    <w:rsid w:val="001E08C3"/>
    <w:rsid w:val="001E0F53"/>
    <w:rsid w:val="001E56C0"/>
    <w:rsid w:val="001E7DAB"/>
    <w:rsid w:val="001F267C"/>
    <w:rsid w:val="00202764"/>
    <w:rsid w:val="00216E97"/>
    <w:rsid w:val="0022061A"/>
    <w:rsid w:val="00231295"/>
    <w:rsid w:val="00235EF4"/>
    <w:rsid w:val="002505D1"/>
    <w:rsid w:val="00253E72"/>
    <w:rsid w:val="00260821"/>
    <w:rsid w:val="00262535"/>
    <w:rsid w:val="002639C8"/>
    <w:rsid w:val="00270B8F"/>
    <w:rsid w:val="00275C09"/>
    <w:rsid w:val="002837E2"/>
    <w:rsid w:val="0029533B"/>
    <w:rsid w:val="00297B45"/>
    <w:rsid w:val="002A484C"/>
    <w:rsid w:val="002A63E0"/>
    <w:rsid w:val="002A647C"/>
    <w:rsid w:val="002A75F3"/>
    <w:rsid w:val="002B0476"/>
    <w:rsid w:val="002B62EE"/>
    <w:rsid w:val="002B689F"/>
    <w:rsid w:val="002C2A9E"/>
    <w:rsid w:val="002C4D56"/>
    <w:rsid w:val="002E5437"/>
    <w:rsid w:val="002F52C3"/>
    <w:rsid w:val="002F76CE"/>
    <w:rsid w:val="00301269"/>
    <w:rsid w:val="00306AD2"/>
    <w:rsid w:val="0030754B"/>
    <w:rsid w:val="00334360"/>
    <w:rsid w:val="0033483D"/>
    <w:rsid w:val="00344E74"/>
    <w:rsid w:val="00351EC8"/>
    <w:rsid w:val="003526B2"/>
    <w:rsid w:val="00354589"/>
    <w:rsid w:val="0035462A"/>
    <w:rsid w:val="003562E5"/>
    <w:rsid w:val="00365BF7"/>
    <w:rsid w:val="003731E2"/>
    <w:rsid w:val="003B3089"/>
    <w:rsid w:val="003B3704"/>
    <w:rsid w:val="003B6758"/>
    <w:rsid w:val="003B6F21"/>
    <w:rsid w:val="003C227D"/>
    <w:rsid w:val="003C3EF4"/>
    <w:rsid w:val="003D5907"/>
    <w:rsid w:val="003E7A5B"/>
    <w:rsid w:val="003F0630"/>
    <w:rsid w:val="00401DE8"/>
    <w:rsid w:val="0040335A"/>
    <w:rsid w:val="00410E5A"/>
    <w:rsid w:val="004119A0"/>
    <w:rsid w:val="00414135"/>
    <w:rsid w:val="004143D5"/>
    <w:rsid w:val="004221F8"/>
    <w:rsid w:val="00435012"/>
    <w:rsid w:val="00437A1F"/>
    <w:rsid w:val="004426C6"/>
    <w:rsid w:val="00462043"/>
    <w:rsid w:val="00465147"/>
    <w:rsid w:val="0046593E"/>
    <w:rsid w:val="00475C06"/>
    <w:rsid w:val="004760FE"/>
    <w:rsid w:val="00477440"/>
    <w:rsid w:val="00477948"/>
    <w:rsid w:val="0048414F"/>
    <w:rsid w:val="00495D78"/>
    <w:rsid w:val="00497E4F"/>
    <w:rsid w:val="004A151B"/>
    <w:rsid w:val="004A1627"/>
    <w:rsid w:val="004C0805"/>
    <w:rsid w:val="004C2353"/>
    <w:rsid w:val="004D37EF"/>
    <w:rsid w:val="004D50F2"/>
    <w:rsid w:val="004D7267"/>
    <w:rsid w:val="004E2116"/>
    <w:rsid w:val="004E245B"/>
    <w:rsid w:val="004E38D9"/>
    <w:rsid w:val="004E60DD"/>
    <w:rsid w:val="004F591A"/>
    <w:rsid w:val="00512DDB"/>
    <w:rsid w:val="005200FE"/>
    <w:rsid w:val="0052744B"/>
    <w:rsid w:val="00533802"/>
    <w:rsid w:val="00533D4D"/>
    <w:rsid w:val="00540DA3"/>
    <w:rsid w:val="00551204"/>
    <w:rsid w:val="005534AF"/>
    <w:rsid w:val="0055367D"/>
    <w:rsid w:val="00556FFF"/>
    <w:rsid w:val="00561A86"/>
    <w:rsid w:val="0056577E"/>
    <w:rsid w:val="00570395"/>
    <w:rsid w:val="005727B9"/>
    <w:rsid w:val="00572947"/>
    <w:rsid w:val="00576584"/>
    <w:rsid w:val="00583E50"/>
    <w:rsid w:val="005858EA"/>
    <w:rsid w:val="005926AF"/>
    <w:rsid w:val="00597D96"/>
    <w:rsid w:val="005A7DA5"/>
    <w:rsid w:val="005B7BC3"/>
    <w:rsid w:val="005C50BB"/>
    <w:rsid w:val="005D2DD0"/>
    <w:rsid w:val="005F2871"/>
    <w:rsid w:val="005F6EDB"/>
    <w:rsid w:val="0062135C"/>
    <w:rsid w:val="006517DF"/>
    <w:rsid w:val="00666C25"/>
    <w:rsid w:val="00677622"/>
    <w:rsid w:val="0068384C"/>
    <w:rsid w:val="0069173F"/>
    <w:rsid w:val="00696E8B"/>
    <w:rsid w:val="006B22B8"/>
    <w:rsid w:val="006B53E8"/>
    <w:rsid w:val="006B5735"/>
    <w:rsid w:val="006B60BB"/>
    <w:rsid w:val="006B6B1F"/>
    <w:rsid w:val="006C16A7"/>
    <w:rsid w:val="006C1FC8"/>
    <w:rsid w:val="006C20D2"/>
    <w:rsid w:val="006C7B2A"/>
    <w:rsid w:val="006D025B"/>
    <w:rsid w:val="006D5416"/>
    <w:rsid w:val="006E2C5E"/>
    <w:rsid w:val="006F6F5A"/>
    <w:rsid w:val="006F76AF"/>
    <w:rsid w:val="00705620"/>
    <w:rsid w:val="0072569A"/>
    <w:rsid w:val="00727972"/>
    <w:rsid w:val="00735275"/>
    <w:rsid w:val="00744B27"/>
    <w:rsid w:val="0074584E"/>
    <w:rsid w:val="00755B81"/>
    <w:rsid w:val="00762264"/>
    <w:rsid w:val="007665A4"/>
    <w:rsid w:val="00766963"/>
    <w:rsid w:val="007730E1"/>
    <w:rsid w:val="00774453"/>
    <w:rsid w:val="00774A9D"/>
    <w:rsid w:val="0077641F"/>
    <w:rsid w:val="007819B8"/>
    <w:rsid w:val="00796A06"/>
    <w:rsid w:val="007A5AA2"/>
    <w:rsid w:val="007B64A7"/>
    <w:rsid w:val="007C11D3"/>
    <w:rsid w:val="007C3220"/>
    <w:rsid w:val="007D083D"/>
    <w:rsid w:val="007D119E"/>
    <w:rsid w:val="007D418D"/>
    <w:rsid w:val="007F4C82"/>
    <w:rsid w:val="007F76A5"/>
    <w:rsid w:val="00815E59"/>
    <w:rsid w:val="008250DF"/>
    <w:rsid w:val="00830B41"/>
    <w:rsid w:val="00834DAA"/>
    <w:rsid w:val="0084492F"/>
    <w:rsid w:val="00847856"/>
    <w:rsid w:val="00860B32"/>
    <w:rsid w:val="00861876"/>
    <w:rsid w:val="00871AEC"/>
    <w:rsid w:val="008741D5"/>
    <w:rsid w:val="0088378F"/>
    <w:rsid w:val="00890F89"/>
    <w:rsid w:val="00892A16"/>
    <w:rsid w:val="00895C03"/>
    <w:rsid w:val="008A16CF"/>
    <w:rsid w:val="008A2266"/>
    <w:rsid w:val="008A2EC1"/>
    <w:rsid w:val="008A708B"/>
    <w:rsid w:val="008C1C9F"/>
    <w:rsid w:val="008C2248"/>
    <w:rsid w:val="008D0178"/>
    <w:rsid w:val="008D203A"/>
    <w:rsid w:val="008F1F6E"/>
    <w:rsid w:val="008F3AB3"/>
    <w:rsid w:val="00925894"/>
    <w:rsid w:val="009409B0"/>
    <w:rsid w:val="009409D7"/>
    <w:rsid w:val="00946EB1"/>
    <w:rsid w:val="009648F0"/>
    <w:rsid w:val="0097117A"/>
    <w:rsid w:val="00971874"/>
    <w:rsid w:val="009738E2"/>
    <w:rsid w:val="0097552A"/>
    <w:rsid w:val="009763DF"/>
    <w:rsid w:val="00980A57"/>
    <w:rsid w:val="0098698B"/>
    <w:rsid w:val="00987332"/>
    <w:rsid w:val="0099713F"/>
    <w:rsid w:val="009A009F"/>
    <w:rsid w:val="009A0E9A"/>
    <w:rsid w:val="009B1742"/>
    <w:rsid w:val="009B57CB"/>
    <w:rsid w:val="009B7E53"/>
    <w:rsid w:val="009C019D"/>
    <w:rsid w:val="009C1E68"/>
    <w:rsid w:val="009C4C39"/>
    <w:rsid w:val="009D77B2"/>
    <w:rsid w:val="009E45B1"/>
    <w:rsid w:val="009F6520"/>
    <w:rsid w:val="00A00B8D"/>
    <w:rsid w:val="00A077AB"/>
    <w:rsid w:val="00A1644B"/>
    <w:rsid w:val="00A21EBE"/>
    <w:rsid w:val="00A22FF6"/>
    <w:rsid w:val="00A237EC"/>
    <w:rsid w:val="00A254E9"/>
    <w:rsid w:val="00A25C63"/>
    <w:rsid w:val="00A27427"/>
    <w:rsid w:val="00A376DF"/>
    <w:rsid w:val="00A44E60"/>
    <w:rsid w:val="00A475E2"/>
    <w:rsid w:val="00A63D67"/>
    <w:rsid w:val="00A65843"/>
    <w:rsid w:val="00A75DB4"/>
    <w:rsid w:val="00A8259A"/>
    <w:rsid w:val="00AA60E8"/>
    <w:rsid w:val="00AB28A2"/>
    <w:rsid w:val="00AB3FEE"/>
    <w:rsid w:val="00AB4AEE"/>
    <w:rsid w:val="00AC52DE"/>
    <w:rsid w:val="00AC69E5"/>
    <w:rsid w:val="00AD31F4"/>
    <w:rsid w:val="00AE4FA8"/>
    <w:rsid w:val="00AF3EED"/>
    <w:rsid w:val="00B02905"/>
    <w:rsid w:val="00B06A05"/>
    <w:rsid w:val="00B06B30"/>
    <w:rsid w:val="00B15712"/>
    <w:rsid w:val="00B308DA"/>
    <w:rsid w:val="00B41C9A"/>
    <w:rsid w:val="00B42D69"/>
    <w:rsid w:val="00B43D86"/>
    <w:rsid w:val="00B46849"/>
    <w:rsid w:val="00B607D7"/>
    <w:rsid w:val="00B626AA"/>
    <w:rsid w:val="00B726CC"/>
    <w:rsid w:val="00B7671E"/>
    <w:rsid w:val="00B84064"/>
    <w:rsid w:val="00B84297"/>
    <w:rsid w:val="00BB3DAC"/>
    <w:rsid w:val="00BB573A"/>
    <w:rsid w:val="00BD3741"/>
    <w:rsid w:val="00BD42CB"/>
    <w:rsid w:val="00BD5DD6"/>
    <w:rsid w:val="00BD6990"/>
    <w:rsid w:val="00BE4D77"/>
    <w:rsid w:val="00BE6A55"/>
    <w:rsid w:val="00BF0F4A"/>
    <w:rsid w:val="00C17377"/>
    <w:rsid w:val="00C2417F"/>
    <w:rsid w:val="00C335C3"/>
    <w:rsid w:val="00C414F4"/>
    <w:rsid w:val="00C41AD5"/>
    <w:rsid w:val="00C44EF5"/>
    <w:rsid w:val="00C54F3A"/>
    <w:rsid w:val="00C554B3"/>
    <w:rsid w:val="00C6079C"/>
    <w:rsid w:val="00C61C9B"/>
    <w:rsid w:val="00C63A04"/>
    <w:rsid w:val="00C9589E"/>
    <w:rsid w:val="00CA398A"/>
    <w:rsid w:val="00CA3A11"/>
    <w:rsid w:val="00CC0562"/>
    <w:rsid w:val="00CC1F5C"/>
    <w:rsid w:val="00CC2F8E"/>
    <w:rsid w:val="00CC30FC"/>
    <w:rsid w:val="00CC6712"/>
    <w:rsid w:val="00CD0C48"/>
    <w:rsid w:val="00CD22D0"/>
    <w:rsid w:val="00CD27DC"/>
    <w:rsid w:val="00CD3664"/>
    <w:rsid w:val="00CD418A"/>
    <w:rsid w:val="00CD584A"/>
    <w:rsid w:val="00CD5E35"/>
    <w:rsid w:val="00CD5E47"/>
    <w:rsid w:val="00CE2D42"/>
    <w:rsid w:val="00CF6CDF"/>
    <w:rsid w:val="00D00A85"/>
    <w:rsid w:val="00D073E2"/>
    <w:rsid w:val="00D11734"/>
    <w:rsid w:val="00D13439"/>
    <w:rsid w:val="00D1425B"/>
    <w:rsid w:val="00D14E08"/>
    <w:rsid w:val="00D16334"/>
    <w:rsid w:val="00D308DD"/>
    <w:rsid w:val="00D502E2"/>
    <w:rsid w:val="00D52240"/>
    <w:rsid w:val="00D56D34"/>
    <w:rsid w:val="00D57DCE"/>
    <w:rsid w:val="00D60D45"/>
    <w:rsid w:val="00D617D3"/>
    <w:rsid w:val="00D65C65"/>
    <w:rsid w:val="00D70386"/>
    <w:rsid w:val="00D7276D"/>
    <w:rsid w:val="00D8061A"/>
    <w:rsid w:val="00D92D72"/>
    <w:rsid w:val="00DA6BE9"/>
    <w:rsid w:val="00DB7ACB"/>
    <w:rsid w:val="00DC517C"/>
    <w:rsid w:val="00DD19B8"/>
    <w:rsid w:val="00DD3826"/>
    <w:rsid w:val="00DE7864"/>
    <w:rsid w:val="00DF4FF5"/>
    <w:rsid w:val="00E0426C"/>
    <w:rsid w:val="00E053C3"/>
    <w:rsid w:val="00E14A7C"/>
    <w:rsid w:val="00E17C86"/>
    <w:rsid w:val="00E3646D"/>
    <w:rsid w:val="00E450B0"/>
    <w:rsid w:val="00E47A89"/>
    <w:rsid w:val="00E5358D"/>
    <w:rsid w:val="00E545CA"/>
    <w:rsid w:val="00E8349A"/>
    <w:rsid w:val="00E86B0B"/>
    <w:rsid w:val="00E933A6"/>
    <w:rsid w:val="00E96CA8"/>
    <w:rsid w:val="00E96DBC"/>
    <w:rsid w:val="00EA0073"/>
    <w:rsid w:val="00EA0467"/>
    <w:rsid w:val="00EA729D"/>
    <w:rsid w:val="00EB19F6"/>
    <w:rsid w:val="00EC0DF9"/>
    <w:rsid w:val="00ED73E4"/>
    <w:rsid w:val="00ED7A24"/>
    <w:rsid w:val="00EE3075"/>
    <w:rsid w:val="00EE5853"/>
    <w:rsid w:val="00EE73ED"/>
    <w:rsid w:val="00F04172"/>
    <w:rsid w:val="00F10238"/>
    <w:rsid w:val="00F10584"/>
    <w:rsid w:val="00F13AD2"/>
    <w:rsid w:val="00F21E16"/>
    <w:rsid w:val="00F22190"/>
    <w:rsid w:val="00F24B1A"/>
    <w:rsid w:val="00F34009"/>
    <w:rsid w:val="00F34542"/>
    <w:rsid w:val="00F4076C"/>
    <w:rsid w:val="00F419F8"/>
    <w:rsid w:val="00F504D9"/>
    <w:rsid w:val="00F50911"/>
    <w:rsid w:val="00F63362"/>
    <w:rsid w:val="00F75B04"/>
    <w:rsid w:val="00F806C5"/>
    <w:rsid w:val="00F97C94"/>
    <w:rsid w:val="00FA79FB"/>
    <w:rsid w:val="00FB3DBC"/>
    <w:rsid w:val="00FC0CB4"/>
    <w:rsid w:val="00FC2642"/>
    <w:rsid w:val="00FC4385"/>
    <w:rsid w:val="00FD2910"/>
    <w:rsid w:val="00FD4C94"/>
    <w:rsid w:val="00FD75C4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5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0D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E8B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5D2DD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70B9"/>
  </w:style>
  <w:style w:type="paragraph" w:styleId="Pta">
    <w:name w:val="footer"/>
    <w:basedOn w:val="Normlny"/>
    <w:link w:val="PtaChar"/>
    <w:uiPriority w:val="99"/>
    <w:unhideWhenUsed/>
    <w:rsid w:val="000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70B9"/>
  </w:style>
  <w:style w:type="character" w:styleId="Odkaznakomentr">
    <w:name w:val="annotation reference"/>
    <w:basedOn w:val="Predvolenpsmoodseku"/>
    <w:uiPriority w:val="99"/>
    <w:semiHidden/>
    <w:unhideWhenUsed/>
    <w:rsid w:val="007279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79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79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5B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5B81"/>
    <w:rPr>
      <w:b/>
      <w:bCs/>
      <w:sz w:val="20"/>
      <w:szCs w:val="20"/>
    </w:rPr>
  </w:style>
  <w:style w:type="paragraph" w:customStyle="1" w:styleId="Default">
    <w:name w:val="Default"/>
    <w:rsid w:val="00EA0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2F76CE"/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1644B"/>
    <w:pPr>
      <w:spacing w:after="0" w:line="240" w:lineRule="auto"/>
    </w:pPr>
  </w:style>
  <w:style w:type="character" w:customStyle="1" w:styleId="cf01">
    <w:name w:val="cf01"/>
    <w:basedOn w:val="Predvolenpsmoodseku"/>
    <w:rsid w:val="00D1425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D1425B"/>
    <w:rPr>
      <w:rFonts w:ascii="Segoe UI" w:hAnsi="Segoe UI" w:cs="Segoe UI" w:hint="default"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5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0D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E8B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5D2DD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70B9"/>
  </w:style>
  <w:style w:type="paragraph" w:styleId="Pta">
    <w:name w:val="footer"/>
    <w:basedOn w:val="Normlny"/>
    <w:link w:val="PtaChar"/>
    <w:uiPriority w:val="99"/>
    <w:unhideWhenUsed/>
    <w:rsid w:val="0005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70B9"/>
  </w:style>
  <w:style w:type="character" w:styleId="Odkaznakomentr">
    <w:name w:val="annotation reference"/>
    <w:basedOn w:val="Predvolenpsmoodseku"/>
    <w:uiPriority w:val="99"/>
    <w:semiHidden/>
    <w:unhideWhenUsed/>
    <w:rsid w:val="007279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79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79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5B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5B81"/>
    <w:rPr>
      <w:b/>
      <w:bCs/>
      <w:sz w:val="20"/>
      <w:szCs w:val="20"/>
    </w:rPr>
  </w:style>
  <w:style w:type="paragraph" w:customStyle="1" w:styleId="Default">
    <w:name w:val="Default"/>
    <w:rsid w:val="00EA0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2F76CE"/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1644B"/>
    <w:pPr>
      <w:spacing w:after="0" w:line="240" w:lineRule="auto"/>
    </w:pPr>
  </w:style>
  <w:style w:type="character" w:customStyle="1" w:styleId="cf01">
    <w:name w:val="cf01"/>
    <w:basedOn w:val="Predvolenpsmoodseku"/>
    <w:rsid w:val="00D1425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D1425B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2CCD-9E80-4EAF-81A5-7D32329E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2023-02-16T09:39:00Z</dcterms:created>
  <dcterms:modified xsi:type="dcterms:W3CDTF">2023-02-24T12:12:00Z</dcterms:modified>
</cp:coreProperties>
</file>