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B9E" w:rsidRPr="00815186" w:rsidRDefault="00EA1B9E" w:rsidP="00815186">
      <w:pPr>
        <w:spacing w:after="0"/>
        <w:ind w:left="36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sk-SK"/>
        </w:rPr>
      </w:pPr>
      <w:r w:rsidRPr="00815186">
        <w:rPr>
          <w:rFonts w:ascii="Times New Roman" w:eastAsia="Times New Roman" w:hAnsi="Times New Roman"/>
          <w:b/>
          <w:iCs/>
          <w:sz w:val="24"/>
          <w:szCs w:val="24"/>
          <w:lang w:eastAsia="sk-SK"/>
        </w:rPr>
        <w:t>Dôvodová správa</w:t>
      </w:r>
    </w:p>
    <w:p w:rsidR="00815186" w:rsidRPr="00815186" w:rsidRDefault="00815186" w:rsidP="00815186">
      <w:pPr>
        <w:spacing w:after="0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</w:p>
    <w:p w:rsidR="00815186" w:rsidRPr="00815186" w:rsidRDefault="00815186" w:rsidP="00815186">
      <w:pPr>
        <w:spacing w:after="0"/>
        <w:rPr>
          <w:rFonts w:ascii="Times New Roman" w:eastAsia="Times New Roman" w:hAnsi="Times New Roman"/>
          <w:b/>
          <w:iCs/>
          <w:sz w:val="24"/>
          <w:szCs w:val="24"/>
          <w:lang w:eastAsia="sk-SK"/>
        </w:rPr>
      </w:pPr>
      <w:r w:rsidRPr="00815186">
        <w:rPr>
          <w:rFonts w:ascii="Times New Roman" w:eastAsia="Times New Roman" w:hAnsi="Times New Roman"/>
          <w:b/>
          <w:iCs/>
          <w:sz w:val="24"/>
          <w:szCs w:val="24"/>
          <w:lang w:eastAsia="sk-SK"/>
        </w:rPr>
        <w:t>A. Všeobecná časť</w:t>
      </w:r>
    </w:p>
    <w:p w:rsidR="00815186" w:rsidRPr="00815186" w:rsidRDefault="00815186" w:rsidP="00815186">
      <w:pPr>
        <w:spacing w:after="0"/>
        <w:rPr>
          <w:rFonts w:ascii="Times New Roman" w:eastAsia="Times New Roman" w:hAnsi="Times New Roman"/>
          <w:b/>
          <w:iCs/>
          <w:sz w:val="24"/>
          <w:szCs w:val="24"/>
          <w:lang w:eastAsia="sk-SK"/>
        </w:rPr>
      </w:pPr>
    </w:p>
    <w:p w:rsidR="00815186" w:rsidRPr="00815186" w:rsidRDefault="00815186" w:rsidP="003F16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Návrh</w:t>
      </w:r>
      <w:r w:rsidRPr="00815186">
        <w:rPr>
          <w:rFonts w:ascii="Times New Roman" w:eastAsia="Times New Roman" w:hAnsi="Times New Roman"/>
          <w:color w:val="000000"/>
          <w:spacing w:val="43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zákona,</w:t>
      </w:r>
      <w:r w:rsidRPr="00815186">
        <w:rPr>
          <w:rFonts w:ascii="Times New Roman" w:eastAsia="Times New Roman" w:hAnsi="Times New Roman"/>
          <w:color w:val="000000"/>
          <w:spacing w:val="43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ktorým</w:t>
      </w:r>
      <w:r w:rsidRPr="00815186">
        <w:rPr>
          <w:rFonts w:ascii="Times New Roman" w:eastAsia="Times New Roman" w:hAnsi="Times New Roman"/>
          <w:color w:val="000000"/>
          <w:spacing w:val="43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</w:t>
      </w:r>
      <w:r w:rsidRPr="00815186">
        <w:rPr>
          <w:rFonts w:ascii="Times New Roman" w:eastAsia="Times New Roman" w:hAnsi="Times New Roman"/>
          <w:color w:val="000000"/>
          <w:spacing w:val="43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mení</w:t>
      </w:r>
      <w:r w:rsidRPr="00815186">
        <w:rPr>
          <w:rFonts w:ascii="Times New Roman" w:eastAsia="Times New Roman" w:hAnsi="Times New Roman"/>
          <w:color w:val="000000"/>
          <w:spacing w:val="43"/>
          <w:sz w:val="24"/>
          <w:szCs w:val="24"/>
          <w:lang w:eastAsia="sk-SK"/>
        </w:rPr>
        <w:t xml:space="preserve"> </w:t>
      </w:r>
      <w:r w:rsidR="00BC7FD2" w:rsidRPr="00BC7FD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ktorým sa mení a dopĺňa zákon č. 580/2004 Z. z. o zdravotnom poistení a o zmene a doplnení zákona č. 95/2002 Z. z. o poisťovníctve a o zmene a doplnení niektorých zákonov v znení neskorších predpisov a ktorým sa menia a dopĺňajú niektoré zákony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(ďalej len</w:t>
      </w:r>
      <w:r w:rsidRPr="00815186">
        <w:rPr>
          <w:rFonts w:ascii="Times New Roman" w:eastAsia="Times New Roman" w:hAnsi="Times New Roman"/>
          <w:color w:val="000000"/>
          <w:spacing w:val="25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„návrh</w:t>
      </w:r>
      <w:r w:rsidRPr="00815186">
        <w:rPr>
          <w:rFonts w:ascii="Times New Roman" w:eastAsia="Times New Roman" w:hAnsi="Times New Roman"/>
          <w:color w:val="000000"/>
          <w:spacing w:val="25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zákona“)</w:t>
      </w:r>
      <w:r w:rsidR="00387B5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predkladajú</w:t>
      </w:r>
      <w:r w:rsidRPr="00815186">
        <w:rPr>
          <w:rFonts w:ascii="Times New Roman" w:eastAsia="Times New Roman" w:hAnsi="Times New Roman"/>
          <w:color w:val="000000"/>
          <w:spacing w:val="25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na</w:t>
      </w:r>
      <w:r w:rsidRPr="00815186">
        <w:rPr>
          <w:rFonts w:ascii="Times New Roman" w:eastAsia="Times New Roman" w:hAnsi="Times New Roman"/>
          <w:color w:val="000000"/>
          <w:spacing w:val="25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rokovanie</w:t>
      </w:r>
      <w:r w:rsidRPr="00815186">
        <w:rPr>
          <w:rFonts w:ascii="Times New Roman" w:eastAsia="Times New Roman" w:hAnsi="Times New Roman"/>
          <w:color w:val="000000"/>
          <w:spacing w:val="25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Národnej</w:t>
      </w:r>
      <w:r w:rsidRPr="00815186">
        <w:rPr>
          <w:rFonts w:ascii="Times New Roman" w:eastAsia="Times New Roman" w:hAnsi="Times New Roman"/>
          <w:color w:val="000000"/>
          <w:spacing w:val="25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rady</w:t>
      </w:r>
      <w:r w:rsidRPr="00815186">
        <w:rPr>
          <w:rFonts w:ascii="Times New Roman" w:eastAsia="Times New Roman" w:hAnsi="Times New Roman"/>
          <w:color w:val="000000"/>
          <w:spacing w:val="25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Slovenskej</w:t>
      </w:r>
      <w:r w:rsidRPr="00815186">
        <w:rPr>
          <w:rFonts w:ascii="Times New Roman" w:eastAsia="Times New Roman" w:hAnsi="Times New Roman"/>
          <w:color w:val="000000"/>
          <w:spacing w:val="25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republiky</w:t>
      </w:r>
      <w:r w:rsidRPr="00815186">
        <w:rPr>
          <w:rFonts w:ascii="Times New Roman" w:eastAsia="Times New Roman" w:hAnsi="Times New Roman"/>
          <w:color w:val="000000"/>
          <w:spacing w:val="25"/>
          <w:sz w:val="24"/>
          <w:szCs w:val="24"/>
          <w:lang w:eastAsia="sk-SK"/>
        </w:rPr>
        <w:t xml:space="preserve"> </w:t>
      </w:r>
      <w:r w:rsidR="00387B5F">
        <w:rPr>
          <w:rFonts w:ascii="Times New Roman" w:hAnsi="Times New Roman"/>
          <w:kern w:val="1"/>
          <w:sz w:val="24"/>
          <w:szCs w:val="24"/>
        </w:rPr>
        <w:t>poslanci</w:t>
      </w:r>
      <w:r w:rsidR="00387B5F" w:rsidRPr="00DA2AE8">
        <w:rPr>
          <w:rFonts w:ascii="Times New Roman" w:hAnsi="Times New Roman"/>
          <w:kern w:val="1"/>
          <w:sz w:val="24"/>
          <w:szCs w:val="24"/>
        </w:rPr>
        <w:t xml:space="preserve"> Národnej rady Slovenskej republiky </w:t>
      </w:r>
      <w:r w:rsidR="00387B5F">
        <w:rPr>
          <w:rFonts w:ascii="Times New Roman" w:hAnsi="Times New Roman"/>
          <w:sz w:val="24"/>
          <w:szCs w:val="24"/>
        </w:rPr>
        <w:t>Zuzana ŠEBOVÁ, Miloš SVRČEK, Boris KOLLÁR a Peter PČOLINSKÝ.</w:t>
      </w:r>
    </w:p>
    <w:p w:rsidR="00815186" w:rsidRDefault="00815186" w:rsidP="008151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BC7FD2" w:rsidRPr="00815186" w:rsidRDefault="00BC7FD2" w:rsidP="003F16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815186">
        <w:rPr>
          <w:rFonts w:ascii="Times New Roman" w:hAnsi="Times New Roman"/>
          <w:sz w:val="24"/>
          <w:szCs w:val="24"/>
        </w:rPr>
        <w:t>ieľom</w:t>
      </w:r>
      <w:r>
        <w:rPr>
          <w:rFonts w:ascii="Times New Roman" w:hAnsi="Times New Roman"/>
          <w:sz w:val="24"/>
          <w:szCs w:val="24"/>
        </w:rPr>
        <w:t xml:space="preserve"> navrhovanej právnej úpravy je</w:t>
      </w:r>
      <w:r w:rsidRPr="00815186">
        <w:rPr>
          <w:rFonts w:ascii="Times New Roman" w:hAnsi="Times New Roman"/>
          <w:sz w:val="24"/>
          <w:szCs w:val="24"/>
        </w:rPr>
        <w:t xml:space="preserve"> umožniť zdravotnej poisťovni, ktorej jediným akcionárom je Slovenská republika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VšZP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a.s</w:t>
      </w:r>
      <w:proofErr w:type="spellEnd"/>
      <w:r>
        <w:rPr>
          <w:rFonts w:ascii="Times New Roman" w:hAnsi="Times New Roman"/>
          <w:sz w:val="24"/>
          <w:szCs w:val="24"/>
        </w:rPr>
        <w:t xml:space="preserve">.) </w:t>
      </w:r>
      <w:r w:rsidRPr="00815186">
        <w:rPr>
          <w:rFonts w:ascii="Times New Roman" w:hAnsi="Times New Roman"/>
          <w:sz w:val="24"/>
          <w:szCs w:val="24"/>
        </w:rPr>
        <w:t>samostatné vymáhanie pohľadávok, rovnako ako ho už realizuje Sociálna poisťovňa</w:t>
      </w:r>
      <w:r>
        <w:rPr>
          <w:rFonts w:ascii="Times New Roman" w:hAnsi="Times New Roman"/>
          <w:sz w:val="24"/>
          <w:szCs w:val="24"/>
        </w:rPr>
        <w:t>, a tak urýchliť proces vymáhania a zvýšiť jeho úspešnosť.</w:t>
      </w:r>
    </w:p>
    <w:p w:rsidR="00BC7FD2" w:rsidRDefault="00BC7FD2" w:rsidP="00BC7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A2C" w:rsidRDefault="000645BF" w:rsidP="003F16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Cieľom n</w:t>
      </w:r>
      <w:r w:rsidR="00B44A2C" w:rsidRPr="00B44A2C">
        <w:rPr>
          <w:rFonts w:ascii="Times New Roman" w:hAnsi="Times New Roman"/>
          <w:sz w:val="24"/>
          <w:szCs w:val="24"/>
        </w:rPr>
        <w:t>avrh</w:t>
      </w:r>
      <w:r>
        <w:rPr>
          <w:rFonts w:ascii="Times New Roman" w:hAnsi="Times New Roman"/>
          <w:sz w:val="24"/>
          <w:szCs w:val="24"/>
        </w:rPr>
        <w:t>ovaného zavedenia</w:t>
      </w:r>
      <w:r w:rsidR="00B44A2C" w:rsidRPr="00B44A2C">
        <w:rPr>
          <w:rFonts w:ascii="Times New Roman" w:hAnsi="Times New Roman"/>
          <w:sz w:val="24"/>
          <w:szCs w:val="24"/>
        </w:rPr>
        <w:t xml:space="preserve"> inštitút</w:t>
      </w:r>
      <w:r>
        <w:rPr>
          <w:rFonts w:ascii="Times New Roman" w:hAnsi="Times New Roman"/>
          <w:sz w:val="24"/>
          <w:szCs w:val="24"/>
        </w:rPr>
        <w:t>u</w:t>
      </w:r>
      <w:r w:rsidR="00B44A2C" w:rsidRPr="00B44A2C">
        <w:rPr>
          <w:rFonts w:ascii="Times New Roman" w:hAnsi="Times New Roman"/>
          <w:sz w:val="24"/>
          <w:szCs w:val="24"/>
        </w:rPr>
        <w:t xml:space="preserve"> priameho vymáha</w:t>
      </w:r>
      <w:r>
        <w:rPr>
          <w:rFonts w:ascii="Times New Roman" w:hAnsi="Times New Roman"/>
          <w:sz w:val="24"/>
          <w:szCs w:val="24"/>
        </w:rPr>
        <w:t>nia pohľadávok je</w:t>
      </w:r>
      <w:r w:rsidR="00B44A2C" w:rsidRPr="00B44A2C">
        <w:rPr>
          <w:rFonts w:ascii="Times New Roman" w:hAnsi="Times New Roman"/>
          <w:sz w:val="24"/>
          <w:szCs w:val="24"/>
        </w:rPr>
        <w:t xml:space="preserve"> zrýchliť proces vymáhania pohľadávok a zlacniť celý proces (má vykonávať poisťovňa vo vlastnej réžii, bez externých subjektov), pričom samotná rýchlosť vymáhania má výrazný vplyv na úspešnosť (úspešnosť vymáhania sa s plynúcim časom výrazne znižuje).</w:t>
      </w:r>
    </w:p>
    <w:p w:rsidR="00B44A2C" w:rsidRPr="00B44A2C" w:rsidRDefault="00B44A2C" w:rsidP="00B44A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5186" w:rsidRPr="00815186" w:rsidRDefault="00815186" w:rsidP="003F16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Návrh</w:t>
      </w:r>
      <w:r w:rsidRPr="00815186">
        <w:rPr>
          <w:rFonts w:ascii="Times New Roman" w:eastAsia="Times New Roman" w:hAnsi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zákona</w:t>
      </w:r>
      <w:r w:rsidR="00B44A2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má</w:t>
      </w:r>
      <w:r w:rsidR="001E623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pozitívny</w:t>
      </w:r>
      <w:r w:rsidR="001E6234">
        <w:rPr>
          <w:rFonts w:ascii="Times New Roman" w:eastAsia="Times New Roman" w:hAnsi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vplyv</w:t>
      </w:r>
      <w:r w:rsidRPr="00815186">
        <w:rPr>
          <w:rFonts w:ascii="Times New Roman" w:eastAsia="Times New Roman" w:hAnsi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na</w:t>
      </w:r>
      <w:r w:rsidRPr="00815186">
        <w:rPr>
          <w:rFonts w:ascii="Times New Roman" w:eastAsia="Times New Roman" w:hAnsi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rozpočet</w:t>
      </w:r>
      <w:r w:rsidRPr="00815186">
        <w:rPr>
          <w:rFonts w:ascii="Times New Roman" w:eastAsia="Times New Roman" w:hAnsi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verejnej</w:t>
      </w:r>
      <w:r w:rsidRPr="00815186">
        <w:rPr>
          <w:rFonts w:ascii="Times New Roman" w:eastAsia="Times New Roman" w:hAnsi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správy</w:t>
      </w:r>
      <w:r w:rsidR="001E623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a nemá vplyv na</w:t>
      </w:r>
      <w:r w:rsidRPr="00815186">
        <w:rPr>
          <w:rFonts w:ascii="Times New Roman" w:eastAsia="Times New Roman" w:hAnsi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služby</w:t>
      </w:r>
      <w:r w:rsidRPr="00815186">
        <w:rPr>
          <w:rFonts w:ascii="Times New Roman" w:eastAsia="Times New Roman" w:hAnsi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verejnej</w:t>
      </w:r>
      <w:r w:rsidRPr="00815186">
        <w:rPr>
          <w:rFonts w:ascii="Times New Roman" w:eastAsia="Times New Roman" w:hAnsi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správy</w:t>
      </w:r>
      <w:r w:rsidRPr="00815186">
        <w:rPr>
          <w:rFonts w:ascii="Times New Roman" w:eastAsia="Times New Roman" w:hAnsi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pre občana,</w:t>
      </w:r>
      <w:r w:rsidRPr="00815186">
        <w:rPr>
          <w:rFonts w:ascii="Times New Roman" w:eastAsia="Times New Roman" w:hAnsi="Times New Roman"/>
          <w:color w:val="000000"/>
          <w:spacing w:val="80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na</w:t>
      </w:r>
      <w:r w:rsidRPr="00815186">
        <w:rPr>
          <w:rFonts w:ascii="Times New Roman" w:eastAsia="Times New Roman" w:hAnsi="Times New Roman"/>
          <w:color w:val="000000"/>
          <w:spacing w:val="80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podnikateľské</w:t>
      </w:r>
      <w:r w:rsidRPr="00815186">
        <w:rPr>
          <w:rFonts w:ascii="Times New Roman" w:eastAsia="Times New Roman" w:hAnsi="Times New Roman"/>
          <w:color w:val="000000"/>
          <w:spacing w:val="80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prostredie,</w:t>
      </w:r>
      <w:r w:rsidRPr="00815186">
        <w:rPr>
          <w:rFonts w:ascii="Times New Roman" w:eastAsia="Times New Roman" w:hAnsi="Times New Roman"/>
          <w:color w:val="000000"/>
          <w:spacing w:val="80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na</w:t>
      </w:r>
      <w:r w:rsidRPr="00815186">
        <w:rPr>
          <w:rFonts w:ascii="Times New Roman" w:eastAsia="Times New Roman" w:hAnsi="Times New Roman"/>
          <w:color w:val="000000"/>
          <w:spacing w:val="80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životné</w:t>
      </w:r>
      <w:r w:rsidRPr="00815186">
        <w:rPr>
          <w:rFonts w:ascii="Times New Roman" w:eastAsia="Times New Roman" w:hAnsi="Times New Roman"/>
          <w:color w:val="000000"/>
          <w:spacing w:val="80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prostredie,</w:t>
      </w:r>
      <w:r w:rsidRPr="00815186">
        <w:rPr>
          <w:rFonts w:ascii="Times New Roman" w:eastAsia="Times New Roman" w:hAnsi="Times New Roman"/>
          <w:color w:val="000000"/>
          <w:spacing w:val="80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na</w:t>
      </w:r>
      <w:r w:rsidRPr="00815186">
        <w:rPr>
          <w:rFonts w:ascii="Times New Roman" w:eastAsia="Times New Roman" w:hAnsi="Times New Roman"/>
          <w:color w:val="000000"/>
          <w:spacing w:val="80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manželstvo,</w:t>
      </w:r>
      <w:r w:rsidRPr="00815186">
        <w:rPr>
          <w:rFonts w:ascii="Times New Roman" w:eastAsia="Times New Roman" w:hAnsi="Times New Roman"/>
          <w:color w:val="000000"/>
          <w:spacing w:val="80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rodičovstvo a rodinu, ani na informatizáciu spoločnosti</w:t>
      </w:r>
      <w:r w:rsidR="001E623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</w:t>
      </w:r>
    </w:p>
    <w:p w:rsidR="00BC7FD2" w:rsidRDefault="00BC7FD2" w:rsidP="008151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815186" w:rsidRPr="00815186" w:rsidRDefault="00815186" w:rsidP="003F16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Návrh</w:t>
      </w:r>
      <w:r w:rsidRPr="00815186">
        <w:rPr>
          <w:rFonts w:ascii="Times New Roman" w:eastAsia="Times New Roman" w:hAnsi="Times New Roman"/>
          <w:color w:val="000000"/>
          <w:spacing w:val="60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zákona</w:t>
      </w:r>
      <w:r w:rsidRPr="00815186">
        <w:rPr>
          <w:rFonts w:ascii="Times New Roman" w:eastAsia="Times New Roman" w:hAnsi="Times New Roman"/>
          <w:color w:val="000000"/>
          <w:spacing w:val="60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je</w:t>
      </w:r>
      <w:r w:rsidRPr="00815186">
        <w:rPr>
          <w:rFonts w:ascii="Times New Roman" w:eastAsia="Times New Roman" w:hAnsi="Times New Roman"/>
          <w:color w:val="000000"/>
          <w:spacing w:val="60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</w:t>
      </w:r>
      <w:r w:rsidRPr="00815186">
        <w:rPr>
          <w:rFonts w:ascii="Times New Roman" w:eastAsia="Times New Roman" w:hAnsi="Times New Roman"/>
          <w:color w:val="000000"/>
          <w:spacing w:val="60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súlade</w:t>
      </w:r>
      <w:r w:rsidRPr="00815186">
        <w:rPr>
          <w:rFonts w:ascii="Times New Roman" w:eastAsia="Times New Roman" w:hAnsi="Times New Roman"/>
          <w:color w:val="000000"/>
          <w:spacing w:val="60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</w:t>
      </w:r>
      <w:r w:rsidRPr="00815186">
        <w:rPr>
          <w:rFonts w:ascii="Times New Roman" w:eastAsia="Times New Roman" w:hAnsi="Times New Roman"/>
          <w:color w:val="000000"/>
          <w:spacing w:val="60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Ústavou</w:t>
      </w:r>
      <w:r w:rsidRPr="00815186">
        <w:rPr>
          <w:rFonts w:ascii="Times New Roman" w:eastAsia="Times New Roman" w:hAnsi="Times New Roman"/>
          <w:color w:val="000000"/>
          <w:spacing w:val="60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Slovenskej</w:t>
      </w:r>
      <w:r w:rsidRPr="00815186">
        <w:rPr>
          <w:rFonts w:ascii="Times New Roman" w:eastAsia="Times New Roman" w:hAnsi="Times New Roman"/>
          <w:color w:val="000000"/>
          <w:spacing w:val="60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republiky,</w:t>
      </w:r>
      <w:r w:rsidRPr="00815186">
        <w:rPr>
          <w:rFonts w:ascii="Times New Roman" w:eastAsia="Times New Roman" w:hAnsi="Times New Roman"/>
          <w:color w:val="000000"/>
          <w:spacing w:val="60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ústavnými</w:t>
      </w:r>
      <w:r w:rsidRPr="00815186">
        <w:rPr>
          <w:rFonts w:ascii="Times New Roman" w:eastAsia="Times New Roman" w:hAnsi="Times New Roman"/>
          <w:color w:val="000000"/>
          <w:spacing w:val="60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zákonmi</w:t>
      </w:r>
      <w:r w:rsidRPr="00815186">
        <w:rPr>
          <w:rFonts w:ascii="Times New Roman" w:eastAsia="Times New Roman" w:hAnsi="Times New Roman"/>
          <w:color w:val="000000"/>
          <w:spacing w:val="60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a ostatnými</w:t>
      </w:r>
      <w:r w:rsidRPr="00815186">
        <w:rPr>
          <w:rFonts w:ascii="Times New Roman" w:eastAsia="Times New Roman" w:hAnsi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všeobecne</w:t>
      </w:r>
      <w:r w:rsidRPr="00815186">
        <w:rPr>
          <w:rFonts w:ascii="Times New Roman" w:eastAsia="Times New Roman" w:hAnsi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záväznými</w:t>
      </w:r>
      <w:r w:rsidRPr="00815186">
        <w:rPr>
          <w:rFonts w:ascii="Times New Roman" w:eastAsia="Times New Roman" w:hAnsi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právnymi</w:t>
      </w:r>
      <w:r w:rsidRPr="00815186">
        <w:rPr>
          <w:rFonts w:ascii="Times New Roman" w:eastAsia="Times New Roman" w:hAnsi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predpismi</w:t>
      </w:r>
      <w:r w:rsidRPr="00815186">
        <w:rPr>
          <w:rFonts w:ascii="Times New Roman" w:eastAsia="Times New Roman" w:hAnsi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Slovenskej</w:t>
      </w:r>
      <w:r w:rsidRPr="00815186">
        <w:rPr>
          <w:rFonts w:ascii="Times New Roman" w:eastAsia="Times New Roman" w:hAnsi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republiky,</w:t>
      </w:r>
      <w:r w:rsidRPr="00815186">
        <w:rPr>
          <w:rFonts w:ascii="Times New Roman" w:eastAsia="Times New Roman" w:hAnsi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medzinárodnými zmluvami</w:t>
      </w:r>
      <w:r w:rsidRPr="00815186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a</w:t>
      </w:r>
      <w:r w:rsidRPr="00815186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inými</w:t>
      </w:r>
      <w:r w:rsidRPr="00815186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medzinárodnými</w:t>
      </w:r>
      <w:r w:rsidRPr="00815186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dokumentmi,</w:t>
      </w:r>
      <w:r w:rsidRPr="00815186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ktorými</w:t>
      </w:r>
      <w:r w:rsidRPr="00815186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je</w:t>
      </w:r>
      <w:r w:rsidRPr="00815186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Slovenská</w:t>
      </w:r>
      <w:r w:rsidRPr="00815186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republika</w:t>
      </w:r>
      <w:r w:rsidRPr="00815186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viazaná,</w:t>
      </w:r>
      <w:r w:rsidRPr="00815186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81518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ako aj s právom Európskej únie.</w:t>
      </w:r>
    </w:p>
    <w:p w:rsidR="00815186" w:rsidRPr="00815186" w:rsidRDefault="00815186" w:rsidP="00815186">
      <w:pPr>
        <w:spacing w:after="0" w:line="240" w:lineRule="auto"/>
        <w:ind w:firstLine="578"/>
        <w:jc w:val="both"/>
        <w:rPr>
          <w:rFonts w:ascii="Times New Roman" w:hAnsi="Times New Roman"/>
          <w:sz w:val="24"/>
          <w:szCs w:val="24"/>
        </w:rPr>
      </w:pPr>
    </w:p>
    <w:p w:rsidR="00815186" w:rsidRPr="00815186" w:rsidRDefault="00815186" w:rsidP="00815186">
      <w:pPr>
        <w:spacing w:after="0"/>
        <w:rPr>
          <w:rFonts w:ascii="Times New Roman" w:eastAsia="Times New Roman" w:hAnsi="Times New Roman"/>
          <w:b/>
          <w:iCs/>
          <w:sz w:val="24"/>
          <w:szCs w:val="24"/>
          <w:lang w:eastAsia="sk-SK"/>
        </w:rPr>
      </w:pPr>
    </w:p>
    <w:p w:rsidR="003F16DE" w:rsidRDefault="003F16DE" w:rsidP="00815186">
      <w:pPr>
        <w:spacing w:after="0"/>
        <w:rPr>
          <w:rFonts w:ascii="Times New Roman" w:eastAsia="Times New Roman" w:hAnsi="Times New Roman"/>
          <w:b/>
          <w:iCs/>
          <w:sz w:val="24"/>
          <w:szCs w:val="24"/>
          <w:lang w:eastAsia="sk-SK"/>
        </w:rPr>
      </w:pPr>
    </w:p>
    <w:p w:rsidR="003F16DE" w:rsidRDefault="003F16DE" w:rsidP="00815186">
      <w:pPr>
        <w:spacing w:after="0"/>
        <w:rPr>
          <w:rFonts w:ascii="Times New Roman" w:eastAsia="Times New Roman" w:hAnsi="Times New Roman"/>
          <w:b/>
          <w:iCs/>
          <w:sz w:val="24"/>
          <w:szCs w:val="24"/>
          <w:lang w:eastAsia="sk-SK"/>
        </w:rPr>
      </w:pPr>
    </w:p>
    <w:p w:rsidR="003F16DE" w:rsidRDefault="003F16DE" w:rsidP="00815186">
      <w:pPr>
        <w:spacing w:after="0"/>
        <w:rPr>
          <w:rFonts w:ascii="Times New Roman" w:eastAsia="Times New Roman" w:hAnsi="Times New Roman"/>
          <w:b/>
          <w:iCs/>
          <w:sz w:val="24"/>
          <w:szCs w:val="24"/>
          <w:lang w:eastAsia="sk-SK"/>
        </w:rPr>
      </w:pPr>
    </w:p>
    <w:p w:rsidR="003F16DE" w:rsidRDefault="003F16DE" w:rsidP="00815186">
      <w:pPr>
        <w:spacing w:after="0"/>
        <w:rPr>
          <w:rFonts w:ascii="Times New Roman" w:eastAsia="Times New Roman" w:hAnsi="Times New Roman"/>
          <w:b/>
          <w:iCs/>
          <w:sz w:val="24"/>
          <w:szCs w:val="24"/>
          <w:lang w:eastAsia="sk-SK"/>
        </w:rPr>
      </w:pPr>
    </w:p>
    <w:p w:rsidR="003F16DE" w:rsidRDefault="003F16DE" w:rsidP="00815186">
      <w:pPr>
        <w:spacing w:after="0"/>
        <w:rPr>
          <w:rFonts w:ascii="Times New Roman" w:eastAsia="Times New Roman" w:hAnsi="Times New Roman"/>
          <w:b/>
          <w:iCs/>
          <w:sz w:val="24"/>
          <w:szCs w:val="24"/>
          <w:lang w:eastAsia="sk-SK"/>
        </w:rPr>
      </w:pPr>
    </w:p>
    <w:p w:rsidR="003F16DE" w:rsidRDefault="003F16DE" w:rsidP="00815186">
      <w:pPr>
        <w:spacing w:after="0"/>
        <w:rPr>
          <w:rFonts w:ascii="Times New Roman" w:eastAsia="Times New Roman" w:hAnsi="Times New Roman"/>
          <w:b/>
          <w:iCs/>
          <w:sz w:val="24"/>
          <w:szCs w:val="24"/>
          <w:lang w:eastAsia="sk-SK"/>
        </w:rPr>
      </w:pPr>
    </w:p>
    <w:p w:rsidR="003F16DE" w:rsidRDefault="003F16DE" w:rsidP="00815186">
      <w:pPr>
        <w:spacing w:after="0"/>
        <w:rPr>
          <w:rFonts w:ascii="Times New Roman" w:eastAsia="Times New Roman" w:hAnsi="Times New Roman"/>
          <w:b/>
          <w:iCs/>
          <w:sz w:val="24"/>
          <w:szCs w:val="24"/>
          <w:lang w:eastAsia="sk-SK"/>
        </w:rPr>
      </w:pPr>
    </w:p>
    <w:p w:rsidR="003F16DE" w:rsidRDefault="003F16DE" w:rsidP="00815186">
      <w:pPr>
        <w:spacing w:after="0"/>
        <w:rPr>
          <w:rFonts w:ascii="Times New Roman" w:eastAsia="Times New Roman" w:hAnsi="Times New Roman"/>
          <w:b/>
          <w:iCs/>
          <w:sz w:val="24"/>
          <w:szCs w:val="24"/>
          <w:lang w:eastAsia="sk-SK"/>
        </w:rPr>
      </w:pPr>
    </w:p>
    <w:p w:rsidR="003F16DE" w:rsidRDefault="003F16DE" w:rsidP="00815186">
      <w:pPr>
        <w:spacing w:after="0"/>
        <w:rPr>
          <w:rFonts w:ascii="Times New Roman" w:eastAsia="Times New Roman" w:hAnsi="Times New Roman"/>
          <w:b/>
          <w:iCs/>
          <w:sz w:val="24"/>
          <w:szCs w:val="24"/>
          <w:lang w:eastAsia="sk-SK"/>
        </w:rPr>
      </w:pPr>
    </w:p>
    <w:p w:rsidR="003F16DE" w:rsidRDefault="003F16DE" w:rsidP="00815186">
      <w:pPr>
        <w:spacing w:after="0"/>
        <w:rPr>
          <w:rFonts w:ascii="Times New Roman" w:eastAsia="Times New Roman" w:hAnsi="Times New Roman"/>
          <w:b/>
          <w:iCs/>
          <w:sz w:val="24"/>
          <w:szCs w:val="24"/>
          <w:lang w:eastAsia="sk-SK"/>
        </w:rPr>
      </w:pPr>
    </w:p>
    <w:p w:rsidR="003F16DE" w:rsidRDefault="003F16DE" w:rsidP="00815186">
      <w:pPr>
        <w:spacing w:after="0"/>
        <w:rPr>
          <w:rFonts w:ascii="Times New Roman" w:eastAsia="Times New Roman" w:hAnsi="Times New Roman"/>
          <w:b/>
          <w:iCs/>
          <w:sz w:val="24"/>
          <w:szCs w:val="24"/>
          <w:lang w:eastAsia="sk-SK"/>
        </w:rPr>
      </w:pPr>
    </w:p>
    <w:p w:rsidR="003F16DE" w:rsidRDefault="003F16DE" w:rsidP="00815186">
      <w:pPr>
        <w:spacing w:after="0"/>
        <w:rPr>
          <w:rFonts w:ascii="Times New Roman" w:eastAsia="Times New Roman" w:hAnsi="Times New Roman"/>
          <w:b/>
          <w:iCs/>
          <w:sz w:val="24"/>
          <w:szCs w:val="24"/>
          <w:lang w:eastAsia="sk-SK"/>
        </w:rPr>
      </w:pPr>
    </w:p>
    <w:p w:rsidR="003F16DE" w:rsidRDefault="003F16DE" w:rsidP="00815186">
      <w:pPr>
        <w:spacing w:after="0"/>
        <w:rPr>
          <w:rFonts w:ascii="Times New Roman" w:eastAsia="Times New Roman" w:hAnsi="Times New Roman"/>
          <w:b/>
          <w:iCs/>
          <w:sz w:val="24"/>
          <w:szCs w:val="24"/>
          <w:lang w:eastAsia="sk-SK"/>
        </w:rPr>
      </w:pPr>
    </w:p>
    <w:p w:rsidR="003F16DE" w:rsidRDefault="003F16DE" w:rsidP="00815186">
      <w:pPr>
        <w:spacing w:after="0"/>
        <w:rPr>
          <w:rFonts w:ascii="Times New Roman" w:eastAsia="Times New Roman" w:hAnsi="Times New Roman"/>
          <w:b/>
          <w:iCs/>
          <w:sz w:val="24"/>
          <w:szCs w:val="24"/>
          <w:lang w:eastAsia="sk-SK"/>
        </w:rPr>
      </w:pPr>
    </w:p>
    <w:p w:rsidR="003F16DE" w:rsidRDefault="003F16DE" w:rsidP="00815186">
      <w:pPr>
        <w:spacing w:after="0"/>
        <w:rPr>
          <w:rFonts w:ascii="Times New Roman" w:eastAsia="Times New Roman" w:hAnsi="Times New Roman"/>
          <w:b/>
          <w:iCs/>
          <w:sz w:val="24"/>
          <w:szCs w:val="24"/>
          <w:lang w:eastAsia="sk-SK"/>
        </w:rPr>
      </w:pPr>
    </w:p>
    <w:p w:rsidR="003F16DE" w:rsidRDefault="003F16DE" w:rsidP="00815186">
      <w:pPr>
        <w:spacing w:after="0"/>
        <w:rPr>
          <w:rFonts w:ascii="Times New Roman" w:eastAsia="Times New Roman" w:hAnsi="Times New Roman"/>
          <w:b/>
          <w:iCs/>
          <w:sz w:val="24"/>
          <w:szCs w:val="24"/>
          <w:lang w:eastAsia="sk-SK"/>
        </w:rPr>
      </w:pPr>
    </w:p>
    <w:p w:rsidR="003F16DE" w:rsidRDefault="003F16DE" w:rsidP="00815186">
      <w:pPr>
        <w:spacing w:after="0"/>
        <w:rPr>
          <w:rFonts w:ascii="Times New Roman" w:eastAsia="Times New Roman" w:hAnsi="Times New Roman"/>
          <w:b/>
          <w:iCs/>
          <w:sz w:val="24"/>
          <w:szCs w:val="24"/>
          <w:lang w:eastAsia="sk-SK"/>
        </w:rPr>
      </w:pPr>
    </w:p>
    <w:p w:rsidR="00EA1B9E" w:rsidRPr="00815186" w:rsidRDefault="00854E94" w:rsidP="00815186">
      <w:pPr>
        <w:spacing w:after="0"/>
        <w:rPr>
          <w:rFonts w:ascii="Times New Roman" w:eastAsia="Times New Roman" w:hAnsi="Times New Roman"/>
          <w:b/>
          <w:iCs/>
          <w:sz w:val="24"/>
          <w:szCs w:val="24"/>
          <w:lang w:eastAsia="sk-SK"/>
        </w:rPr>
      </w:pPr>
      <w:r w:rsidRPr="00815186">
        <w:rPr>
          <w:rFonts w:ascii="Times New Roman" w:eastAsia="Times New Roman" w:hAnsi="Times New Roman"/>
          <w:b/>
          <w:iCs/>
          <w:sz w:val="24"/>
          <w:szCs w:val="24"/>
          <w:lang w:eastAsia="sk-SK"/>
        </w:rPr>
        <w:t>B</w:t>
      </w:r>
      <w:r w:rsidR="00EA1B9E" w:rsidRPr="00815186">
        <w:rPr>
          <w:rFonts w:ascii="Times New Roman" w:eastAsia="Times New Roman" w:hAnsi="Times New Roman"/>
          <w:b/>
          <w:iCs/>
          <w:sz w:val="24"/>
          <w:szCs w:val="24"/>
          <w:lang w:eastAsia="sk-SK"/>
        </w:rPr>
        <w:t>. Osobitná časť</w:t>
      </w:r>
    </w:p>
    <w:p w:rsidR="00EA1B9E" w:rsidRPr="00815186" w:rsidRDefault="00EA1B9E" w:rsidP="00815186">
      <w:pPr>
        <w:spacing w:after="0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EA1B9E" w:rsidRPr="00815186" w:rsidRDefault="00EA1B9E" w:rsidP="00815186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815186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K čl. I (zákon č. 580/2004 Z. z.)</w:t>
      </w:r>
    </w:p>
    <w:p w:rsidR="00EA1B9E" w:rsidRPr="00815186" w:rsidRDefault="00EA1B9E" w:rsidP="0081518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A1B9E" w:rsidRDefault="00EA1B9E" w:rsidP="003F16D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15186">
        <w:rPr>
          <w:rFonts w:ascii="Times New Roman" w:hAnsi="Times New Roman"/>
          <w:sz w:val="24"/>
          <w:szCs w:val="24"/>
        </w:rPr>
        <w:t>Zdravotn</w:t>
      </w:r>
      <w:r w:rsidR="00854E94" w:rsidRPr="00815186">
        <w:rPr>
          <w:rFonts w:ascii="Times New Roman" w:hAnsi="Times New Roman"/>
          <w:sz w:val="24"/>
          <w:szCs w:val="24"/>
        </w:rPr>
        <w:t>á</w:t>
      </w:r>
      <w:r w:rsidRPr="00815186">
        <w:rPr>
          <w:rFonts w:ascii="Times New Roman" w:hAnsi="Times New Roman"/>
          <w:sz w:val="24"/>
          <w:szCs w:val="24"/>
        </w:rPr>
        <w:t xml:space="preserve"> poisťov</w:t>
      </w:r>
      <w:r w:rsidR="00854E94" w:rsidRPr="00815186">
        <w:rPr>
          <w:rFonts w:ascii="Times New Roman" w:hAnsi="Times New Roman"/>
          <w:sz w:val="24"/>
          <w:szCs w:val="24"/>
        </w:rPr>
        <w:t>ňa</w:t>
      </w:r>
      <w:r w:rsidRPr="00815186">
        <w:rPr>
          <w:rFonts w:ascii="Times New Roman" w:hAnsi="Times New Roman"/>
          <w:sz w:val="24"/>
          <w:szCs w:val="24"/>
        </w:rPr>
        <w:t xml:space="preserve"> </w:t>
      </w:r>
      <w:r w:rsidR="00854E94" w:rsidRPr="00815186">
        <w:rPr>
          <w:rFonts w:ascii="Times New Roman" w:hAnsi="Times New Roman"/>
          <w:sz w:val="24"/>
          <w:szCs w:val="24"/>
        </w:rPr>
        <w:t>je</w:t>
      </w:r>
      <w:r w:rsidRPr="00815186">
        <w:rPr>
          <w:rFonts w:ascii="Times New Roman" w:hAnsi="Times New Roman"/>
          <w:sz w:val="24"/>
          <w:szCs w:val="24"/>
        </w:rPr>
        <w:t xml:space="preserve"> v zmysle zákona a za splnenia zákonných podmienok oprávnen</w:t>
      </w:r>
      <w:r w:rsidR="00134D37">
        <w:rPr>
          <w:rFonts w:ascii="Times New Roman" w:hAnsi="Times New Roman"/>
          <w:sz w:val="24"/>
          <w:szCs w:val="24"/>
        </w:rPr>
        <w:t>á</w:t>
      </w:r>
      <w:r w:rsidRPr="00815186">
        <w:rPr>
          <w:rFonts w:ascii="Times New Roman" w:hAnsi="Times New Roman"/>
          <w:sz w:val="24"/>
          <w:szCs w:val="24"/>
        </w:rPr>
        <w:t xml:space="preserve"> na základe štátom postúpenej právomoci rozhodovať o právach a povinnostiach fyzických a právnických osôb. </w:t>
      </w:r>
    </w:p>
    <w:p w:rsidR="003F16DE" w:rsidRPr="00815186" w:rsidRDefault="003F16DE" w:rsidP="003F16D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645BF" w:rsidRDefault="003F16DE" w:rsidP="003F16DE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A1B9E" w:rsidRPr="00815186">
        <w:rPr>
          <w:rFonts w:ascii="Times New Roman" w:hAnsi="Times New Roman"/>
          <w:sz w:val="24"/>
          <w:szCs w:val="24"/>
        </w:rPr>
        <w:t>Zdravotn</w:t>
      </w:r>
      <w:r w:rsidR="00854E94" w:rsidRPr="00815186">
        <w:rPr>
          <w:rFonts w:ascii="Times New Roman" w:hAnsi="Times New Roman"/>
          <w:sz w:val="24"/>
          <w:szCs w:val="24"/>
        </w:rPr>
        <w:t>á</w:t>
      </w:r>
      <w:r w:rsidR="00EA1B9E" w:rsidRPr="00815186">
        <w:rPr>
          <w:rFonts w:ascii="Times New Roman" w:hAnsi="Times New Roman"/>
          <w:sz w:val="24"/>
          <w:szCs w:val="24"/>
        </w:rPr>
        <w:t xml:space="preserve"> poisťov</w:t>
      </w:r>
      <w:r w:rsidR="00854E94" w:rsidRPr="00815186">
        <w:rPr>
          <w:rFonts w:ascii="Times New Roman" w:hAnsi="Times New Roman"/>
          <w:sz w:val="24"/>
          <w:szCs w:val="24"/>
        </w:rPr>
        <w:t>ňa</w:t>
      </w:r>
      <w:r w:rsidR="00EA1B9E" w:rsidRPr="00815186">
        <w:rPr>
          <w:rFonts w:ascii="Times New Roman" w:hAnsi="Times New Roman"/>
          <w:sz w:val="24"/>
          <w:szCs w:val="24"/>
        </w:rPr>
        <w:t xml:space="preserve"> </w:t>
      </w:r>
      <w:r w:rsidR="00854E94" w:rsidRPr="00815186">
        <w:rPr>
          <w:rFonts w:ascii="Times New Roman" w:hAnsi="Times New Roman"/>
          <w:sz w:val="24"/>
          <w:szCs w:val="24"/>
        </w:rPr>
        <w:t>je</w:t>
      </w:r>
      <w:r w:rsidR="00EA1B9E" w:rsidRPr="00815186">
        <w:rPr>
          <w:rFonts w:ascii="Times New Roman" w:hAnsi="Times New Roman"/>
          <w:sz w:val="24"/>
          <w:szCs w:val="24"/>
        </w:rPr>
        <w:t xml:space="preserve"> založen</w:t>
      </w:r>
      <w:r w:rsidR="00854E94" w:rsidRPr="00815186">
        <w:rPr>
          <w:rFonts w:ascii="Times New Roman" w:hAnsi="Times New Roman"/>
          <w:sz w:val="24"/>
          <w:szCs w:val="24"/>
        </w:rPr>
        <w:t>á</w:t>
      </w:r>
      <w:r w:rsidR="00EA1B9E" w:rsidRPr="00815186">
        <w:rPr>
          <w:rFonts w:ascii="Times New Roman" w:hAnsi="Times New Roman"/>
          <w:sz w:val="24"/>
          <w:szCs w:val="24"/>
        </w:rPr>
        <w:t xml:space="preserve"> na účely vykonávania verejného zdravotného poistenia. V zmysle zákona je vykonávanie verejného zdravotného poistenia činnosťou vo verejnom záujme, pri ktorej sa hospodári s verejnými prostriedkami, pričom povinnosťou zdravotných </w:t>
      </w:r>
      <w:r w:rsidR="00134D37">
        <w:rPr>
          <w:rFonts w:ascii="Times New Roman" w:hAnsi="Times New Roman"/>
          <w:sz w:val="24"/>
          <w:szCs w:val="24"/>
        </w:rPr>
        <w:t xml:space="preserve">poisťovní </w:t>
      </w:r>
      <w:r w:rsidR="00EA1B9E" w:rsidRPr="00815186">
        <w:rPr>
          <w:rFonts w:ascii="Times New Roman" w:hAnsi="Times New Roman"/>
          <w:sz w:val="24"/>
          <w:szCs w:val="24"/>
        </w:rPr>
        <w:t>je, okrem iného, aj vymáhanie pohľadávok. Hoci sa zdravotn</w:t>
      </w:r>
      <w:r w:rsidR="00854E94" w:rsidRPr="00815186">
        <w:rPr>
          <w:rFonts w:ascii="Times New Roman" w:hAnsi="Times New Roman"/>
          <w:sz w:val="24"/>
          <w:szCs w:val="24"/>
        </w:rPr>
        <w:t>á</w:t>
      </w:r>
      <w:r w:rsidR="00EA1B9E" w:rsidRPr="00815186">
        <w:rPr>
          <w:rFonts w:ascii="Times New Roman" w:hAnsi="Times New Roman"/>
          <w:sz w:val="24"/>
          <w:szCs w:val="24"/>
        </w:rPr>
        <w:t xml:space="preserve"> poisťov</w:t>
      </w:r>
      <w:r w:rsidR="00854E94" w:rsidRPr="00815186">
        <w:rPr>
          <w:rFonts w:ascii="Times New Roman" w:hAnsi="Times New Roman"/>
          <w:sz w:val="24"/>
          <w:szCs w:val="24"/>
        </w:rPr>
        <w:t>ňa</w:t>
      </w:r>
      <w:r w:rsidR="00EA1B9E" w:rsidRPr="00815186">
        <w:rPr>
          <w:rFonts w:ascii="Times New Roman" w:hAnsi="Times New Roman"/>
          <w:sz w:val="24"/>
          <w:szCs w:val="24"/>
        </w:rPr>
        <w:t xml:space="preserve"> snaž</w:t>
      </w:r>
      <w:r w:rsidR="00854E94" w:rsidRPr="00815186">
        <w:rPr>
          <w:rFonts w:ascii="Times New Roman" w:hAnsi="Times New Roman"/>
          <w:sz w:val="24"/>
          <w:szCs w:val="24"/>
        </w:rPr>
        <w:t>í</w:t>
      </w:r>
      <w:r w:rsidR="00EA1B9E" w:rsidRPr="00815186">
        <w:rPr>
          <w:rFonts w:ascii="Times New Roman" w:hAnsi="Times New Roman"/>
          <w:sz w:val="24"/>
          <w:szCs w:val="24"/>
        </w:rPr>
        <w:t xml:space="preserve"> v prevažnej miere dosiahnuť uspokojenie svojich pohľadávok mimo exekučného konania, v niektorých prípadoch aj napriek tomuto úsiliu, nie sú pohľadávky zdravotn</w:t>
      </w:r>
      <w:r w:rsidR="00854E94" w:rsidRPr="00815186">
        <w:rPr>
          <w:rFonts w:ascii="Times New Roman" w:hAnsi="Times New Roman"/>
          <w:sz w:val="24"/>
          <w:szCs w:val="24"/>
        </w:rPr>
        <w:t>ej</w:t>
      </w:r>
      <w:r w:rsidR="00EA1B9E" w:rsidRPr="00815186">
        <w:rPr>
          <w:rFonts w:ascii="Times New Roman" w:hAnsi="Times New Roman"/>
          <w:sz w:val="24"/>
          <w:szCs w:val="24"/>
        </w:rPr>
        <w:t xml:space="preserve"> poisťovn</w:t>
      </w:r>
      <w:r w:rsidR="006071A7" w:rsidRPr="00815186">
        <w:rPr>
          <w:rFonts w:ascii="Times New Roman" w:hAnsi="Times New Roman"/>
          <w:sz w:val="24"/>
          <w:szCs w:val="24"/>
        </w:rPr>
        <w:t>e</w:t>
      </w:r>
      <w:r w:rsidR="00EA1B9E" w:rsidRPr="00815186">
        <w:rPr>
          <w:rFonts w:ascii="Times New Roman" w:hAnsi="Times New Roman"/>
          <w:sz w:val="24"/>
          <w:szCs w:val="24"/>
        </w:rPr>
        <w:t xml:space="preserve"> zo strany platiteľov poistného uhradené a zdravotn</w:t>
      </w:r>
      <w:r w:rsidR="00854E94" w:rsidRPr="00815186">
        <w:rPr>
          <w:rFonts w:ascii="Times New Roman" w:hAnsi="Times New Roman"/>
          <w:sz w:val="24"/>
          <w:szCs w:val="24"/>
        </w:rPr>
        <w:t>á</w:t>
      </w:r>
      <w:r w:rsidR="00EA1B9E" w:rsidRPr="00815186">
        <w:rPr>
          <w:rFonts w:ascii="Times New Roman" w:hAnsi="Times New Roman"/>
          <w:sz w:val="24"/>
          <w:szCs w:val="24"/>
        </w:rPr>
        <w:t xml:space="preserve"> poisťov</w:t>
      </w:r>
      <w:r w:rsidR="00854E94" w:rsidRPr="00815186">
        <w:rPr>
          <w:rFonts w:ascii="Times New Roman" w:hAnsi="Times New Roman"/>
          <w:sz w:val="24"/>
          <w:szCs w:val="24"/>
        </w:rPr>
        <w:t>ňa</w:t>
      </w:r>
      <w:r w:rsidR="00EA1B9E" w:rsidRPr="00815186">
        <w:rPr>
          <w:rFonts w:ascii="Times New Roman" w:hAnsi="Times New Roman"/>
          <w:sz w:val="24"/>
          <w:szCs w:val="24"/>
        </w:rPr>
        <w:t xml:space="preserve"> tak mus</w:t>
      </w:r>
      <w:r w:rsidR="00854E94" w:rsidRPr="00815186">
        <w:rPr>
          <w:rFonts w:ascii="Times New Roman" w:hAnsi="Times New Roman"/>
          <w:sz w:val="24"/>
          <w:szCs w:val="24"/>
        </w:rPr>
        <w:t>í</w:t>
      </w:r>
      <w:r w:rsidR="00EA1B9E" w:rsidRPr="00815186">
        <w:rPr>
          <w:rFonts w:ascii="Times New Roman" w:hAnsi="Times New Roman"/>
          <w:sz w:val="24"/>
          <w:szCs w:val="24"/>
        </w:rPr>
        <w:t xml:space="preserve"> pristúpiť k exekučnému vymáhaniu týchto pohľadávok. S vedením exekučného konania je však spojený vznik nákladov, ktoré musí znášať buď platiteľ ako povinný v predmetnom exekučnom konaní, alebo samotná zdravotná poisťovňa ako oprávnený. Ako bolo uvedené vyššie zdravotn</w:t>
      </w:r>
      <w:r w:rsidR="00854E94" w:rsidRPr="00815186">
        <w:rPr>
          <w:rFonts w:ascii="Times New Roman" w:hAnsi="Times New Roman"/>
          <w:sz w:val="24"/>
          <w:szCs w:val="24"/>
        </w:rPr>
        <w:t>á</w:t>
      </w:r>
      <w:r w:rsidR="00EA1B9E" w:rsidRPr="00815186">
        <w:rPr>
          <w:rFonts w:ascii="Times New Roman" w:hAnsi="Times New Roman"/>
          <w:sz w:val="24"/>
          <w:szCs w:val="24"/>
        </w:rPr>
        <w:t xml:space="preserve"> poisťov</w:t>
      </w:r>
      <w:r w:rsidR="00854E94" w:rsidRPr="00815186">
        <w:rPr>
          <w:rFonts w:ascii="Times New Roman" w:hAnsi="Times New Roman"/>
          <w:sz w:val="24"/>
          <w:szCs w:val="24"/>
        </w:rPr>
        <w:t>ňa</w:t>
      </w:r>
      <w:r w:rsidR="00EA1B9E" w:rsidRPr="00815186">
        <w:rPr>
          <w:rFonts w:ascii="Times New Roman" w:hAnsi="Times New Roman"/>
          <w:sz w:val="24"/>
          <w:szCs w:val="24"/>
        </w:rPr>
        <w:t xml:space="preserve"> v rámci svojej činnosti hospodári s verejnými prostriedkami a </w:t>
      </w:r>
      <w:r w:rsidR="00854E94" w:rsidRPr="00815186">
        <w:rPr>
          <w:rFonts w:ascii="Times New Roman" w:hAnsi="Times New Roman"/>
          <w:sz w:val="24"/>
          <w:szCs w:val="24"/>
        </w:rPr>
        <w:t>je</w:t>
      </w:r>
      <w:r w:rsidR="00EA1B9E" w:rsidRPr="00815186">
        <w:rPr>
          <w:rFonts w:ascii="Times New Roman" w:hAnsi="Times New Roman"/>
          <w:sz w:val="24"/>
          <w:szCs w:val="24"/>
        </w:rPr>
        <w:t xml:space="preserve"> povinn</w:t>
      </w:r>
      <w:r w:rsidR="00854E94" w:rsidRPr="00815186">
        <w:rPr>
          <w:rFonts w:ascii="Times New Roman" w:hAnsi="Times New Roman"/>
          <w:sz w:val="24"/>
          <w:szCs w:val="24"/>
        </w:rPr>
        <w:t>á</w:t>
      </w:r>
      <w:r w:rsidR="00EA1B9E" w:rsidRPr="00815186">
        <w:rPr>
          <w:rFonts w:ascii="Times New Roman" w:hAnsi="Times New Roman"/>
          <w:sz w:val="24"/>
          <w:szCs w:val="24"/>
        </w:rPr>
        <w:t xml:space="preserve"> zabezpečiť efektívne a hospodárne nakladenie s nimi. </w:t>
      </w:r>
    </w:p>
    <w:p w:rsidR="000645BF" w:rsidRDefault="000645BF" w:rsidP="003F16DE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A1B9E" w:rsidRPr="00815186" w:rsidRDefault="000645BF" w:rsidP="003F16DE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A1B9E" w:rsidRPr="00815186">
        <w:rPr>
          <w:rFonts w:ascii="Times New Roman" w:hAnsi="Times New Roman"/>
          <w:sz w:val="24"/>
          <w:szCs w:val="24"/>
        </w:rPr>
        <w:t>Z uvedeného dôvodu sa navrhuje vytvoriť legislatívne prostredie, ktoré umožní zdravotn</w:t>
      </w:r>
      <w:r w:rsidR="00854E94" w:rsidRPr="00815186">
        <w:rPr>
          <w:rFonts w:ascii="Times New Roman" w:hAnsi="Times New Roman"/>
          <w:sz w:val="24"/>
          <w:szCs w:val="24"/>
        </w:rPr>
        <w:t xml:space="preserve">ej </w:t>
      </w:r>
      <w:r w:rsidR="00EA1B9E" w:rsidRPr="00815186">
        <w:rPr>
          <w:rFonts w:ascii="Times New Roman" w:hAnsi="Times New Roman"/>
          <w:sz w:val="24"/>
          <w:szCs w:val="24"/>
        </w:rPr>
        <w:t>poisťovni</w:t>
      </w:r>
      <w:r w:rsidR="006068D8" w:rsidRPr="00815186">
        <w:rPr>
          <w:rFonts w:ascii="Times New Roman" w:hAnsi="Times New Roman"/>
          <w:sz w:val="24"/>
          <w:szCs w:val="24"/>
        </w:rPr>
        <w:t>, ktorej jediným akcionárom je Slovenská republika</w:t>
      </w:r>
      <w:r w:rsidR="00EA1B9E" w:rsidRPr="00815186">
        <w:rPr>
          <w:rFonts w:ascii="Times New Roman" w:hAnsi="Times New Roman"/>
          <w:sz w:val="24"/>
          <w:szCs w:val="24"/>
        </w:rPr>
        <w:t xml:space="preserve"> samostatné vymáhanie svojich pohľadávok. Navrhuje sa prijatie takej zákonnej úpravy, ktorá zdravotn</w:t>
      </w:r>
      <w:r w:rsidR="00655B60" w:rsidRPr="00815186">
        <w:rPr>
          <w:rFonts w:ascii="Times New Roman" w:hAnsi="Times New Roman"/>
          <w:sz w:val="24"/>
          <w:szCs w:val="24"/>
        </w:rPr>
        <w:t xml:space="preserve">ej </w:t>
      </w:r>
      <w:r w:rsidR="00EA1B9E" w:rsidRPr="00815186">
        <w:rPr>
          <w:rFonts w:ascii="Times New Roman" w:hAnsi="Times New Roman"/>
          <w:sz w:val="24"/>
          <w:szCs w:val="24"/>
        </w:rPr>
        <w:t>poisťovni</w:t>
      </w:r>
      <w:r w:rsidR="00655B60" w:rsidRPr="0081518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655B60" w:rsidRPr="00815186">
        <w:rPr>
          <w:rFonts w:ascii="Times New Roman" w:hAnsi="Times New Roman"/>
          <w:sz w:val="24"/>
          <w:szCs w:val="24"/>
        </w:rPr>
        <w:t>VšZP</w:t>
      </w:r>
      <w:proofErr w:type="spellEnd"/>
      <w:r w:rsidR="00655B60" w:rsidRPr="008151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55B60" w:rsidRPr="00815186">
        <w:rPr>
          <w:rFonts w:ascii="Times New Roman" w:hAnsi="Times New Roman"/>
          <w:sz w:val="24"/>
          <w:szCs w:val="24"/>
        </w:rPr>
        <w:t>a.s</w:t>
      </w:r>
      <w:proofErr w:type="spellEnd"/>
      <w:r w:rsidR="00655B60" w:rsidRPr="00815186">
        <w:rPr>
          <w:rFonts w:ascii="Times New Roman" w:hAnsi="Times New Roman"/>
          <w:sz w:val="24"/>
          <w:szCs w:val="24"/>
        </w:rPr>
        <w:t>.)</w:t>
      </w:r>
      <w:r w:rsidR="00EA1B9E" w:rsidRPr="00815186">
        <w:rPr>
          <w:rFonts w:ascii="Times New Roman" w:hAnsi="Times New Roman"/>
          <w:sz w:val="24"/>
          <w:szCs w:val="24"/>
        </w:rPr>
        <w:t xml:space="preserve"> umožní vymáhať si svoje pohľadávky samostatne na základe právoplatných a vykonateľných rozhodnutí, a to exekučnými príkazmi na peňažné prostriedky vedené na účtoch v peňažných ústavoch dlžníkov a zrážkami zo mzdy a z iných príjmov dlžníkov. Zdravotn</w:t>
      </w:r>
      <w:r w:rsidR="00655B60" w:rsidRPr="00815186">
        <w:rPr>
          <w:rFonts w:ascii="Times New Roman" w:hAnsi="Times New Roman"/>
          <w:sz w:val="24"/>
          <w:szCs w:val="24"/>
        </w:rPr>
        <w:t>á</w:t>
      </w:r>
      <w:r w:rsidR="00EA1B9E" w:rsidRPr="00815186">
        <w:rPr>
          <w:rFonts w:ascii="Times New Roman" w:hAnsi="Times New Roman"/>
          <w:sz w:val="24"/>
          <w:szCs w:val="24"/>
        </w:rPr>
        <w:t xml:space="preserve"> poisťov</w:t>
      </w:r>
      <w:r w:rsidR="00655B60" w:rsidRPr="00815186">
        <w:rPr>
          <w:rFonts w:ascii="Times New Roman" w:hAnsi="Times New Roman"/>
          <w:sz w:val="24"/>
          <w:szCs w:val="24"/>
        </w:rPr>
        <w:t>ňa</w:t>
      </w:r>
      <w:r w:rsidR="00EA1B9E" w:rsidRPr="00815186">
        <w:rPr>
          <w:rFonts w:ascii="Times New Roman" w:hAnsi="Times New Roman"/>
          <w:sz w:val="24"/>
          <w:szCs w:val="24"/>
        </w:rPr>
        <w:t xml:space="preserve"> by tak k podaniu návrhu na vykonanie exekúcie v zmysle Exekučného poriadku pristúpil</w:t>
      </w:r>
      <w:r w:rsidR="00655B60" w:rsidRPr="00815186">
        <w:rPr>
          <w:rFonts w:ascii="Times New Roman" w:hAnsi="Times New Roman"/>
          <w:sz w:val="24"/>
          <w:szCs w:val="24"/>
        </w:rPr>
        <w:t>a</w:t>
      </w:r>
      <w:r w:rsidR="00EA1B9E" w:rsidRPr="00815186">
        <w:rPr>
          <w:rFonts w:ascii="Times New Roman" w:hAnsi="Times New Roman"/>
          <w:sz w:val="24"/>
          <w:szCs w:val="24"/>
        </w:rPr>
        <w:t xml:space="preserve"> len</w:t>
      </w:r>
      <w:r>
        <w:rPr>
          <w:rFonts w:ascii="Times New Roman" w:hAnsi="Times New Roman"/>
          <w:sz w:val="24"/>
          <w:szCs w:val="24"/>
        </w:rPr>
        <w:t xml:space="preserve"> v</w:t>
      </w:r>
      <w:r w:rsidR="00EA1B9E" w:rsidRPr="00815186">
        <w:rPr>
          <w:rFonts w:ascii="Times New Roman" w:hAnsi="Times New Roman"/>
          <w:sz w:val="24"/>
          <w:szCs w:val="24"/>
        </w:rPr>
        <w:t xml:space="preserve"> prípade, ak by nebolo možné dosiahnuť uspokojenie svojich pohľadávok týmito spôsobmi. Zavedením navrhovanej právnej úpravy možno očakávať nielen pozitívny dopad na dlžníkov a zdravotn</w:t>
      </w:r>
      <w:r w:rsidR="00655B60" w:rsidRPr="00815186">
        <w:rPr>
          <w:rFonts w:ascii="Times New Roman" w:hAnsi="Times New Roman"/>
          <w:sz w:val="24"/>
          <w:szCs w:val="24"/>
        </w:rPr>
        <w:t>ú</w:t>
      </w:r>
      <w:r w:rsidR="00EA1B9E" w:rsidRPr="00815186">
        <w:rPr>
          <w:rFonts w:ascii="Times New Roman" w:hAnsi="Times New Roman"/>
          <w:sz w:val="24"/>
          <w:szCs w:val="24"/>
        </w:rPr>
        <w:t xml:space="preserve"> poisťov</w:t>
      </w:r>
      <w:r w:rsidR="00655B60" w:rsidRPr="00815186">
        <w:rPr>
          <w:rFonts w:ascii="Times New Roman" w:hAnsi="Times New Roman"/>
          <w:sz w:val="24"/>
          <w:szCs w:val="24"/>
        </w:rPr>
        <w:t>ňu</w:t>
      </w:r>
      <w:r w:rsidR="00EA1B9E" w:rsidRPr="00815186">
        <w:rPr>
          <w:rFonts w:ascii="Times New Roman" w:hAnsi="Times New Roman"/>
          <w:sz w:val="24"/>
          <w:szCs w:val="24"/>
        </w:rPr>
        <w:t xml:space="preserve"> spočívajúci v odbúraní nákladov na trovy exekúcie, ale aj zrýchlenie a zefektívnenie vymáhania pohľadávok zdravotn</w:t>
      </w:r>
      <w:r w:rsidR="00655B60" w:rsidRPr="00815186">
        <w:rPr>
          <w:rFonts w:ascii="Times New Roman" w:hAnsi="Times New Roman"/>
          <w:sz w:val="24"/>
          <w:szCs w:val="24"/>
        </w:rPr>
        <w:t>ej</w:t>
      </w:r>
      <w:r w:rsidR="00EA1B9E" w:rsidRPr="00815186">
        <w:rPr>
          <w:rFonts w:ascii="Times New Roman" w:hAnsi="Times New Roman"/>
          <w:sz w:val="24"/>
          <w:szCs w:val="24"/>
        </w:rPr>
        <w:t xml:space="preserve"> poisťovn</w:t>
      </w:r>
      <w:r w:rsidR="00655B60" w:rsidRPr="00815186">
        <w:rPr>
          <w:rFonts w:ascii="Times New Roman" w:hAnsi="Times New Roman"/>
          <w:sz w:val="24"/>
          <w:szCs w:val="24"/>
        </w:rPr>
        <w:t>i</w:t>
      </w:r>
      <w:r w:rsidR="00EA1B9E" w:rsidRPr="00815186">
        <w:rPr>
          <w:rFonts w:ascii="Times New Roman" w:hAnsi="Times New Roman"/>
          <w:sz w:val="24"/>
          <w:szCs w:val="24"/>
        </w:rPr>
        <w:t xml:space="preserve"> (t. j. je možné dôvodne predpokladať aj zvýšenie príjmov do štátneho rozpočtu).  </w:t>
      </w:r>
    </w:p>
    <w:p w:rsidR="00EA1B9E" w:rsidRPr="00815186" w:rsidRDefault="00EA1B9E" w:rsidP="00815186">
      <w:pPr>
        <w:tabs>
          <w:tab w:val="left" w:pos="517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A1B9E" w:rsidRPr="00815186" w:rsidRDefault="00EA1B9E" w:rsidP="003F16D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15186">
        <w:rPr>
          <w:rFonts w:ascii="Times New Roman" w:hAnsi="Times New Roman"/>
          <w:sz w:val="24"/>
          <w:szCs w:val="24"/>
        </w:rPr>
        <w:t xml:space="preserve">Najvyužívanejším a najefektívnejším spôsobom výkonu exekúcie exekútorom je prikázanie pohľadávok z účtov v banke a ďalej  zrážkami zo </w:t>
      </w:r>
      <w:r w:rsidR="003135A6">
        <w:rPr>
          <w:rFonts w:ascii="Times New Roman" w:hAnsi="Times New Roman"/>
          <w:sz w:val="24"/>
          <w:szCs w:val="24"/>
        </w:rPr>
        <w:t>mzdy a z iných príjmov dlžníkov.</w:t>
      </w:r>
      <w:bookmarkStart w:id="0" w:name="_GoBack"/>
      <w:bookmarkEnd w:id="0"/>
      <w:r w:rsidRPr="00815186">
        <w:rPr>
          <w:rFonts w:ascii="Times New Roman" w:hAnsi="Times New Roman"/>
          <w:sz w:val="24"/>
          <w:szCs w:val="24"/>
        </w:rPr>
        <w:t xml:space="preserve"> Zdravotn</w:t>
      </w:r>
      <w:r w:rsidR="00655B60" w:rsidRPr="00815186">
        <w:rPr>
          <w:rFonts w:ascii="Times New Roman" w:hAnsi="Times New Roman"/>
          <w:sz w:val="24"/>
          <w:szCs w:val="24"/>
        </w:rPr>
        <w:t>á</w:t>
      </w:r>
      <w:r w:rsidRPr="00815186">
        <w:rPr>
          <w:rFonts w:ascii="Times New Roman" w:hAnsi="Times New Roman"/>
          <w:sz w:val="24"/>
          <w:szCs w:val="24"/>
        </w:rPr>
        <w:t xml:space="preserve"> poisťov</w:t>
      </w:r>
      <w:r w:rsidR="00655B60" w:rsidRPr="00815186">
        <w:rPr>
          <w:rFonts w:ascii="Times New Roman" w:hAnsi="Times New Roman"/>
          <w:sz w:val="24"/>
          <w:szCs w:val="24"/>
        </w:rPr>
        <w:t xml:space="preserve">ňa </w:t>
      </w:r>
      <w:r w:rsidRPr="00815186">
        <w:rPr>
          <w:rFonts w:ascii="Times New Roman" w:hAnsi="Times New Roman"/>
          <w:sz w:val="24"/>
          <w:szCs w:val="24"/>
        </w:rPr>
        <w:t>disponuj</w:t>
      </w:r>
      <w:r w:rsidR="00655B60" w:rsidRPr="00815186">
        <w:rPr>
          <w:rFonts w:ascii="Times New Roman" w:hAnsi="Times New Roman"/>
          <w:sz w:val="24"/>
          <w:szCs w:val="24"/>
        </w:rPr>
        <w:t>e</w:t>
      </w:r>
      <w:r w:rsidRPr="00815186">
        <w:rPr>
          <w:rFonts w:ascii="Times New Roman" w:hAnsi="Times New Roman"/>
          <w:sz w:val="24"/>
          <w:szCs w:val="24"/>
        </w:rPr>
        <w:t xml:space="preserve"> potrebnými údajmi na výkon samotnej exekúcie týmito spôsobmi. Navrhujeme preto vytvoriť legislatívne prostredie, ktoré umožní samostatné vymáhanie pohľadávok, bez medzičlánkov /súd a exekútor/. V prípade </w:t>
      </w:r>
      <w:proofErr w:type="spellStart"/>
      <w:r w:rsidRPr="00815186">
        <w:rPr>
          <w:rFonts w:ascii="Times New Roman" w:hAnsi="Times New Roman"/>
          <w:sz w:val="24"/>
          <w:szCs w:val="24"/>
        </w:rPr>
        <w:t>nevymoženia</w:t>
      </w:r>
      <w:proofErr w:type="spellEnd"/>
      <w:r w:rsidRPr="00815186">
        <w:rPr>
          <w:rFonts w:ascii="Times New Roman" w:hAnsi="Times New Roman"/>
          <w:sz w:val="24"/>
          <w:szCs w:val="24"/>
        </w:rPr>
        <w:t xml:space="preserve"> pohľadávky alebo v prípade, že spôsob exekúcie uvedenými formami nie je vhodný alebo dostatočný,  je možné postupovať cestou exekúcie, s možnosťou predaja aktív dlžníka. Kombinácia vlastného vymáhania, s následnou možnosťou exekúcie, zabezpečí zvýšenie príjmov zdravotn</w:t>
      </w:r>
      <w:r w:rsidR="00655B60" w:rsidRPr="00815186">
        <w:rPr>
          <w:rFonts w:ascii="Times New Roman" w:hAnsi="Times New Roman"/>
          <w:sz w:val="24"/>
          <w:szCs w:val="24"/>
        </w:rPr>
        <w:t xml:space="preserve">ej </w:t>
      </w:r>
      <w:r w:rsidRPr="00815186">
        <w:rPr>
          <w:rFonts w:ascii="Times New Roman" w:hAnsi="Times New Roman"/>
          <w:sz w:val="24"/>
          <w:szCs w:val="24"/>
        </w:rPr>
        <w:t>poisťovn</w:t>
      </w:r>
      <w:r w:rsidR="00655B60" w:rsidRPr="00815186">
        <w:rPr>
          <w:rFonts w:ascii="Times New Roman" w:hAnsi="Times New Roman"/>
          <w:sz w:val="24"/>
          <w:szCs w:val="24"/>
        </w:rPr>
        <w:t>i</w:t>
      </w:r>
      <w:r w:rsidRPr="00815186">
        <w:rPr>
          <w:rFonts w:ascii="Times New Roman" w:hAnsi="Times New Roman"/>
          <w:sz w:val="24"/>
          <w:szCs w:val="24"/>
        </w:rPr>
        <w:t xml:space="preserve">, skorší výber dlžného poistného a zníženie prevádzkových </w:t>
      </w:r>
      <w:r w:rsidRPr="00815186">
        <w:rPr>
          <w:rFonts w:ascii="Times New Roman" w:hAnsi="Times New Roman"/>
          <w:sz w:val="24"/>
          <w:szCs w:val="24"/>
        </w:rPr>
        <w:lastRenderedPageBreak/>
        <w:t>nákladov na trovy exekúcií. Zároveň dôjde k „zlacneniu“ exekúcií pre dlžníkov o trovy exekúcií. Samostatné vymáhanie sa osvedčilo aj v Sociálnej poisťovni, ktorá dosahuje aktuálne  úspešnosť 43 % a došlo k zásadnému skráteniu procesu vymáhania.</w:t>
      </w:r>
    </w:p>
    <w:p w:rsidR="00815186" w:rsidRPr="00815186" w:rsidRDefault="00815186" w:rsidP="00815186">
      <w:pPr>
        <w:rPr>
          <w:rFonts w:ascii="Times New Roman" w:hAnsi="Times New Roman"/>
          <w:b/>
          <w:sz w:val="24"/>
          <w:szCs w:val="24"/>
        </w:rPr>
      </w:pPr>
    </w:p>
    <w:p w:rsidR="00EA1B9E" w:rsidRPr="00815186" w:rsidRDefault="00EA1B9E" w:rsidP="00815186">
      <w:pPr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815186">
        <w:rPr>
          <w:rFonts w:ascii="Times New Roman" w:hAnsi="Times New Roman"/>
          <w:b/>
          <w:sz w:val="24"/>
          <w:szCs w:val="24"/>
        </w:rPr>
        <w:t>K čl. II (z</w:t>
      </w:r>
      <w:r w:rsidRPr="00815186">
        <w:rPr>
          <w:rFonts w:ascii="Times New Roman" w:hAnsi="Times New Roman"/>
          <w:b/>
          <w:sz w:val="24"/>
          <w:szCs w:val="24"/>
          <w:shd w:val="clear" w:color="auto" w:fill="FFFFFF"/>
        </w:rPr>
        <w:t>ákon č. 581/2004 Z. z.)</w:t>
      </w:r>
    </w:p>
    <w:p w:rsidR="00EA1B9E" w:rsidRPr="00815186" w:rsidRDefault="004D4190" w:rsidP="003F16DE">
      <w:pPr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15186">
        <w:rPr>
          <w:rFonts w:ascii="Times New Roman" w:hAnsi="Times New Roman"/>
          <w:sz w:val="24"/>
          <w:szCs w:val="24"/>
          <w:shd w:val="clear" w:color="auto" w:fill="FFFFFF"/>
        </w:rPr>
        <w:t>Ustanov</w:t>
      </w:r>
      <w:r w:rsidR="00ED773B" w:rsidRPr="00815186">
        <w:rPr>
          <w:rFonts w:ascii="Times New Roman" w:hAnsi="Times New Roman"/>
          <w:sz w:val="24"/>
          <w:szCs w:val="24"/>
          <w:shd w:val="clear" w:color="auto" w:fill="FFFFFF"/>
        </w:rPr>
        <w:t>ujú</w:t>
      </w:r>
      <w:r w:rsidRPr="00815186">
        <w:rPr>
          <w:rFonts w:ascii="Times New Roman" w:hAnsi="Times New Roman"/>
          <w:sz w:val="24"/>
          <w:szCs w:val="24"/>
          <w:shd w:val="clear" w:color="auto" w:fill="FFFFFF"/>
        </w:rPr>
        <w:t xml:space="preserve"> sa kompetencie Úradu pre dohľad nad zdravotnou starostlivosťou v súvislosti s navrhovaným čl. I</w:t>
      </w:r>
      <w:r w:rsidR="00652502" w:rsidRPr="00815186">
        <w:rPr>
          <w:rFonts w:ascii="Times New Roman" w:hAnsi="Times New Roman"/>
          <w:sz w:val="24"/>
          <w:szCs w:val="24"/>
          <w:shd w:val="clear" w:color="auto" w:fill="FFFFFF"/>
        </w:rPr>
        <w:t> tohto návrhu zákona</w:t>
      </w:r>
      <w:r w:rsidRPr="00815186">
        <w:rPr>
          <w:rFonts w:ascii="Times New Roman" w:hAnsi="Times New Roman"/>
          <w:sz w:val="24"/>
          <w:szCs w:val="24"/>
          <w:shd w:val="clear" w:color="auto" w:fill="FFFFFF"/>
        </w:rPr>
        <w:t xml:space="preserve">, a to </w:t>
      </w:r>
      <w:r w:rsidR="00C46926" w:rsidRPr="00815186">
        <w:rPr>
          <w:rFonts w:ascii="Times New Roman" w:hAnsi="Times New Roman"/>
          <w:sz w:val="24"/>
          <w:szCs w:val="24"/>
          <w:shd w:val="clear" w:color="auto" w:fill="FFFFFF"/>
        </w:rPr>
        <w:t>konkrétne</w:t>
      </w:r>
      <w:r w:rsidRPr="00815186">
        <w:rPr>
          <w:rFonts w:ascii="Times New Roman" w:hAnsi="Times New Roman"/>
          <w:sz w:val="24"/>
          <w:szCs w:val="24"/>
          <w:shd w:val="clear" w:color="auto" w:fill="FFFFFF"/>
        </w:rPr>
        <w:t xml:space="preserve"> rozhodovať o námietkach v súvislosti so zavedením samostatného vymáhania zdravotnou poisťovňou.</w:t>
      </w:r>
    </w:p>
    <w:p w:rsidR="004D4190" w:rsidRPr="00815186" w:rsidRDefault="004D4190" w:rsidP="00815186">
      <w:pPr>
        <w:rPr>
          <w:rFonts w:ascii="Times New Roman" w:hAnsi="Times New Roman"/>
          <w:b/>
          <w:sz w:val="24"/>
          <w:szCs w:val="24"/>
        </w:rPr>
      </w:pPr>
    </w:p>
    <w:p w:rsidR="00EA1B9E" w:rsidRPr="00815186" w:rsidRDefault="00EA1B9E" w:rsidP="00815186">
      <w:pPr>
        <w:rPr>
          <w:rFonts w:ascii="Times New Roman" w:hAnsi="Times New Roman"/>
          <w:b/>
          <w:sz w:val="24"/>
          <w:szCs w:val="24"/>
        </w:rPr>
      </w:pPr>
      <w:r w:rsidRPr="00815186">
        <w:rPr>
          <w:rFonts w:ascii="Times New Roman" w:hAnsi="Times New Roman"/>
          <w:b/>
          <w:sz w:val="24"/>
          <w:szCs w:val="24"/>
        </w:rPr>
        <w:t>K čl. III (</w:t>
      </w:r>
      <w:r w:rsidRPr="00815186">
        <w:rPr>
          <w:rFonts w:ascii="Times New Roman" w:hAnsi="Times New Roman"/>
          <w:b/>
          <w:color w:val="000000" w:themeColor="text1"/>
          <w:sz w:val="24"/>
          <w:szCs w:val="24"/>
        </w:rPr>
        <w:t xml:space="preserve">zákon č. </w:t>
      </w:r>
      <w:r w:rsidRPr="00815186">
        <w:rPr>
          <w:rFonts w:ascii="Times New Roman" w:hAnsi="Times New Roman"/>
          <w:b/>
          <w:sz w:val="24"/>
          <w:szCs w:val="24"/>
          <w:shd w:val="clear" w:color="auto" w:fill="FFFFFF"/>
        </w:rPr>
        <w:t>461/2003 Z. z.)</w:t>
      </w:r>
    </w:p>
    <w:p w:rsidR="00EA1B9E" w:rsidRPr="00815186" w:rsidRDefault="00EA1B9E" w:rsidP="003F16D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815186">
        <w:rPr>
          <w:rFonts w:ascii="Times New Roman" w:hAnsi="Times New Roman"/>
          <w:sz w:val="24"/>
          <w:szCs w:val="24"/>
          <w:shd w:val="clear" w:color="auto" w:fill="FFFFFF"/>
        </w:rPr>
        <w:t>Ustanovuje sa povinnosť pre Sociálnu poisťovňu poskytnúť údaje o poistencovi zdravotnej poisťovni na základe jej vyžiadania, na účely vymáhania pohľadávok podľa navrhovaného čl. I tohto návrhu zákona.</w:t>
      </w:r>
    </w:p>
    <w:p w:rsidR="00EA1B9E" w:rsidRPr="00815186" w:rsidRDefault="00EA1B9E" w:rsidP="00815186">
      <w:pPr>
        <w:rPr>
          <w:rFonts w:ascii="Times New Roman" w:hAnsi="Times New Roman"/>
          <w:sz w:val="24"/>
          <w:szCs w:val="24"/>
        </w:rPr>
      </w:pPr>
    </w:p>
    <w:p w:rsidR="00EA1B9E" w:rsidRPr="00815186" w:rsidRDefault="00B33401" w:rsidP="00815186">
      <w:pPr>
        <w:rPr>
          <w:rFonts w:ascii="Times New Roman" w:hAnsi="Times New Roman"/>
          <w:b/>
          <w:sz w:val="24"/>
          <w:szCs w:val="24"/>
        </w:rPr>
      </w:pPr>
      <w:r w:rsidRPr="00815186">
        <w:rPr>
          <w:rFonts w:ascii="Times New Roman" w:hAnsi="Times New Roman"/>
          <w:b/>
          <w:sz w:val="24"/>
          <w:szCs w:val="24"/>
        </w:rPr>
        <w:t>K čl. IV (zákon č. 483/2001 Z. z.)</w:t>
      </w:r>
    </w:p>
    <w:p w:rsidR="00B33401" w:rsidRDefault="00B33401" w:rsidP="003F16D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15186">
        <w:rPr>
          <w:rFonts w:ascii="Times New Roman" w:hAnsi="Times New Roman"/>
          <w:sz w:val="24"/>
          <w:szCs w:val="24"/>
        </w:rPr>
        <w:t>Ustanovuje sa v súvislosti s navrhovaným čl.</w:t>
      </w:r>
      <w:r w:rsidR="00652502" w:rsidRPr="00815186">
        <w:rPr>
          <w:rFonts w:ascii="Times New Roman" w:hAnsi="Times New Roman"/>
          <w:sz w:val="24"/>
          <w:szCs w:val="24"/>
        </w:rPr>
        <w:t xml:space="preserve"> I tohto návrhu zákona</w:t>
      </w:r>
      <w:r w:rsidRPr="00815186">
        <w:rPr>
          <w:rFonts w:ascii="Times New Roman" w:hAnsi="Times New Roman"/>
          <w:sz w:val="24"/>
          <w:szCs w:val="24"/>
        </w:rPr>
        <w:t xml:space="preserve"> (zavedením samostatného vymáhania zdravotnej poisťovne) poskytovanie informácií, ktoré sú predmetom bankového tajomstva, a to na základe vyžiadania zdravotnej poisťovne.</w:t>
      </w:r>
    </w:p>
    <w:p w:rsidR="003F16DE" w:rsidRPr="00A06F3D" w:rsidRDefault="003F16DE" w:rsidP="003F16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čl. V </w:t>
      </w:r>
      <w:r w:rsidRPr="00A06F3D">
        <w:rPr>
          <w:rFonts w:ascii="Times New Roman" w:hAnsi="Times New Roman"/>
          <w:b/>
          <w:sz w:val="24"/>
          <w:szCs w:val="24"/>
        </w:rPr>
        <w:t>(účinnosť)</w:t>
      </w:r>
    </w:p>
    <w:p w:rsidR="003F16DE" w:rsidRPr="00A06F3D" w:rsidRDefault="003F16DE" w:rsidP="003F16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16DE" w:rsidRPr="00851B3B" w:rsidRDefault="003F16DE" w:rsidP="003F16D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06F3D">
        <w:rPr>
          <w:rFonts w:ascii="Times New Roman" w:hAnsi="Times New Roman"/>
          <w:sz w:val="24"/>
          <w:szCs w:val="24"/>
        </w:rPr>
        <w:t>Účinnosť n</w:t>
      </w:r>
      <w:r>
        <w:rPr>
          <w:rFonts w:ascii="Times New Roman" w:hAnsi="Times New Roman"/>
          <w:sz w:val="24"/>
          <w:szCs w:val="24"/>
        </w:rPr>
        <w:t>ávrhu zákona sa navrhuje 1. januára 2024</w:t>
      </w:r>
      <w:r w:rsidRPr="00A06F3D">
        <w:rPr>
          <w:rFonts w:ascii="Times New Roman" w:hAnsi="Times New Roman"/>
          <w:sz w:val="24"/>
          <w:szCs w:val="24"/>
        </w:rPr>
        <w:t>, a to s ohľadom na predpokladanú dĺžku legislatívneho procesu, ako aj prípravu interných predpisov a metodiky pre aplikačnú prax.</w:t>
      </w:r>
    </w:p>
    <w:p w:rsidR="003F16DE" w:rsidRDefault="003F16DE" w:rsidP="003F16D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F16DE" w:rsidRDefault="003F16DE" w:rsidP="003F16D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E5972" w:rsidRDefault="00FE5972" w:rsidP="00815186">
      <w:pPr>
        <w:jc w:val="both"/>
        <w:rPr>
          <w:rFonts w:ascii="Times New Roman" w:hAnsi="Times New Roman"/>
          <w:sz w:val="24"/>
          <w:szCs w:val="24"/>
        </w:rPr>
      </w:pPr>
    </w:p>
    <w:p w:rsidR="00FE5972" w:rsidRDefault="00FE5972" w:rsidP="00FE5972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FE5972" w:rsidRDefault="00FE5972" w:rsidP="00FE5972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FE5972" w:rsidRDefault="00FE5972" w:rsidP="00FE5972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FE5972" w:rsidRDefault="00FE5972" w:rsidP="00FE5972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FE5972" w:rsidRDefault="00FE5972" w:rsidP="00FE5972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FE5972" w:rsidRDefault="00FE5972" w:rsidP="00FE5972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FE5972" w:rsidRDefault="00FE5972" w:rsidP="00FE5972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FE5972" w:rsidRDefault="00FE5972" w:rsidP="00FE5972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30"/>
          <w:sz w:val="24"/>
          <w:szCs w:val="24"/>
          <w:lang w:eastAsia="sk-SK"/>
        </w:rPr>
      </w:pPr>
    </w:p>
    <w:sectPr w:rsidR="00FE5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43731"/>
    <w:multiLevelType w:val="hybridMultilevel"/>
    <w:tmpl w:val="B7525CA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67"/>
    <w:rsid w:val="000645BF"/>
    <w:rsid w:val="00134D37"/>
    <w:rsid w:val="001E6234"/>
    <w:rsid w:val="00287B8E"/>
    <w:rsid w:val="003135A6"/>
    <w:rsid w:val="00387B5F"/>
    <w:rsid w:val="003F16DE"/>
    <w:rsid w:val="004D4190"/>
    <w:rsid w:val="006068D8"/>
    <w:rsid w:val="006071A7"/>
    <w:rsid w:val="00652502"/>
    <w:rsid w:val="00655B60"/>
    <w:rsid w:val="00815186"/>
    <w:rsid w:val="00854E94"/>
    <w:rsid w:val="00B33401"/>
    <w:rsid w:val="00B44A2C"/>
    <w:rsid w:val="00BC7FD2"/>
    <w:rsid w:val="00C46926"/>
    <w:rsid w:val="00C846B1"/>
    <w:rsid w:val="00CA42F5"/>
    <w:rsid w:val="00E01D73"/>
    <w:rsid w:val="00EA1B9E"/>
    <w:rsid w:val="00ED773B"/>
    <w:rsid w:val="00F774FB"/>
    <w:rsid w:val="00FE2E67"/>
    <w:rsid w:val="00FE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110C"/>
  <w15:chartTrackingRefBased/>
  <w15:docId w15:val="{6AABB718-F5AA-4E6C-BEC7-9239D8A8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1B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15186"/>
    <w:pPr>
      <w:ind w:left="720"/>
      <w:contextualSpacing/>
    </w:pPr>
  </w:style>
  <w:style w:type="character" w:customStyle="1" w:styleId="awspan">
    <w:name w:val="awspan"/>
    <w:basedOn w:val="Predvolenpsmoodseku"/>
    <w:rsid w:val="00815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9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68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6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5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9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79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9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8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7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85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7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440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7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66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6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3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9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5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940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5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99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7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03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35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4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1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9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6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3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8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8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9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3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07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28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6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3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0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3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Horská Silvia, JUDr.</dc:creator>
  <cp:keywords/>
  <dc:description/>
  <cp:lastModifiedBy>Svrček, Miloš</cp:lastModifiedBy>
  <cp:revision>5</cp:revision>
  <dcterms:created xsi:type="dcterms:W3CDTF">2023-02-23T07:30:00Z</dcterms:created>
  <dcterms:modified xsi:type="dcterms:W3CDTF">2023-02-23T19:24:00Z</dcterms:modified>
</cp:coreProperties>
</file>